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Author"/>
      </w:pPr>
      <w:r>
        <w:t>Giảng viên: TS. Vi Chí Thành</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Báo cáo tập trung vào ba nhóm: sinh viên đi theo nhóm cần nội dung ngắn, phụ huynh tham quan cùng gia đình cần tuyến theo thời lượng và người khiếm thị dùng trình đọc màn hình cần mô tả hiện vật không phụ thuộc vào camera. Đây là các giả định thiết kế vì chưa phỏng vấn hoặc kiểm thử ba nhóm. W3C khuyến nghị đưa người khuyết tật vào quá trình đánh giá khả năng tiếp cận.</w:t>
      </w:r>
    </w:p>
    <w:bookmarkEnd w:id="727"/>
    <w:bookmarkStart w:id="728" w:name="chức-năng-của-ứng-dụng"/>
    <w:p>
      <w:pPr>
        <w:pStyle w:val="Heading2"/>
      </w:pPr>
      <w:r>
        <w:rPr>
          <w:lang w:val="vi-VN"/>
        </w:rPr>
        <w:t xml:space="preserve">1.3. Chức năng của ứng dụng</w:t>
      </w:r>
    </w:p>
    <w:p>
      <w:pPr>
        <w:pStyle w:val="FirstParagraph"/>
      </w:pPr>
      <w:r>
        <w:rPr>
          <w:lang w:val="vi-VN"/>
        </w:rPr>
        <w:t>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Hướng dẫn văn hóa miễn phí và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Việc đối chiếu dựa trên chức năng do hai sản phẩm công bố, chưa qua kiểm thử trực tiếp. Dấu Xưa chọn cách kể chuyện ngắn tại di sản Việt Nam. Cách tiếp cận này chưa được kiểm thử với khách tham quan.</w:t>
      </w:r>
    </w:p>
    <w:bookmarkEnd w:id="729"/>
    <w:bookmarkEnd w:id="730"/>
    <w:bookmarkStart w:id="868" w:name="thiết-kế-trải-nghiệm-người-dùng"/>
    <w:p>
      <w:pPr>
        <w:pStyle w:val="Heading1"/>
      </w:pPr>
      <w:r>
        <w:rPr>
          <w:lang w:val="vi-VN"/>
        </w:rPr>
        <w:t xml:space="preserve">2. Thiết kế trải nghiệm người dùng</w:t>
      </w:r>
    </w:p>
    <w:p>
      <w:pPr>
        <w:pStyle w:val="FirstParagraph"/>
      </w:pPr>
      <w:r>
        <w:rPr>
          <w:lang w:val="vi-VN"/>
        </w:rPr>
        <w:t>Các bước UCD trong báo cáo gồm chân dung, kịch bản, yêu cầu, HTA, phác thảo và rà soát giao diện.</w:t>
      </w:r>
    </w:p>
    <w:bookmarkStart w:id="734" w:name="chân-dung-người-dùng"/>
    <w:p>
      <w:pPr>
        <w:pStyle w:val="Heading2"/>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Nghe chuyện 2–3 phút và biết điểm tiếp theo, nhưng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Chọn tuyến phù hợp và xem rõ lợi ích, giá trước khi mua. Trẻ dễ chán khi chỉ đọc.</w:t>
            </w:r>
          </w:p>
        </w:tc>
      </w:tr>
    </w:tbl>
    <w:bookmarkEnd w:id="732"/>
    <w:bookmarkStart w:id="733" w:name="chân-dung-3-nam-người-khiếm-thị"/>
    <w:p>
      <w:pPr>
        <w:pStyle w:val="Heading3"/>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Tự tìm hiện vật, nghe mô tả trước câu chuyện. QR và hình ảnh khó tự thao tác.</w:t>
            </w:r>
          </w:p>
        </w:tc>
      </w:tr>
    </w:tbl>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Pr>
      <w:r>
        <w:rPr>
          <w:lang w:val="vi-VN"/>
        </w:rPr>
        <w:t xml:space="preserve">2.4. Phân tích nhiệm vụ theo thứ bậc (HTA)</w:t>
      </w:r>
    </w:p>
    <w:p>
      <w:pPr>
        <w:pStyle w:val="FirstParagraph"/>
      </w:pPr>
      <w:r>
        <w:rPr>
          <w:lang w:val="vi-VN"/>
        </w:rPr>
        <w:t>HTA 1–8 ứng với M1–M8. HTA 9 mô tả tour trả phí. Sơ đồ thể hiện thứ tự, nhánh thay thế và điểm quay lại.</w:t>
      </w:r>
    </w:p>
    <w:bookmarkStart w:id="747" w:name="Xe21212b297c663a7dcc70fc1fddd199a4c48298"/>
    <w:p>
      <w:pPr>
        <w:pStyle w:val="Heading3"/>
      </w:pPr>
      <w:r>
        <w:rPr>
          <w:lang w:val="vi-VN"/>
        </w:rPr>
        <w:t xml:space="preserve">HTA 1: Chọn đúng địa điểm đang tham quan cho M1</w:t>
      </w:r>
    </w:p>
    <w:p>
      <w:pPr>
        <w:pStyle w:val="FirstParagraph"/>
      </w:pPr>
      <w:r>
        <w:rPr>
          <w:lang w:val="vi-VN"/>
        </w:rPr>
        <w:t>Chọn theo vị trí mô phỏng, tìm tên hoặc danh sách rồi kiểm tra trước khi xác nhận.</w:t>
      </w:r>
    </w:p>
    <w:p>
      <w:pPr>
        <w:pStyle w:val="BodyText"/>
        <w:keepNext/>
        <w:keepLines/>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1. HTA chọn địa điểm.</w:t>
      </w:r>
    </w:p>
    <w:bookmarkEnd w:id="747"/>
    <w:bookmarkStart w:id="751" w:name="Xc3d78bd064e4681b313cee6759a926dfd7f9f72"/>
    <w:p>
      <w:pPr>
        <w:pStyle w:val="Heading3"/>
      </w:pPr>
      <w:r>
        <w:rPr>
          <w:lang w:val="vi-VN"/>
        </w:rPr>
        <w:t xml:space="preserve">HTA 2: Mở đúng nội dung của một hiện vật cho M2</w:t>
      </w:r>
    </w:p>
    <w:p>
      <w:pPr>
        <w:pStyle w:val="FirstParagraph"/>
      </w:pPr>
      <w:r>
        <w:rPr>
          <w:lang w:val="vi-VN"/>
        </w:rPr>
        <w:t>QR, mã và danh sách cùng dẫn đến hiện vật. Có lối quay lại khi lỗi.</w:t>
      </w:r>
    </w:p>
    <w:p>
      <w:pPr>
        <w:pStyle w:val="BodyText"/>
        <w:keepNext/>
        <w:keepLines/>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2. HTA mở hiện vật.</w:t>
      </w:r>
    </w:p>
    <w:bookmarkEnd w:id="751"/>
    <w:bookmarkStart w:id="755" w:name="X98d054586ac3095f73df15bf0aa0b260946fa2d"/>
    <w:p>
      <w:pPr>
        <w:pStyle w:val="Heading3"/>
      </w:pPr>
      <w:r>
        <w:rPr>
          <w:lang w:val="vi-VN"/>
        </w:rPr>
        <w:t xml:space="preserve">HTA 3: Nghe câu chuyện ngắn có âm thanh và hình ảnh cho M3</w:t>
      </w:r>
    </w:p>
    <w:p>
      <w:pPr>
        <w:pStyle w:val="FirstParagraph"/>
      </w:pPr>
      <w:r>
        <w:rPr>
          <w:lang w:val="vi-VN"/>
        </w:rPr>
        <w:t>Lời kể đi cùng hình ảnh. Bản chép lời là phương án thay thế.</w:t>
      </w:r>
    </w:p>
    <w:p>
      <w:pPr>
        <w:pStyle w:val="BodyText"/>
        <w:keepNext/>
        <w:keepLines/>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3. HTA nghe câu chuyện.</w:t>
      </w:r>
    </w:p>
    <w:bookmarkEnd w:id="755"/>
    <w:bookmarkStart w:id="759" w:name="Xca4d7dd379929c2ed924f11377ea5b84ef5b862"/>
    <w:p>
      <w:pPr>
        <w:pStyle w:val="Heading3"/>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keepNext/>
        <w:keepLines/>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4. HTA điều khiển trình phát.</w:t>
      </w:r>
    </w:p>
    <w:bookmarkEnd w:id="759"/>
    <w:bookmarkStart w:id="763" w:name="Xa6bf52d39cd177001aebe9309f68c476195f3f0"/>
    <w:p>
      <w:pPr>
        <w:pStyle w:val="Heading3"/>
      </w:pPr>
      <w:r>
        <w:rPr>
          <w:lang w:val="vi-VN"/>
        </w:rPr>
        <w:t xml:space="preserve">HTA 5: Truy cập mô tả của hiện vật và hình ảnh cho M5</w:t>
      </w:r>
    </w:p>
    <w:p>
      <w:pPr>
        <w:pStyle w:val="FirstParagraph"/>
      </w:pPr>
      <w:r>
        <w:rPr>
          <w:lang w:val="vi-VN"/>
        </w:rPr>
        <w:t>Mô tả bằng chữ đã có. Bản thu mô tả riêng chưa hoàn thành.</w:t>
      </w:r>
    </w:p>
    <w:p>
      <w:pPr>
        <w:pStyle w:val="BodyText"/>
        <w:keepNext/>
        <w:keepLines/>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5. HTA truy cập mô tả.</w:t>
      </w:r>
    </w:p>
    <w:bookmarkEnd w:id="763"/>
    <w:bookmarkStart w:id="767" w:name="X9b7b94b8bbaa4859f81e3f00f4af2e09b0715e8"/>
    <w:p>
      <w:pPr>
        <w:pStyle w:val="Heading3"/>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keepNext/>
        <w:keepLines/>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6. HTA dùng trình đọc màn hình.</w:t>
      </w:r>
    </w:p>
    <w:bookmarkEnd w:id="767"/>
    <w:bookmarkStart w:id="771" w:name="Xdd51292eb54f43addfbcb2654df854655f6c0e5"/>
    <w:p>
      <w:pPr>
        <w:pStyle w:val="Heading3"/>
      </w:pPr>
      <w:r>
        <w:rPr>
          <w:lang w:val="vi-VN"/>
        </w:rPr>
        <w:t xml:space="preserve">HTA 7: Thiết lập và sử dụng tín hiệu rung cho M7</w:t>
      </w:r>
    </w:p>
    <w:p>
      <w:pPr>
        <w:pStyle w:val="FirstParagraph"/>
      </w:pPr>
      <w:r>
        <w:rPr>
          <w:lang w:val="vi-VN"/>
        </w:rPr>
        <w:t>Công tắc rung chỉ là minh họa. Rung theo mốc chưa triển khai.</w:t>
      </w:r>
    </w:p>
    <w:p>
      <w:pPr>
        <w:pStyle w:val="BodyText"/>
        <w:keepNext/>
        <w:keepLines/>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7. HTA thiết lập rung.</w:t>
      </w:r>
    </w:p>
    <w:bookmarkEnd w:id="771"/>
    <w:bookmarkStart w:id="775" w:name="X88ea4e6cc2ac7120e4bd6865ef0f2baaeaf622d"/>
    <w:p>
      <w:pPr>
        <w:pStyle w:val="Heading3"/>
      </w:pPr>
      <w:r>
        <w:rPr>
          <w:lang w:val="vi-VN"/>
        </w:rPr>
        <w:t xml:space="preserve">HTA 8: Kiểm tra nguồn của nội dung lịch sử cho M8</w:t>
      </w:r>
    </w:p>
    <w:p>
      <w:pPr>
        <w:pStyle w:val="FirstParagraph"/>
      </w:pPr>
      <w:r>
        <w:rPr>
          <w:lang w:val="vi-VN"/>
        </w:rPr>
        <w:t>Người dùng mở mục Nguồn rồi trở lại câu chuyện. Nguồn thật chưa bổ sung.</w:t>
      </w:r>
    </w:p>
    <w:p>
      <w:pPr>
        <w:pStyle w:val="BodyText"/>
        <w:keepNext/>
        <w:keepLines/>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8. HTA kiểm tra nguồn.</w:t>
      </w:r>
    </w:p>
    <w:bookmarkEnd w:id="775"/>
    <w:bookmarkStart w:id="779" w:name="X4310957e2e51bb03bd452d766a4267f729a20ff"/>
    <w:p>
      <w:pPr>
        <w:pStyle w:val="Heading3"/>
      </w:pPr>
      <w:r>
        <w:rPr>
          <w:lang w:val="vi-VN"/>
        </w:rPr>
        <w:t xml:space="preserve">HTA 9: Mua và trải nghiệm Premium Historical Tour</w:t>
      </w:r>
    </w:p>
    <w:p>
      <w:pPr>
        <w:pStyle w:val="FirstParagraph"/>
      </w:pPr>
      <w:r>
        <w:rPr>
          <w:lang w:val="vi-VN"/>
        </w:rPr>
        <w:t>Xem giá, nghe thử, mua và theo tuyến. AR luôn có phương án thay thế. Thanh toán đang mô phỏng.</w:t>
      </w:r>
    </w:p>
    <w:p>
      <w:pPr>
        <w:pStyle w:val="BodyText"/>
        <w:keepNext/>
        <w:keepLines/>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keepLines/>
        <w:jc w:val="center"/>
      </w:pPr>
      <w:r>
        <w:rPr>
          <w:i w:val="0"/>
          <w:lang w:val="vi-VN"/>
        </w:rPr>
        <w:t xml:space="preserve">Hình 9. HTA tour trả phí.</w:t>
      </w:r>
    </w:p>
    <w:bookmarkEnd w:id="779"/>
    <w:bookmarkEnd w:id="780"/>
    <w:bookmarkStart w:id="795" w:name="Xd8d4798b3291d67464a452e96bea4fc184c7d24"/>
    <w:p>
      <w:pPr>
        <w:pStyle w:val="Heading2"/>
      </w:pPr>
      <w:r>
        <w:rPr>
          <w:lang w:val="vi-VN"/>
        </w:rPr>
        <w:t xml:space="preserve">2.5. Kiến trúc thông tin và phác thảo độ trung thực thấp</w:t>
      </w:r>
    </w:p>
    <w:bookmarkStart w:id="784" w:name="sitemap-và-điều-hướng"/>
    <w:p>
      <w:pPr>
        <w:pStyle w:val="Heading3"/>
      </w:pPr>
      <w:r>
        <w:rPr>
          <w:lang w:val="vi-VN"/>
        </w:rPr>
        <w:t xml:space="preserve">2.5.1. Sitemap và điều hướng</w:t>
      </w:r>
    </w:p>
    <w:p>
      <w:pPr>
        <w:pStyle w:val="FirstParagraph"/>
      </w:pPr>
      <w:r>
        <w:rPr>
          <w:lang w:val="vi-VN"/>
        </w:rPr>
        <w:t>Sáu khu vực gồm Khởi động, Khám phá, Tour, Đã lưu, Cá nhân và Trợ năng. Thanh dưới dẫn đến bốn khu vực chính. Thiết lập trợ năng dùng xuyên suốt.</w:t>
      </w:r>
    </w:p>
    <w:p>
      <w:pPr>
        <w:pStyle w:val="BodyText"/>
        <w:keepNext/>
        <w:keepLines/>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keepLines/>
        <w:jc w:val="center"/>
      </w:pPr>
      <w:r>
        <w:rPr>
          <w:i w:val="0"/>
          <w:lang w:val="vi-VN"/>
        </w:rPr>
        <w:t xml:space="preserve">Hình 10. Sitemap của ứng dụng.</w:t>
      </w:r>
    </w:p>
    <w:bookmarkEnd w:id="784"/>
    <w:bookmarkStart w:id="794" w:name="bản-phác-thảo-số-low-fi-dựa-trên-hta"/>
    <w:p>
      <w:pPr>
        <w:pStyle w:val="Heading3"/>
      </w:pPr>
      <w:r>
        <w:rPr>
          <w:lang w:val="vi-VN"/>
        </w:rPr>
        <w:t xml:space="preserve">2.5.2. Bản phác thảo số low-fi dựa trên HTA</w:t>
      </w:r>
    </w:p>
    <w:p>
      <w:pPr>
        <w:pStyle w:val="FirstParagraph"/>
      </w:pPr>
      <w:r>
        <w:rPr>
          <w:lang w:val="vi-VN"/>
        </w:rPr>
        <w:t>Ba phác thảo số mô tả luồng miễn phí, trợ năng và Premium.</w:t>
      </w:r>
    </w:p>
    <w:p>
      <w:pPr>
        <w:pStyle w:val="BodyText"/>
        <w:keepNext/>
        <w:keepLines/>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11. Phác thảo luồng miễn phí.</w:t>
      </w:r>
    </w:p>
    <w:p>
      <w:pPr>
        <w:pStyle w:val="BodyText"/>
        <w:keepNext/>
        <w:keepLines/>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12. Phác thảo trợ năng.</w:t>
      </w:r>
    </w:p>
    <w:p>
      <w:pPr>
        <w:pStyle w:val="BodyText"/>
        <w:keepNext/>
        <w:keepLines/>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13. Phác thảo tour trả phí.</w:t>
      </w:r>
    </w:p>
    <w:bookmarkEnd w:id="794"/>
    <w:bookmarkEnd w:id="795"/>
    <w:bookmarkStart w:id="863" w:name="X35e3f36cf956de191143118e9210ab6a2945c6d"/>
    <w:p>
      <w:pPr>
        <w:pStyle w:val="Heading2"/>
      </w:pPr>
      <w:r>
        <w:rPr>
          <w:lang w:val="vi-VN"/>
        </w:rPr>
        <w:t xml:space="preserve">2.6. Rà soát và điều chỉnh giao diện theo nguyên tắc khả dụng</w:t>
      </w:r>
    </w:p>
    <w:p>
      <w:pPr>
        <w:pStyle w:val="FirstParagraph"/>
      </w:pPr>
      <w:r>
        <w:rPr>
          <w:lang w:val="vi-VN"/>
        </w:rPr>
        <w:t>Đánh giá theo 10 nguyên tắc của Nielsen dẫn đến ba điều chỉnh chính: thêm lối danh sách khi QR lỗi, hiển thị trạng thái trình phát, và đặt giá cùng phần nghe thử trước xác nhận mua.</w:t>
      </w:r>
    </w:p>
    <w:p>
      <w:pPr>
        <w:pStyle w:val="BodyText"/>
        <w:keepNext/>
        <w:keepLines/>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14. Mockup Figma: mở hiện vật và nghe chuyện miễn phí (frame 01, 03).</w:t>
      </w:r>
    </w:p>
    <w:p>
      <w:pPr>
        <w:pStyle w:val="BodyText"/>
        <w:keepNext/>
        <w:keepLines/>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15. Mockup Figma: giá trước khi mua và lối tiếp tục khi AR lỗi (frame 12, 05).</w:t>
      </w:r>
    </w:p>
    <w:p>
      <w:pPr>
        <w:pStyle w:val="BodyText"/>
        <w:keepNext/>
        <w:keepLines/>
      </w:pPr>
      <w:r>
        <w:drawing>
          <wp:inline>
            <wp:extent cx="2416302" cy="5229125"/>
            <wp:effectExtent b="0" l="0" r="0" t="0"/>
            <wp:docPr descr="Danh sách tour" title="" id="809" name="Picture"/>
            <a:graphic>
              <a:graphicData uri="http://schemas.openxmlformats.org/drawingml/2006/picture">
                <pic:pic>
                  <pic:nvPicPr>
                    <pic:cNvPr descr="../04-design/high-fidelity/11-danh-sach-tour.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iến trình tour" title="" id="812" name="Picture"/>
            <a:graphic>
              <a:graphicData uri="http://schemas.openxmlformats.org/drawingml/2006/picture">
                <pic:pic>
                  <pic:nvPicPr>
                    <pic:cNvPr descr="../04-design/high-fidelity/13-tien-trinh-tour.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16. Danh sách và tiến trình tour (frame 11, 13).</w:t>
      </w:r>
    </w:p>
    <w:p>
      <w:pPr>
        <w:pStyle w:val="BodyText"/>
        <w:keepNext/>
        <w:keepLines/>
      </w:pPr>
      <w:r>
        <w:drawing>
          <wp:inline>
            <wp:extent cx="2416302" cy="5229125"/>
            <wp:effectExtent b="0" l="0" r="0" t="0"/>
            <wp:docPr descr="Thiết lập trợ năng" title="" id="815" name="Picture"/>
            <a:graphic>
              <a:graphicData uri="http://schemas.openxmlformats.org/drawingml/2006/picture">
                <pic:pic>
                  <pic:nvPicPr>
                    <pic:cNvPr descr="../04-design/high-fidelity/06-tro-nang.png" id="816" name="Picture"/>
                    <pic:cNvPicPr>
                      <a:picLocks noChangeArrowheads="1" noChangeAspect="1"/>
                    </pic:cNvPicPr>
                  </pic:nvPicPr>
                  <pic:blipFill>
                    <a:blip r:embed="rId81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8" name="Picture"/>
            <a:graphic>
              <a:graphicData uri="http://schemas.openxmlformats.org/drawingml/2006/picture">
                <pic:pic>
                  <pic:nvPicPr>
                    <pic:cNvPr descr="../04-design/high-fidelity/20-camera-khong-co-quyen.png" id="819" name="Picture"/>
                    <pic:cNvPicPr>
                      <a:picLocks noChangeArrowheads="1" noChangeAspect="1"/>
                    </pic:cNvPicPr>
                  </pic:nvPicPr>
                  <pic:blipFill>
                    <a:blip r:embed="rId81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17. Mockup Figma: thiết lập trợ năng và lối mở không dùng camera (frame 06, 20).</w:t>
      </w:r>
    </w:p>
    <w:bookmarkStart w:id="862" w:name="các-màn-hình-mockup-bổ-sung"/>
    <w:p>
      <w:pPr>
        <w:pStyle w:val="Heading3"/>
      </w:pPr>
      <w:r>
        <w:rPr>
          <w:lang w:val="vi-VN"/>
        </w:rPr>
        <w:t xml:space="preserve">Các màn hình mockup bổ sung</w:t>
      </w:r>
    </w:p>
    <w:p>
      <w:pPr>
        <w:pStyle w:val="FirstParagraph"/>
        <w:keepNext/>
        <w:keepLines/>
      </w:pPr>
      <w:r>
        <w:drawing>
          <wp:inline>
            <wp:extent cx="2416302" cy="5229125"/>
            <wp:effectExtent b="0" l="0" r="0" t="0"/>
            <wp:docPr descr="Chào mừng" title="" id="821" name="Picture"/>
            <a:graphic>
              <a:graphicData uri="http://schemas.openxmlformats.org/drawingml/2006/picture">
                <pic:pic>
                  <pic:nvPicPr>
                    <pic:cNvPr descr="../04-design/high-fidelity/07-chao-mung.png" id="822" name="Picture"/>
                    <pic:cNvPicPr>
                      <a:picLocks noChangeArrowheads="1" noChangeAspect="1"/>
                    </pic:cNvPicPr>
                  </pic:nvPicPr>
                  <pic:blipFill>
                    <a:blip r:embed="rId82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họn địa điểm" title="" id="824" name="Picture"/>
            <a:graphic>
              <a:graphicData uri="http://schemas.openxmlformats.org/drawingml/2006/picture">
                <pic:pic>
                  <pic:nvPicPr>
                    <pic:cNvPr descr="../04-design/high-fidelity/08-chon-dia-diem.png" id="825" name="Picture"/>
                    <pic:cNvPicPr>
                      <a:picLocks noChangeArrowheads="1" noChangeAspect="1"/>
                    </pic:cNvPicPr>
                  </pic:nvPicPr>
                  <pic:blipFill>
                    <a:blip r:embed="rId82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18. Chào mừng và chọn địa điểm (frame 07, 08).</w:t>
      </w:r>
    </w:p>
    <w:p>
      <w:pPr>
        <w:pStyle w:val="BodyText"/>
        <w:keepNext/>
        <w:keepLines/>
      </w:pPr>
      <w:r>
        <w:drawing>
          <wp:inline>
            <wp:extent cx="2416302" cy="5229125"/>
            <wp:effectExtent b="0" l="0" r="0" t="0"/>
            <wp:docPr descr="Danh sách hiện vật" title="" id="827" name="Picture"/>
            <a:graphic>
              <a:graphicData uri="http://schemas.openxmlformats.org/drawingml/2006/picture">
                <pic:pic>
                  <pic:nvPicPr>
                    <pic:cNvPr descr="../04-design/high-fidelity/02-danh-sach-hien-vat.png" id="828" name="Picture"/>
                    <pic:cNvPicPr>
                      <a:picLocks noChangeArrowheads="1" noChangeAspect="1"/>
                    </pic:cNvPicPr>
                  </pic:nvPicPr>
                  <pic:blipFill>
                    <a:blip r:embed="rId82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Quét mã" title="" id="830" name="Picture"/>
            <a:graphic>
              <a:graphicData uri="http://schemas.openxmlformats.org/drawingml/2006/picture">
                <pic:pic>
                  <pic:nvPicPr>
                    <pic:cNvPr descr="../04-design/high-fidelity/09-quet-ma.png" id="831" name="Picture"/>
                    <pic:cNvPicPr>
                      <a:picLocks noChangeArrowheads="1" noChangeAspect="1"/>
                    </pic:cNvPicPr>
                  </pic:nvPicPr>
                  <pic:blipFill>
                    <a:blip r:embed="rId82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19. Danh sách hiện vật và quét mã (frame 02, 09).</w:t>
      </w:r>
    </w:p>
    <w:p>
      <w:pPr>
        <w:pStyle w:val="BodyText"/>
        <w:keepNext/>
        <w:keepLines/>
      </w:pPr>
      <w:r>
        <w:drawing>
          <wp:inline>
            <wp:extent cx="2416302" cy="5229125"/>
            <wp:effectExtent b="0" l="0" r="0" t="0"/>
            <wp:docPr descr="Gợi ý tiếp theo" title="" id="833" name="Picture"/>
            <a:graphic>
              <a:graphicData uri="http://schemas.openxmlformats.org/drawingml/2006/picture">
                <pic:pic>
                  <pic:nvPicPr>
                    <pic:cNvPr descr="../04-design/high-fidelity/10-goi-y-tiep-theo.png" id="834" name="Picture"/>
                    <pic:cNvPicPr>
                      <a:picLocks noChangeArrowheads="1" noChangeAspect="1"/>
                    </pic:cNvPicPr>
                  </pic:nvPicPr>
                  <pic:blipFill>
                    <a:blip r:embed="rId83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Bản chép lời" title="" id="836" name="Picture"/>
            <a:graphic>
              <a:graphicData uri="http://schemas.openxmlformats.org/drawingml/2006/picture">
                <pic:pic>
                  <pic:nvPicPr>
                    <pic:cNvPr descr="../04-design/high-fidelity/21-ban-chep-loi.png" id="837" name="Picture"/>
                    <pic:cNvPicPr>
                      <a:picLocks noChangeArrowheads="1" noChangeAspect="1"/>
                    </pic:cNvPicPr>
                  </pic:nvPicPr>
                  <pic:blipFill>
                    <a:blip r:embed="rId83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20. Gợi ý tiếp theo và bản chép lời (frame 10, 21).</w:t>
      </w:r>
    </w:p>
    <w:p>
      <w:pPr>
        <w:pStyle w:val="BodyText"/>
        <w:keepNext/>
        <w:keepLines/>
      </w:pPr>
      <w:r>
        <w:drawing>
          <wp:inline>
            <wp:extent cx="2416302" cy="5229125"/>
            <wp:effectExtent b="0" l="0" r="0" t="0"/>
            <wp:docPr descr="Tour Premium" title="" id="839" name="Picture"/>
            <a:graphic>
              <a:graphicData uri="http://schemas.openxmlformats.org/drawingml/2006/picture">
                <pic:pic>
                  <pic:nvPicPr>
                    <pic:cNvPr descr="../04-design/high-fidelity/04-tour-premium.png" id="840" name="Picture"/>
                    <pic:cNvPicPr>
                      <a:picLocks noChangeArrowheads="1" noChangeAspect="1"/>
                    </pic:cNvPicPr>
                  </pic:nvPicPr>
                  <pic:blipFill>
                    <a:blip r:embed="rId83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iểm Premium" title="" id="842" name="Picture"/>
            <a:graphic>
              <a:graphicData uri="http://schemas.openxmlformats.org/drawingml/2006/picture">
                <pic:pic>
                  <pic:nvPicPr>
                    <pic:cNvPr descr="../04-design/high-fidelity/14-diem-premium.png" id="843" name="Picture"/>
                    <pic:cNvPicPr>
                      <a:picLocks noChangeArrowheads="1" noChangeAspect="1"/>
                    </pic:cNvPicPr>
                  </pic:nvPicPr>
                  <pic:blipFill>
                    <a:blip r:embed="rId84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21. Xem tour và điểm trả phí (frame 04, 14).</w:t>
      </w:r>
    </w:p>
    <w:p>
      <w:pPr>
        <w:pStyle w:val="BodyText"/>
        <w:keepNext/>
        <w:keepLines/>
      </w:pPr>
      <w:r>
        <w:drawing>
          <wp:inline>
            <wp:extent cx="2416302" cy="5229125"/>
            <wp:effectExtent b="0" l="0" r="0" t="0"/>
            <wp:docPr descr="Hoàn thành tour" title="" id="845" name="Picture"/>
            <a:graphic>
              <a:graphicData uri="http://schemas.openxmlformats.org/drawingml/2006/picture">
                <pic:pic>
                  <pic:nvPicPr>
                    <pic:cNvPr descr="../04-design/high-fidelity/15-hoan-thanh.png" id="846" name="Picture"/>
                    <pic:cNvPicPr>
                      <a:picLocks noChangeArrowheads="1" noChangeAspect="1"/>
                    </pic:cNvPicPr>
                  </pic:nvPicPr>
                  <pic:blipFill>
                    <a:blip r:embed="rId84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Dòng thời gian và nguồn" title="" id="848" name="Picture"/>
            <a:graphic>
              <a:graphicData uri="http://schemas.openxmlformats.org/drawingml/2006/picture">
                <pic:pic>
                  <pic:nvPicPr>
                    <pic:cNvPr descr="../04-design/high-fidelity/22-dong-thoi-gian-nguon.png" id="849" name="Picture"/>
                    <pic:cNvPicPr>
                      <a:picLocks noChangeArrowheads="1" noChangeAspect="1"/>
                    </pic:cNvPicPr>
                  </pic:nvPicPr>
                  <pic:blipFill>
                    <a:blip r:embed="rId84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22. Hoàn thành tour và nguồn nội dung (frame 15, 22).</w:t>
      </w:r>
    </w:p>
    <w:p>
      <w:pPr>
        <w:pStyle w:val="BodyText"/>
        <w:keepNext/>
        <w:keepLines/>
      </w:pPr>
      <w:r>
        <w:drawing>
          <wp:inline>
            <wp:extent cx="2416302" cy="5229125"/>
            <wp:effectExtent b="0" l="0" r="0" t="0"/>
            <wp:docPr descr="Đã lưu" title="" id="851" name="Picture"/>
            <a:graphic>
              <a:graphicData uri="http://schemas.openxmlformats.org/drawingml/2006/picture">
                <pic:pic>
                  <pic:nvPicPr>
                    <pic:cNvPr descr="../04-design/high-fidelity/16-da-luu.png" id="852" name="Picture"/>
                    <pic:cNvPicPr>
                      <a:picLocks noChangeArrowheads="1" noChangeAspect="1"/>
                    </pic:cNvPicPr>
                  </pic:nvPicPr>
                  <pic:blipFill>
                    <a:blip r:embed="rId85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á nhân" title="" id="854" name="Picture"/>
            <a:graphic>
              <a:graphicData uri="http://schemas.openxmlformats.org/drawingml/2006/picture">
                <pic:pic>
                  <pic:nvPicPr>
                    <pic:cNvPr descr="../04-design/high-fidelity/17-ca-nhan.png" id="855" name="Picture"/>
                    <pic:cNvPicPr>
                      <a:picLocks noChangeArrowheads="1" noChangeAspect="1"/>
                    </pic:cNvPicPr>
                  </pic:nvPicPr>
                  <pic:blipFill>
                    <a:blip r:embed="rId85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23. Đã lưu và trang cá nhân (frame 16, 17).</w:t>
      </w:r>
    </w:p>
    <w:p>
      <w:pPr>
        <w:pStyle w:val="BodyText"/>
        <w:keepNext/>
        <w:keepLines/>
      </w:pPr>
      <w:r>
        <w:drawing>
          <wp:inline>
            <wp:extent cx="2416302" cy="5229125"/>
            <wp:effectExtent b="0" l="0" r="0" t="0"/>
            <wp:docPr descr="Nhập mã lỗi" title="" id="857" name="Picture"/>
            <a:graphic>
              <a:graphicData uri="http://schemas.openxmlformats.org/drawingml/2006/picture">
                <pic:pic>
                  <pic:nvPicPr>
                    <pic:cNvPr descr="../04-design/high-fidelity/18-nhap-ma-loi.png" id="858" name="Picture"/>
                    <pic:cNvPicPr>
                      <a:picLocks noChangeArrowheads="1" noChangeAspect="1"/>
                    </pic:cNvPicPr>
                  </pic:nvPicPr>
                  <pic:blipFill>
                    <a:blip r:embed="rId85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ã lưu rỗng" title="" id="860" name="Picture"/>
            <a:graphic>
              <a:graphicData uri="http://schemas.openxmlformats.org/drawingml/2006/picture">
                <pic:pic>
                  <pic:nvPicPr>
                    <pic:cNvPr descr="../04-design/high-fidelity/19-da-luu-rong.png" id="861" name="Picture"/>
                    <pic:cNvPicPr>
                      <a:picLocks noChangeArrowheads="1" noChangeAspect="1"/>
                    </pic:cNvPicPr>
                  </pic:nvPicPr>
                  <pic:blipFill>
                    <a:blip r:embed="rId85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24. Nhập mã lỗi và danh sách rỗng (frame 18, 19).</w:t>
      </w:r>
    </w:p>
    <w:p>
      <w:pPr>
        <w:pStyle w:val="BodyText"/>
      </w:pPr>
      <w:r>
        <w:rPr>
          <w:lang w:val="vi-VN"/>
        </w:rPr>
        <w:t>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62"/>
    <w:bookmarkEnd w:id="863"/>
    <w:bookmarkStart w:id="867" w:name="liên-kết-thiết-kế-và-mã-nguồn"/>
    <w:p>
      <w:pPr>
        <w:pStyle w:val="Heading2"/>
      </w:pPr>
      <w:r>
        <w:rPr>
          <w:lang w:val="vi-VN"/>
        </w:rPr>
        <w:t xml:space="preserve">2.7. Liên kết thiết kế và mã nguồn</w:t>
      </w:r>
    </w:p>
    <w:p>
      <w:pPr>
        <w:pStyle w:val="Compact"/>
        <w:numPr>
          <w:ilvl w:val="0"/>
          <w:numId w:val="1001"/>
        </w:numPr>
      </w:pPr>
      <w:hyperlink r:id="rId864">
        <w:r>
          <w:rPr>
            <w:rStyle w:val="Hyperlink"/>
            <w:lang w:val="vi-VN"/>
          </w:rPr>
          <w:t xml:space="preserve">Mockup Figma mức cao: 22 màn hình</w:t>
        </w:r>
      </w:hyperlink>
      <w:r>
        <w:rPr>
          <w:lang w:val="vi-VN"/>
        </w:rPr>
        <w:t xml:space="preserve">.</w:t>
      </w:r>
    </w:p>
    <w:p>
      <w:pPr>
        <w:pStyle w:val="Compact"/>
        <w:numPr>
          <w:ilvl w:val="0"/>
          <w:numId w:val="1001"/>
        </w:numPr>
      </w:pPr>
      <w:hyperlink r:id="rId865">
        <w:r>
          <w:rPr>
            <w:rStyle w:val="Hyperlink"/>
            <w:lang w:val="vi-VN"/>
          </w:rPr>
          <w:t xml:space="preserve">Phác thảo Figma low-fi: ba luồng</w:t>
        </w:r>
      </w:hyperlink>
      <w:r>
        <w:rPr>
          <w:lang w:val="vi-VN"/>
        </w:rPr>
        <w:t xml:space="preserve">.</w:t>
      </w:r>
    </w:p>
    <w:p>
      <w:pPr>
        <w:pStyle w:val="Compact"/>
        <w:numPr>
          <w:ilvl w:val="0"/>
          <w:numId w:val="1001"/>
        </w:numPr>
      </w:pPr>
      <w:hyperlink r:id="rId866">
        <w:r>
          <w:rPr>
            <w:rStyle w:val="Hyperlink"/>
            <w:lang w:val="vi-VN"/>
          </w:rPr>
          <w:t xml:space="preserve">Mã nguồn Dấu Xưa trên GitHub</w:t>
        </w:r>
      </w:hyperlink>
      <w:r>
        <w:rPr>
          <w:lang w:val="vi-VN"/>
        </w:rPr>
        <w:t xml:space="preserve">.</w:t>
      </w:r>
    </w:p>
    <w:bookmarkEnd w:id="867"/>
    <w:bookmarkEnd w:id="868"/>
    <w:bookmarkStart w:id="876" w:name="tài-liệu-tham-khảo"/>
    <w:p>
      <w:pPr>
        <w:pStyle w:val="Heading1"/>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69">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70">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71">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72">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73">
        <w:r>
          <w:rPr>
            <w:rStyle w:val="Hyperlink"/>
            <w:lang w:val="vi-VN"/>
          </w:rPr>
          <w:t xml:space="preserve">https://play.google.com/store/apps/details?id=com.mobgen.smartify</w:t>
        </w:r>
      </w:hyperlink>
      <w:r>
        <w:rPr>
          <w:lang w:val="vi-VN"/>
        </w:rPr>
        <w:t xml:space="preserve">.</w:t>
      </w:r>
    </w:p>
    <w:p>
      <w:pPr>
        <w:pStyle w:val="BodyText"/>
      </w:pPr>
      <w:r>
        <w:rPr>
          <w:lang w:val="vi-VN"/>
        </w:rPr>
        <w:t xml:space="preserve">Vi Chi Thanh (2026a),</w:t>
      </w:r>
      <w:r>
        <w:rPr>
          <w:lang w:val="vi-VN"/>
        </w:rPr>
        <w:t xml:space="preserve"> </w:t>
      </w:r>
      <w:r>
        <w:rPr>
          <w:i/>
          <w:iCs/>
          <w:lang w:val="vi-VN"/>
        </w:rPr>
        <w:t xml:space="preserve">Week 2: Introduction to User-Centred Design Methods</w:t>
      </w:r>
      <w:r>
        <w:rPr>
          <w:lang w:val="vi-VN"/>
        </w:rPr>
        <w:t xml:space="preserve">. Tài liệu môn học, University of Information Technology và Birmingham City University.</w:t>
      </w:r>
    </w:p>
    <w:p>
      <w:pPr>
        <w:pStyle w:val="BodyText"/>
      </w:pPr>
      <w:r>
        <w:rPr>
          <w:lang w:val="vi-VN"/>
        </w:rPr>
        <w:t xml:space="preserve">Vi Chi Thanh (2026b),</w:t>
      </w:r>
      <w:r>
        <w:rPr>
          <w:lang w:val="vi-VN"/>
        </w:rPr>
        <w:t xml:space="preserve"> </w:t>
      </w:r>
      <w:r>
        <w:rPr>
          <w:i/>
          <w:iCs/>
          <w:lang w:val="vi-VN"/>
        </w:rPr>
        <w:t xml:space="preserve">Week 3: Introduction to Accessibility and Inclusive Design</w:t>
      </w:r>
      <w:r>
        <w:rPr>
          <w:lang w:val="vi-VN"/>
        </w:rPr>
        <w:t xml:space="preserve">. Tài liệu môn học, University of Information Technology và Birmingham City University.</w:t>
      </w:r>
    </w:p>
    <w:p>
      <w:pPr>
        <w:pStyle w:val="BodyText"/>
      </w:pPr>
      <w:r>
        <w:rPr>
          <w:lang w:val="vi-VN"/>
        </w:rPr>
        <w:t xml:space="preserve">W3C Web Accessibility Initiative (2024a),</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74">
        <w:r>
          <w:rPr>
            <w:rStyle w:val="Hyperlink"/>
            <w:lang w:val="vi-VN"/>
          </w:rPr>
          <w:t xml:space="preserve">https://www.w3.org/WAI/people-use-web/</w:t>
        </w:r>
      </w:hyperlink>
      <w:r>
        <w:rPr>
          <w:lang w:val="vi-VN"/>
        </w:rPr>
        <w:t xml:space="preserve">.</w:t>
      </w:r>
    </w:p>
    <w:p>
      <w:pPr>
        <w:pStyle w:val="BodyText"/>
      </w:pPr>
      <w:r>
        <w:rPr>
          <w:lang w:val="vi-VN"/>
        </w:rPr>
        <w:t xml:space="preserve">W3C Web Accessibility Initiative (2024b),</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75">
        <w:r>
          <w:rPr>
            <w:rStyle w:val="Hyperlink"/>
            <w:lang w:val="vi-VN"/>
          </w:rPr>
          <w:t xml:space="preserve">https://www.w3.org/WAI/planning/involving-users/</w:t>
        </w:r>
      </w:hyperlink>
      <w:r>
        <w:rPr>
          <w:lang w:val="vi-VN"/>
        </w:rPr>
        <w:t xml:space="preserve">.</w:t>
      </w:r>
    </w:p>
    <w:bookmarkEnd w:id="876"/>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826" Type="http://schemas.openxmlformats.org/officeDocument/2006/relationships/image" Target="media/rId826.png"/><Relationship Id="rId799" Type="http://schemas.openxmlformats.org/officeDocument/2006/relationships/image" Target="media/rId799.png"/><Relationship Id="rId838" Type="http://schemas.openxmlformats.org/officeDocument/2006/relationships/image" Target="media/rId838.png"/><Relationship Id="rId805" Type="http://schemas.openxmlformats.org/officeDocument/2006/relationships/image" Target="media/rId805.png"/><Relationship Id="rId814" Type="http://schemas.openxmlformats.org/officeDocument/2006/relationships/image" Target="media/rId814.png"/><Relationship Id="rId820" Type="http://schemas.openxmlformats.org/officeDocument/2006/relationships/image" Target="media/rId820.png"/><Relationship Id="rId823" Type="http://schemas.openxmlformats.org/officeDocument/2006/relationships/image" Target="media/rId823.png"/><Relationship Id="rId829" Type="http://schemas.openxmlformats.org/officeDocument/2006/relationships/image" Target="media/rId829.png"/><Relationship Id="rId832" Type="http://schemas.openxmlformats.org/officeDocument/2006/relationships/image" Target="media/rId832.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841" Type="http://schemas.openxmlformats.org/officeDocument/2006/relationships/image" Target="media/rId841.png"/><Relationship Id="rId844" Type="http://schemas.openxmlformats.org/officeDocument/2006/relationships/image" Target="media/rId844.png"/><Relationship Id="rId850" Type="http://schemas.openxmlformats.org/officeDocument/2006/relationships/image" Target="media/rId850.png"/><Relationship Id="rId853" Type="http://schemas.openxmlformats.org/officeDocument/2006/relationships/image" Target="media/rId853.png"/><Relationship Id="rId856" Type="http://schemas.openxmlformats.org/officeDocument/2006/relationships/image" Target="media/rId856.png"/><Relationship Id="rId859" Type="http://schemas.openxmlformats.org/officeDocument/2006/relationships/image" Target="media/rId859.png"/><Relationship Id="rId817" Type="http://schemas.openxmlformats.org/officeDocument/2006/relationships/image" Target="media/rId817.png"/><Relationship Id="rId835" Type="http://schemas.openxmlformats.org/officeDocument/2006/relationships/image" Target="media/rId835.png"/><Relationship Id="rId847" Type="http://schemas.openxmlformats.org/officeDocument/2006/relationships/image" Target="media/rId847.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2026-10-25T17:11:07Z</dcterms:created>
  <dcterms:modified xsi:type="dcterms:W3CDTF">2026-10-25T17:11:07Z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