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 xml:space="preserve">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 xml:space="preserve">Thiết kế xem xét sinh viên đi theo nhóm, phụ huynh tham quan cùng gia đình và người khiếm thị dùng trình đọc màn hình. Họ lần lượt cần nội dung nhanh, tuyến theo thời lượng và cách mở hiện vật không phụ thuộc camera. Đây là các giả định thiết kế; chưa có phỏng vấn hoặc kiểm thử với đại diện ba nhóm. W3C khuyến nghị đưa người khuyết tật vào quá trình đánh giá khả năng tiếp cận.</w:t>
      </w:r>
    </w:p>
    <w:bookmarkEnd w:id="727"/>
    <w:bookmarkStart w:id="728" w:name="chức-năng-của-ứng-dụng"/>
    <w:p>
      <w:pPr>
        <w:pStyle w:val="Heading2"/>
      </w:pPr>
      <w:r>
        <w:rPr>
          <w:lang w:val="vi-VN"/>
        </w:rPr>
        <w:t xml:space="preserve">1.3. Chức năng của ứng dụng</w:t>
      </w:r>
    </w:p>
    <w:p>
      <w:pPr>
        <w:pStyle w:val="FirstParagraph"/>
      </w:pPr>
      <w:r>
        <w:rPr>
          <w:lang w:val="vi-VN"/>
        </w:rPr>
        <w:t xml:space="preserve">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Hướng dẫn văn hóa miễn phí;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 xml:space="preserve">Đối chiếu dựa trên chức năng do hai sản phẩm công bố, chưa phải kiểm thử trực tiếp. Dấu Xưa tập trung vào chuyện ngắn tại di sản Việt Nam; giá trị của hướng này vẫn cần kiểm chứng.</w:t>
      </w:r>
    </w:p>
    <w:bookmarkEnd w:id="729"/>
    <w:bookmarkEnd w:id="730"/>
    <w:bookmarkStart w:id="819" w:name="thiết-kế-trải-nghiệm-người-dùng"/>
    <w:p>
      <w:pPr>
        <w:pStyle w:val="Heading1"/>
      </w:pPr>
      <w:r>
        <w:rPr>
          <w:lang w:val="vi-VN"/>
        </w:rPr>
        <w:t xml:space="preserve">2. Thiết kế trải nghiệm người dùng</w:t>
      </w:r>
    </w:p>
    <w:p>
      <w:pPr>
        <w:pStyle w:val="FirstParagraph"/>
      </w:pPr>
      <w:r>
        <w:rPr>
          <w:lang w:val="vi-VN"/>
        </w:rPr>
        <w:t xml:space="preserve">Quy trình UCD đi từ chân dung và kịch bản đến yêu cầu, HTA, phác thảo và rà soát giao diện. Các bước đánh giá người dùng thật chưa được thực hiện.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Nghe chuyện 2–3 phút và biết điểm tiếp theo;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Tự tìm hiện vật, nghe mô tả trước câu chuyện; QR và hình ảnh khó tự thao tác.</w:t>
            </w:r>
          </w:p>
        </w:tc>
      </w:tr>
    </w:tbl>
    <w:p>
      <w:pPr>
        <w:pStyle w:val="BodyText"/>
      </w:pPr>
      <w:r>
        <w:rPr>
          <w:lang w:val="vi-VN"/>
        </w:rPr>
        <w:t xml:space="preserve">Ba chân dung chưa được xác thực bằng nghiên cứu người dùng.</w:t>
      </w:r>
    </w:p>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 xml:space="preserve">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 xml:space="preserve">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 xml:space="preserve">Chọn theo vị trí mô phỏng, tìm tên hoặc danh sách; kiểm tra trước khi xác nhận.</w:t>
      </w:r>
    </w:p>
    <w:p>
      <w:pPr>
        <w:pStyle w:val="BodyText"/>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 xml:space="preserve">QR, mã và danh sách cùng dẫn đến hiện vật; có lối quay lại khi lỗi.</w:t>
      </w:r>
    </w:p>
    <w:p>
      <w:pPr>
        <w:pStyle w:val="BodyText"/>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 xml:space="preserve">Lời kể đi cùng hình ảnh; bản chép lời là phương án thay thế.</w:t>
      </w:r>
    </w:p>
    <w:p>
      <w:pPr>
        <w:pStyle w:val="BodyText"/>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 xml:space="preserve">Mô tả bằng chữ đã có; bản thu mô tả riêng chưa hoàn thành.</w:t>
      </w:r>
    </w:p>
    <w:p>
      <w:pPr>
        <w:pStyle w:val="BodyText"/>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 xml:space="preserve">Công tắc rung chỉ là minh họa; rung theo mốc chưa triển khai.</w:t>
      </w:r>
    </w:p>
    <w:p>
      <w:pPr>
        <w:pStyle w:val="BodyText"/>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 xml:space="preserve">Người dùng mở mục Nguồn rồi trở lại câu chuyện; nguồn thật chưa bổ sung.</w:t>
      </w:r>
    </w:p>
    <w:p>
      <w:pPr>
        <w:pStyle w:val="BodyText"/>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 xml:space="preserve">Xem giá, nghe thử, mua và theo tuyến; AR luôn có phương án thay thế. Thanh toán đang mô phỏng.</w:t>
      </w:r>
    </w:p>
    <w:p>
      <w:pPr>
        <w:pStyle w:val="BodyText"/>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 xml:space="preserve">Sáu khu vực gồm Khởi động, Khám phá, Tour, Đã lưu, Cá nhân và Trợ năng. Thanh dưới dẫn đến bốn khu vực chính; thiết lập trợ năng dùng xuyên suốt.</w:t>
      </w:r>
    </w:p>
    <w:p>
      <w:pPr>
        <w:pStyle w:val="BodyText"/>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 xml:space="preserve">Ba phác thảo số mô tả luồng miễn phí, trợ năng và Premium. Chúng chưa thay cho bản vẽ tay trên giấy hoặc wireframe medium-fi.</w:t>
      </w:r>
    </w:p>
    <w:p>
      <w:pPr>
        <w:pStyle w:val="BodyText"/>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jc w:val="center"/>
      </w:pPr>
      <w:r>
        <w:rPr>
          <w:i w:val="0"/>
          <w:lang w:val="vi-VN"/>
        </w:rPr>
        <w:t xml:space="preserve">Hình 11. Phác thảo luồng miễn phí.</w:t>
      </w:r>
    </w:p>
    <w:p>
      <w:pPr>
        <w:pStyle w:val="BodyText"/>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jc w:val="center"/>
      </w:pPr>
      <w:r>
        <w:rPr>
          <w:i w:val="0"/>
          <w:lang w:val="vi-VN"/>
        </w:rPr>
        <w:t xml:space="preserve">Hình 12. Phác thảo trợ năng.</w:t>
      </w:r>
    </w:p>
    <w:p>
      <w:pPr>
        <w:pStyle w:val="BodyText"/>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jc w:val="center"/>
      </w:pPr>
      <w:r>
        <w:rPr>
          <w:i w:val="0"/>
          <w:lang w:val="vi-VN"/>
        </w:rPr>
        <w:t xml:space="preserve">Hình 13. Phác thảo tour trả phí.</w:t>
      </w:r>
    </w:p>
    <w:bookmarkEnd w:id="794"/>
    <w:bookmarkEnd w:id="795"/>
    <w:bookmarkStart w:id="814"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 xml:space="preserve">Đánh giá theo 10 nguyên tắc của Nielsen dẫn đến ba điều chỉnh chính: thêm lối danh sách khi QR lỗi, hiển thị trạng thái trình phát, và đặt giá cùng phần nghe thử trước xác nhận mua. Đây là rà soát thiết kế, chưa phải kiểm thử với người dùng.</w:t>
      </w:r>
    </w:p>
    <w:p>
      <w:pPr>
        <w:pStyle w:val="BodyText"/>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jc w:val="center"/>
      </w:pPr>
      <w:r>
        <w:rPr>
          <w:i w:val="0"/>
          <w:lang w:val="vi-VN"/>
        </w:rPr>
        <w:t xml:space="preserve">Hình 14. Mockup Figma: mở hiện vật và nghe chuyện miễn phí.</w:t>
      </w:r>
    </w:p>
    <w:p>
      <w:pPr>
        <w:pStyle w:val="BodyText"/>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jc w:val="center"/>
      </w:pPr>
      <w:r>
        <w:rPr>
          <w:i w:val="0"/>
          <w:lang w:val="vi-VN"/>
        </w:rPr>
        <w:t xml:space="preserve">Hình 15. Mockup Figma: giá trước khi mua và lối tiếp tục khi AR lỗi.</w:t>
      </w:r>
    </w:p>
    <w:p>
      <w:pPr>
        <w:pStyle w:val="BodyText"/>
      </w:pPr>
      <w:r>
        <w:drawing>
          <wp:inline>
            <wp:extent cx="2416302" cy="5229125"/>
            <wp:effectExtent b="0" l="0" r="0" t="0"/>
            <wp:docPr descr="Thiết lập trợ năng" title="" id="809" name="Picture"/>
            <a:graphic>
              <a:graphicData uri="http://schemas.openxmlformats.org/drawingml/2006/picture">
                <pic:pic>
                  <pic:nvPicPr>
                    <pic:cNvPr descr="../04-design/high-fidelity/06-tro-nang.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2" name="Picture"/>
            <a:graphic>
              <a:graphicData uri="http://schemas.openxmlformats.org/drawingml/2006/picture">
                <pic:pic>
                  <pic:nvPicPr>
                    <pic:cNvPr descr="../04-design/high-fidelity/20-camera-khong-co-quyen.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jc w:val="center"/>
      </w:pPr>
      <w:r>
        <w:rPr>
          <w:i w:val="0"/>
          <w:lang w:val="vi-VN"/>
        </w:rPr>
        <w:t xml:space="preserve">Hình 16. Mockup Figma: thiết lập trợ năng và lối mở không dùng camera.</w:t>
      </w:r>
    </w:p>
    <w:p>
      <w:pPr>
        <w:pStyle w:val="BodyText"/>
      </w:pPr>
      <w:r>
        <w:rPr>
          <w:lang w:val="vi-VN"/>
        </w:rPr>
        <w:t xml:space="preserve">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14"/>
    <w:bookmarkStart w:id="818" w:name="liên-kết-thiết-kế-và-mã-nguồn"/>
    <w:p>
      <w:pPr>
        <w:pStyle w:val="Heading2"/>
      </w:pPr>
      <w:r>
        <w:rPr>
          <w:lang w:val="vi-VN"/>
        </w:rPr>
        <w:t xml:space="preserve">2.7. Liên kết thiết kế và mã nguồn</w:t>
      </w:r>
    </w:p>
    <w:p>
      <w:pPr>
        <w:pStyle w:val="Compact"/>
        <w:numPr>
          <w:ilvl w:val="0"/>
          <w:numId w:val="1001"/>
        </w:numPr>
      </w:pPr>
      <w:hyperlink r:id="rId815">
        <w:r>
          <w:rPr>
            <w:rStyle w:val="Hyperlink"/>
            <w:lang w:val="vi-VN"/>
          </w:rPr>
          <w:t xml:space="preserve">Mockup Figma mức cao: 22 màn hình</w:t>
        </w:r>
      </w:hyperlink>
      <w:r>
        <w:rPr>
          <w:lang w:val="vi-VN"/>
        </w:rPr>
        <w:t xml:space="preserve">.</w:t>
      </w:r>
    </w:p>
    <w:p>
      <w:pPr>
        <w:pStyle w:val="Compact"/>
        <w:numPr>
          <w:ilvl w:val="0"/>
          <w:numId w:val="1001"/>
        </w:numPr>
      </w:pPr>
      <w:hyperlink r:id="rId816">
        <w:r>
          <w:rPr>
            <w:rStyle w:val="Hyperlink"/>
            <w:lang w:val="vi-VN"/>
          </w:rPr>
          <w:t xml:space="preserve">Phác thảo Figma low-fi: ba luồng</w:t>
        </w:r>
      </w:hyperlink>
      <w:r>
        <w:rPr>
          <w:lang w:val="vi-VN"/>
        </w:rPr>
        <w:t xml:space="preserve">.</w:t>
      </w:r>
    </w:p>
    <w:p>
      <w:pPr>
        <w:pStyle w:val="Compact"/>
        <w:numPr>
          <w:ilvl w:val="0"/>
          <w:numId w:val="1001"/>
        </w:numPr>
      </w:pPr>
      <w:hyperlink r:id="rId817">
        <w:r>
          <w:rPr>
            <w:rStyle w:val="Hyperlink"/>
            <w:lang w:val="vi-VN"/>
          </w:rPr>
          <w:t xml:space="preserve">Mã nguồn Dấu Xưa trên GitHub</w:t>
        </w:r>
      </w:hyperlink>
      <w:r>
        <w:rPr>
          <w:lang w:val="vi-VN"/>
        </w:rPr>
        <w:t xml:space="preserve">.</w:t>
      </w:r>
    </w:p>
    <w:bookmarkEnd w:id="818"/>
    <w:bookmarkEnd w:id="819"/>
    <w:bookmarkStart w:id="827"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20">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21">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22">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23">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24">
        <w:r>
          <w:rPr>
            <w:rStyle w:val="Hyperlink"/>
            <w:lang w:val="vi-VN"/>
          </w:rPr>
          <w:t xml:space="preserve">https://play.google.com/store/apps/details?id=com.mobgen.smartify</w:t>
        </w:r>
      </w:hyperlink>
      <w:r>
        <w:rPr>
          <w:lang w:val="vi-VN"/>
        </w:rPr>
        <w:t xml:space="preserve">.</w:t>
      </w:r>
    </w:p>
    <w:p>
      <w:pPr>
        <w:pStyle w:val="BodyText"/>
      </w:pPr>
      <w:r>
        <w:rPr>
          <w:lang w:val="vi-VN"/>
        </w:rPr>
        <w:t xml:space="preserve">Vi Chi Thanh (2026a),</w:t>
      </w:r>
      <w:r>
        <w:rPr>
          <w:lang w:val="vi-VN"/>
        </w:rPr>
        <w:t xml:space="preserve"> </w:t>
      </w:r>
      <w:r>
        <w:rPr>
          <w:i/>
          <w:iCs/>
          <w:lang w:val="vi-VN"/>
        </w:rPr>
        <w:t xml:space="preserve">Week 2: Introduction to User-Centred Design Methods</w:t>
      </w:r>
      <w:r>
        <w:rPr>
          <w:lang w:val="vi-VN"/>
        </w:rPr>
        <w:t xml:space="preserve">. Tài liệu môn học, University of Information Technology và Birmingham City University.</w:t>
      </w:r>
    </w:p>
    <w:p>
      <w:pPr>
        <w:pStyle w:val="BodyText"/>
      </w:pPr>
      <w:r>
        <w:rPr>
          <w:lang w:val="vi-VN"/>
        </w:rPr>
        <w:t xml:space="preserve">Vi Chi Thanh (2026b),</w:t>
      </w:r>
      <w:r>
        <w:rPr>
          <w:lang w:val="vi-VN"/>
        </w:rPr>
        <w:t xml:space="preserve"> </w:t>
      </w:r>
      <w:r>
        <w:rPr>
          <w:i/>
          <w:iCs/>
          <w:lang w:val="vi-VN"/>
        </w:rPr>
        <w:t xml:space="preserve">Week 3: Introduction to Accessibility and Inclusive Design</w:t>
      </w:r>
      <w:r>
        <w:rPr>
          <w:lang w:val="vi-VN"/>
        </w:rPr>
        <w:t xml:space="preserve">. Tài liệu môn học, University of Information Technology và Birmingham City University.</w:t>
      </w:r>
    </w:p>
    <w:p>
      <w:pPr>
        <w:pStyle w:val="BodyText"/>
      </w:pPr>
      <w:r>
        <w:rPr>
          <w:lang w:val="vi-VN"/>
        </w:rPr>
        <w:t xml:space="preserve">W3C Web Accessibility Initiative (2024a),</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25">
        <w:r>
          <w:rPr>
            <w:rStyle w:val="Hyperlink"/>
            <w:lang w:val="vi-VN"/>
          </w:rPr>
          <w:t xml:space="preserve">https://www.w3.org/WAI/people-use-web/</w:t>
        </w:r>
      </w:hyperlink>
      <w:r>
        <w:rPr>
          <w:lang w:val="vi-VN"/>
        </w:rPr>
        <w:t xml:space="preserve">.</w:t>
      </w:r>
    </w:p>
    <w:p>
      <w:pPr>
        <w:pStyle w:val="BodyText"/>
      </w:pPr>
      <w:r>
        <w:rPr>
          <w:lang w:val="vi-VN"/>
        </w:rPr>
        <w:t xml:space="preserve">W3C Web Accessibility Initiative (2024b),</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26">
        <w:r>
          <w:rPr>
            <w:rStyle w:val="Hyperlink"/>
            <w:lang w:val="vi-VN"/>
          </w:rPr>
          <w:t xml:space="preserve">https://www.w3.org/WAI/planning/involving-users/</w:t>
        </w:r>
      </w:hyperlink>
      <w:r>
        <w:rPr>
          <w:lang w:val="vi-VN"/>
        </w:rPr>
        <w:t xml:space="preserve">.</w:t>
      </w:r>
    </w:p>
    <w:bookmarkEnd w:id="827"/>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799" Type="http://schemas.openxmlformats.org/officeDocument/2006/relationships/image" Target="media/rId799.png"/><Relationship Id="rId805" Type="http://schemas.openxmlformats.org/officeDocument/2006/relationships/image" Target="media/rId805.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20" Type="http://schemas.openxmlformats.org/officeDocument/2006/relationships/hyperlink" Target="https://apps.apple.com/gb/app/smartify-arts-and-culture/id1102736524" TargetMode="External"/><Relationship Id="rId821" Type="http://schemas.openxmlformats.org/officeDocument/2006/relationships/hyperlink" Target="https://apps.apple.com/us/app/connects-arts-culture/id1476456847" TargetMode="External"/><Relationship Id="rId817" Type="http://schemas.openxmlformats.org/officeDocument/2006/relationships/hyperlink" Target="https://github.com/minhtien0498/IT2019.11.CH-Dau-Xua" TargetMode="External"/><Relationship Id="rId824" Type="http://schemas.openxmlformats.org/officeDocument/2006/relationships/hyperlink" Target="https://play.google.com/store/apps/details?id=com.mobgen.smartify" TargetMode="External"/><Relationship Id="rId822" Type="http://schemas.openxmlformats.org/officeDocument/2006/relationships/hyperlink" Target="https://www.bloombergconnects.org/" TargetMode="External"/><Relationship Id="rId816" Type="http://schemas.openxmlformats.org/officeDocument/2006/relationships/hyperlink" Target="https://www.figma.com/design/Hswz66mX3mCWBZLek8EF2o" TargetMode="External"/><Relationship Id="rId815" Type="http://schemas.openxmlformats.org/officeDocument/2006/relationships/hyperlink" Target="https://www.figma.com/design/fYqJNkIZOrHHubt2pVu7Y5" TargetMode="External"/><Relationship Id="rId823" Type="http://schemas.openxmlformats.org/officeDocument/2006/relationships/hyperlink" Target="https://www.nngroup.com/articles/ten-usability-heuristics/" TargetMode="External"/><Relationship Id="rId825" Type="http://schemas.openxmlformats.org/officeDocument/2006/relationships/hyperlink" Target="https://www.w3.org/WAI/people-use-web/" TargetMode="External"/><Relationship Id="rId826"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20" Type="http://schemas.openxmlformats.org/officeDocument/2006/relationships/hyperlink" Target="https://apps.apple.com/gb/app/smartify-arts-and-culture/id1102736524" TargetMode="External"/><Relationship Id="rId821" Type="http://schemas.openxmlformats.org/officeDocument/2006/relationships/hyperlink" Target="https://apps.apple.com/us/app/connects-arts-culture/id1476456847" TargetMode="External"/><Relationship Id="rId817" Type="http://schemas.openxmlformats.org/officeDocument/2006/relationships/hyperlink" Target="https://github.com/minhtien0498/IT2019.11.CH-Dau-Xua" TargetMode="External"/><Relationship Id="rId824" Type="http://schemas.openxmlformats.org/officeDocument/2006/relationships/hyperlink" Target="https://play.google.com/store/apps/details?id=com.mobgen.smartify" TargetMode="External"/><Relationship Id="rId822" Type="http://schemas.openxmlformats.org/officeDocument/2006/relationships/hyperlink" Target="https://www.bloombergconnects.org/" TargetMode="External"/><Relationship Id="rId816" Type="http://schemas.openxmlformats.org/officeDocument/2006/relationships/hyperlink" Target="https://www.figma.com/design/Hswz66mX3mCWBZLek8EF2o" TargetMode="External"/><Relationship Id="rId815" Type="http://schemas.openxmlformats.org/officeDocument/2006/relationships/hyperlink" Target="https://www.figma.com/design/fYqJNkIZOrHHubt2pVu7Y5" TargetMode="External"/><Relationship Id="rId823" Type="http://schemas.openxmlformats.org/officeDocument/2006/relationships/hyperlink" Target="https://www.nngroup.com/articles/ten-usability-heuristics/" TargetMode="External"/><Relationship Id="rId825" Type="http://schemas.openxmlformats.org/officeDocument/2006/relationships/hyperlink" Target="https://www.w3.org/WAI/people-use-web/" TargetMode="External"/><Relationship Id="rId826"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2026-10-25T00:59:58Z</dcterms:created>
  <dcterms:modified xsi:type="dcterms:W3CDTF">2026-10-25T00:59:58Z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