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 xml:space="preserve">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Báo cáo tập trung vào ba nhóm: sinh viên đi theo nhóm cần nội dung ngắn; phụ huynh tham quan cùng gia đình cần tuyến theo thời lượng; người khiếm thị dùng trình đọc màn hình cần mở hiện vật không phụ thuộc camera. Đây là các giả định thiết kế vì chưa phỏng vấn hoặc kiểm thử ba nhóm. W3C khuyến nghị đưa người khuyết tật vào quá trình đánh giá khả năng tiếp cận.</w:t>
      </w:r>
    </w:p>
    <w:bookmarkEnd w:id="727"/>
    <w:bookmarkStart w:id="728" w:name="chức-năng-của-ứng-dụng"/>
    <w:p>
      <w:pPr>
        <w:pStyle w:val="Heading2"/>
      </w:pPr>
      <w:r>
        <w:rPr>
          <w:lang w:val="vi-VN"/>
        </w:rPr>
        <w:t xml:space="preserve">1.3. Chức năng của ứng dụng</w:t>
      </w:r>
    </w:p>
    <w:p>
      <w:pPr>
        <w:pStyle w:val="FirstParagraph"/>
      </w:pPr>
      <w:r>
        <w:rPr>
          <w:lang w:val="vi-VN"/>
        </w:rPr>
        <w:t xml:space="preserve">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Hướng dẫn văn hóa miễn phí;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Việc đối chiếu dựa trên chức năng do hai sản phẩm công bố, chưa qua kiểm thử trực tiếp. Dấu Xưa chọn cách kể chuyện ngắn tại di sản Việt Nam; cách tiếp cận này chưa được kiểm thử với khách tham quan.</w:t>
      </w:r>
    </w:p>
    <w:bookmarkEnd w:id="729"/>
    <w:bookmarkEnd w:id="730"/>
    <w:bookmarkStart w:id="868" w:name="thiết-kế-trải-nghiệm-người-dùng"/>
    <w:p>
      <w:pPr>
        <w:pStyle w:val="Heading1"/>
      </w:pPr>
      <w:r>
        <w:rPr>
          <w:lang w:val="vi-VN"/>
        </w:rPr>
        <w:t xml:space="preserve">2. Thiết kế trải nghiệm người dùng</w:t>
      </w:r>
    </w:p>
    <w:p>
      <w:pPr>
        <w:pStyle w:val="FirstParagraph"/>
      </w:pPr>
      <w:r>
        <w:rPr>
          <w:lang w:val="vi-VN"/>
        </w:rPr>
        <w:t>Các bước UCD trong báo cáo gồm chân dung, kịch bản, yêu cầu, HTA, phác thảo và rà soát giao diện. Chưa có bước đánh giá với người dùng.</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Nghe chuyện 2–3 phút và biết điểm tiếp theo;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Tự tìm hiện vật, nghe mô tả trước câu chuyện; QR và hình ảnh khó tự thao tác.</w:t>
            </w:r>
          </w:p>
        </w:tc>
      </w:tr>
    </w:tbl>
    <w:p>
      <w:pPr>
        <w:pStyle w:val="BodyText"/>
      </w:pPr>
      <w:r>
        <w:rPr>
          <w:lang w:val="vi-VN"/>
        </w:rPr>
        <w:t xml:space="preserve">Ba chân dung chưa được xác thực bằng nghiên cứu người dùng.</w:t>
      </w:r>
    </w:p>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 xml:space="preserve">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 xml:space="preserve">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 xml:space="preserve">Chọn theo vị trí mô phỏng, tìm tên hoặc danh sách;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 xml:space="preserve">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 xml:space="preserve">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 xml:space="preserve">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 xml:space="preserve">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 xml:space="preserve">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 xml:space="preserve">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keepLines/>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 xml:space="preserve">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keepLines/>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 xml:space="preserve">Ba phác thảo số mô tả luồng miễn phí, trợ năng và Premium. Chúng chưa thay cho bản vẽ tay trên giấy hoặc wireframe medium-fi.</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13. Phác thảo tour trả phí.</w:t>
      </w:r>
    </w:p>
    <w:bookmarkEnd w:id="794"/>
    <w:bookmarkEnd w:id="795"/>
    <w:bookmarkStart w:id="863"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 xml:space="preserve">Đánh giá theo 10 nguyên tắc của Nielsen dẫn đến ba điều chỉnh chính: thêm lối danh sách khi QR lỗi, hiển thị trạng thái trình phát, và đặt giá cùng phần nghe thử trước xác nhận mua. Chưa kiểm thử với người dùng.</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14. Mockup Figma: mở hiện vật và nghe chuyện miễn phí (frame 01, 03).</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15. Mockup Figma: giá trước khi mua và lối tiếp tục khi AR lỗi (frame 12, 05).</w:t>
      </w:r>
    </w:p>
    <w:p>
      <w:pPr>
        <w:pStyle w:val="BodyText"/>
        <w:keepNext/>
        <w:keepLines/>
      </w:pPr>
      <w:r>
        <w:drawing>
          <wp:inline>
            <wp:extent cx="2416302" cy="5229125"/>
            <wp:effectExtent b="0" l="0" r="0" t="0"/>
            <wp:docPr descr="Danh sách tour" title="" id="809" name="Picture"/>
            <a:graphic>
              <a:graphicData uri="http://schemas.openxmlformats.org/drawingml/2006/picture">
                <pic:pic>
                  <pic:nvPicPr>
                    <pic:cNvPr descr="../04-design/high-fidelity/11-danh-sach-tour.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iến trình tour" title="" id="812" name="Picture"/>
            <a:graphic>
              <a:graphicData uri="http://schemas.openxmlformats.org/drawingml/2006/picture">
                <pic:pic>
                  <pic:nvPicPr>
                    <pic:cNvPr descr="../04-design/high-fidelity/13-tien-trinh-tour.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16. Danh sách và tiến trình tour (frame 11, 13).</w:t>
      </w:r>
    </w:p>
    <w:p>
      <w:pPr>
        <w:pStyle w:val="BodyText"/>
        <w:keepNext/>
        <w:keepLines/>
      </w:pPr>
      <w:r>
        <w:drawing>
          <wp:inline>
            <wp:extent cx="2416302" cy="5229125"/>
            <wp:effectExtent b="0" l="0" r="0" t="0"/>
            <wp:docPr descr="Thiết lập trợ năng" title="" id="815" name="Picture"/>
            <a:graphic>
              <a:graphicData uri="http://schemas.openxmlformats.org/drawingml/2006/picture">
                <pic:pic>
                  <pic:nvPicPr>
                    <pic:cNvPr descr="../04-design/high-fidelity/06-tro-nang.png" id="816" name="Picture"/>
                    <pic:cNvPicPr>
                      <a:picLocks noChangeArrowheads="1" noChangeAspect="1"/>
                    </pic:cNvPicPr>
                  </pic:nvPicPr>
                  <pic:blipFill>
                    <a:blip r:embed="rId81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8" name="Picture"/>
            <a:graphic>
              <a:graphicData uri="http://schemas.openxmlformats.org/drawingml/2006/picture">
                <pic:pic>
                  <pic:nvPicPr>
                    <pic:cNvPr descr="../04-design/high-fidelity/20-camera-khong-co-quyen.png" id="819" name="Picture"/>
                    <pic:cNvPicPr>
                      <a:picLocks noChangeArrowheads="1" noChangeAspect="1"/>
                    </pic:cNvPicPr>
                  </pic:nvPicPr>
                  <pic:blipFill>
                    <a:blip r:embed="rId81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17. Mockup Figma: thiết lập trợ năng và lối mở không dùng camera (frame 06, 20).</w:t>
      </w:r>
    </w:p>
    <w:bookmarkStart w:id="862" w:name="các-màn-hình-mockup-bổ-sung"/>
    <w:p>
      <w:pPr>
        <w:pStyle w:val="Heading3"/>
      </w:pPr>
      <w:r>
        <w:rPr>
          <w:lang w:val="vi-VN"/>
        </w:rPr>
        <w:t xml:space="preserve">Các màn hình mockup bổ sung</w:t>
      </w:r>
    </w:p>
    <w:p>
      <w:pPr>
        <w:pStyle w:val="FirstParagraph"/>
        <w:keepNext/>
        <w:keepLines/>
      </w:pPr>
      <w:r>
        <w:drawing>
          <wp:inline>
            <wp:extent cx="2416302" cy="5229125"/>
            <wp:effectExtent b="0" l="0" r="0" t="0"/>
            <wp:docPr descr="Chào mừng" title="" id="821" name="Picture"/>
            <a:graphic>
              <a:graphicData uri="http://schemas.openxmlformats.org/drawingml/2006/picture">
                <pic:pic>
                  <pic:nvPicPr>
                    <pic:cNvPr descr="../04-design/high-fidelity/07-chao-mung.png" id="822" name="Picture"/>
                    <pic:cNvPicPr>
                      <a:picLocks noChangeArrowheads="1" noChangeAspect="1"/>
                    </pic:cNvPicPr>
                  </pic:nvPicPr>
                  <pic:blipFill>
                    <a:blip r:embed="rId82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họn địa điểm" title="" id="824" name="Picture"/>
            <a:graphic>
              <a:graphicData uri="http://schemas.openxmlformats.org/drawingml/2006/picture">
                <pic:pic>
                  <pic:nvPicPr>
                    <pic:cNvPr descr="../04-design/high-fidelity/08-chon-dia-diem.png" id="825" name="Picture"/>
                    <pic:cNvPicPr>
                      <a:picLocks noChangeArrowheads="1" noChangeAspect="1"/>
                    </pic:cNvPicPr>
                  </pic:nvPicPr>
                  <pic:blipFill>
                    <a:blip r:embed="rId82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18. Chào mừng và chọn địa điểm (frame 07, 08).</w:t>
      </w:r>
    </w:p>
    <w:p>
      <w:pPr>
        <w:pStyle w:val="BodyText"/>
        <w:keepNext/>
        <w:keepLines/>
      </w:pPr>
      <w:r>
        <w:drawing>
          <wp:inline>
            <wp:extent cx="2416302" cy="5229125"/>
            <wp:effectExtent b="0" l="0" r="0" t="0"/>
            <wp:docPr descr="Danh sách hiện vật" title="" id="827" name="Picture"/>
            <a:graphic>
              <a:graphicData uri="http://schemas.openxmlformats.org/drawingml/2006/picture">
                <pic:pic>
                  <pic:nvPicPr>
                    <pic:cNvPr descr="../04-design/high-fidelity/02-danh-sach-hien-vat.png" id="828" name="Picture"/>
                    <pic:cNvPicPr>
                      <a:picLocks noChangeArrowheads="1" noChangeAspect="1"/>
                    </pic:cNvPicPr>
                  </pic:nvPicPr>
                  <pic:blipFill>
                    <a:blip r:embed="rId82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Quét mã" title="" id="830" name="Picture"/>
            <a:graphic>
              <a:graphicData uri="http://schemas.openxmlformats.org/drawingml/2006/picture">
                <pic:pic>
                  <pic:nvPicPr>
                    <pic:cNvPr descr="../04-design/high-fidelity/09-quet-ma.png" id="831" name="Picture"/>
                    <pic:cNvPicPr>
                      <a:picLocks noChangeArrowheads="1" noChangeAspect="1"/>
                    </pic:cNvPicPr>
                  </pic:nvPicPr>
                  <pic:blipFill>
                    <a:blip r:embed="rId82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19. Danh sách hiện vật và quét mã (frame 02, 09).</w:t>
      </w:r>
    </w:p>
    <w:p>
      <w:pPr>
        <w:pStyle w:val="BodyText"/>
        <w:keepNext/>
        <w:keepLines/>
      </w:pPr>
      <w:r>
        <w:drawing>
          <wp:inline>
            <wp:extent cx="2416302" cy="5229125"/>
            <wp:effectExtent b="0" l="0" r="0" t="0"/>
            <wp:docPr descr="Gợi ý tiếp theo" title="" id="833" name="Picture"/>
            <a:graphic>
              <a:graphicData uri="http://schemas.openxmlformats.org/drawingml/2006/picture">
                <pic:pic>
                  <pic:nvPicPr>
                    <pic:cNvPr descr="../04-design/high-fidelity/10-goi-y-tiep-theo.png" id="834" name="Picture"/>
                    <pic:cNvPicPr>
                      <a:picLocks noChangeArrowheads="1" noChangeAspect="1"/>
                    </pic:cNvPicPr>
                  </pic:nvPicPr>
                  <pic:blipFill>
                    <a:blip r:embed="rId83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Bản chép lời" title="" id="836" name="Picture"/>
            <a:graphic>
              <a:graphicData uri="http://schemas.openxmlformats.org/drawingml/2006/picture">
                <pic:pic>
                  <pic:nvPicPr>
                    <pic:cNvPr descr="../04-design/high-fidelity/21-ban-chep-loi.png" id="837" name="Picture"/>
                    <pic:cNvPicPr>
                      <a:picLocks noChangeArrowheads="1" noChangeAspect="1"/>
                    </pic:cNvPicPr>
                  </pic:nvPicPr>
                  <pic:blipFill>
                    <a:blip r:embed="rId83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20. Gợi ý tiếp theo và bản chép lời (frame 10, 21).</w:t>
      </w:r>
    </w:p>
    <w:p>
      <w:pPr>
        <w:pStyle w:val="BodyText"/>
        <w:keepNext/>
        <w:keepLines/>
      </w:pPr>
      <w:r>
        <w:drawing>
          <wp:inline>
            <wp:extent cx="2416302" cy="5229125"/>
            <wp:effectExtent b="0" l="0" r="0" t="0"/>
            <wp:docPr descr="Tour Premium" title="" id="839" name="Picture"/>
            <a:graphic>
              <a:graphicData uri="http://schemas.openxmlformats.org/drawingml/2006/picture">
                <pic:pic>
                  <pic:nvPicPr>
                    <pic:cNvPr descr="../04-design/high-fidelity/04-tour-premium.png" id="840" name="Picture"/>
                    <pic:cNvPicPr>
                      <a:picLocks noChangeArrowheads="1" noChangeAspect="1"/>
                    </pic:cNvPicPr>
                  </pic:nvPicPr>
                  <pic:blipFill>
                    <a:blip r:embed="rId83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iểm Premium" title="" id="842" name="Picture"/>
            <a:graphic>
              <a:graphicData uri="http://schemas.openxmlformats.org/drawingml/2006/picture">
                <pic:pic>
                  <pic:nvPicPr>
                    <pic:cNvPr descr="../04-design/high-fidelity/14-diem-premium.png" id="843" name="Picture"/>
                    <pic:cNvPicPr>
                      <a:picLocks noChangeArrowheads="1" noChangeAspect="1"/>
                    </pic:cNvPicPr>
                  </pic:nvPicPr>
                  <pic:blipFill>
                    <a:blip r:embed="rId84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21. Xem tour và điểm trả phí (frame 04, 14).</w:t>
      </w:r>
    </w:p>
    <w:p>
      <w:pPr>
        <w:pStyle w:val="BodyText"/>
        <w:keepNext/>
        <w:keepLines/>
      </w:pPr>
      <w:r>
        <w:drawing>
          <wp:inline>
            <wp:extent cx="2416302" cy="5229125"/>
            <wp:effectExtent b="0" l="0" r="0" t="0"/>
            <wp:docPr descr="Hoàn thành tour" title="" id="845" name="Picture"/>
            <a:graphic>
              <a:graphicData uri="http://schemas.openxmlformats.org/drawingml/2006/picture">
                <pic:pic>
                  <pic:nvPicPr>
                    <pic:cNvPr descr="../04-design/high-fidelity/15-hoan-thanh.png" id="846" name="Picture"/>
                    <pic:cNvPicPr>
                      <a:picLocks noChangeArrowheads="1" noChangeAspect="1"/>
                    </pic:cNvPicPr>
                  </pic:nvPicPr>
                  <pic:blipFill>
                    <a:blip r:embed="rId84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Dòng thời gian và nguồn" title="" id="848" name="Picture"/>
            <a:graphic>
              <a:graphicData uri="http://schemas.openxmlformats.org/drawingml/2006/picture">
                <pic:pic>
                  <pic:nvPicPr>
                    <pic:cNvPr descr="../04-design/high-fidelity/22-dong-thoi-gian-nguon.png" id="849" name="Picture"/>
                    <pic:cNvPicPr>
                      <a:picLocks noChangeArrowheads="1" noChangeAspect="1"/>
                    </pic:cNvPicPr>
                  </pic:nvPicPr>
                  <pic:blipFill>
                    <a:blip r:embed="rId84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22. Hoàn thành tour và nguồn nội dung (frame 15, 22).</w:t>
      </w:r>
    </w:p>
    <w:p>
      <w:pPr>
        <w:pStyle w:val="BodyText"/>
        <w:keepNext/>
        <w:keepLines/>
      </w:pPr>
      <w:r>
        <w:drawing>
          <wp:inline>
            <wp:extent cx="2416302" cy="5229125"/>
            <wp:effectExtent b="0" l="0" r="0" t="0"/>
            <wp:docPr descr="Đã lưu" title="" id="851" name="Picture"/>
            <a:graphic>
              <a:graphicData uri="http://schemas.openxmlformats.org/drawingml/2006/picture">
                <pic:pic>
                  <pic:nvPicPr>
                    <pic:cNvPr descr="../04-design/high-fidelity/16-da-luu.png" id="852" name="Picture"/>
                    <pic:cNvPicPr>
                      <a:picLocks noChangeArrowheads="1" noChangeAspect="1"/>
                    </pic:cNvPicPr>
                  </pic:nvPicPr>
                  <pic:blipFill>
                    <a:blip r:embed="rId85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á nhân" title="" id="854" name="Picture"/>
            <a:graphic>
              <a:graphicData uri="http://schemas.openxmlformats.org/drawingml/2006/picture">
                <pic:pic>
                  <pic:nvPicPr>
                    <pic:cNvPr descr="../04-design/high-fidelity/17-ca-nhan.png" id="855" name="Picture"/>
                    <pic:cNvPicPr>
                      <a:picLocks noChangeArrowheads="1" noChangeAspect="1"/>
                    </pic:cNvPicPr>
                  </pic:nvPicPr>
                  <pic:blipFill>
                    <a:blip r:embed="rId85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23. Đã lưu và trang cá nhân (frame 16, 17).</w:t>
      </w:r>
    </w:p>
    <w:p>
      <w:pPr>
        <w:pStyle w:val="BodyText"/>
        <w:keepNext/>
        <w:keepLines/>
      </w:pPr>
      <w:r>
        <w:drawing>
          <wp:inline>
            <wp:extent cx="2416302" cy="5229125"/>
            <wp:effectExtent b="0" l="0" r="0" t="0"/>
            <wp:docPr descr="Nhập mã lỗi" title="" id="857" name="Picture"/>
            <a:graphic>
              <a:graphicData uri="http://schemas.openxmlformats.org/drawingml/2006/picture">
                <pic:pic>
                  <pic:nvPicPr>
                    <pic:cNvPr descr="../04-design/high-fidelity/18-nhap-ma-loi.png" id="858" name="Picture"/>
                    <pic:cNvPicPr>
                      <a:picLocks noChangeArrowheads="1" noChangeAspect="1"/>
                    </pic:cNvPicPr>
                  </pic:nvPicPr>
                  <pic:blipFill>
                    <a:blip r:embed="rId85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ã lưu rỗng" title="" id="860" name="Picture"/>
            <a:graphic>
              <a:graphicData uri="http://schemas.openxmlformats.org/drawingml/2006/picture">
                <pic:pic>
                  <pic:nvPicPr>
                    <pic:cNvPr descr="../04-design/high-fidelity/19-da-luu-rong.png" id="861" name="Picture"/>
                    <pic:cNvPicPr>
                      <a:picLocks noChangeArrowheads="1" noChangeAspect="1"/>
                    </pic:cNvPicPr>
                  </pic:nvPicPr>
                  <pic:blipFill>
                    <a:blip r:embed="rId85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24. Nhập mã lỗi và danh sách rỗng (frame 18, 19).</w:t>
      </w:r>
    </w:p>
    <w:p>
      <w:pPr>
        <w:pStyle w:val="BodyText"/>
      </w:pPr>
      <w:r>
        <w:rPr>
          <w:lang w:val="vi-VN"/>
        </w:rPr>
        <w:t xml:space="preserve">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62"/>
    <w:bookmarkEnd w:id="863"/>
    <w:bookmarkStart w:id="867" w:name="liên-kết-thiết-kế-và-mã-nguồn"/>
    <w:p>
      <w:pPr>
        <w:pStyle w:val="Heading2"/>
      </w:pPr>
      <w:r>
        <w:rPr>
          <w:lang w:val="vi-VN"/>
        </w:rPr>
        <w:t xml:space="preserve">2.7. Liên kết thiết kế và mã nguồn</w:t>
      </w:r>
    </w:p>
    <w:p>
      <w:pPr>
        <w:pStyle w:val="Compact"/>
        <w:numPr>
          <w:ilvl w:val="0"/>
          <w:numId w:val="1001"/>
        </w:numPr>
      </w:pPr>
      <w:hyperlink r:id="rId864">
        <w:r>
          <w:rPr>
            <w:rStyle w:val="Hyperlink"/>
            <w:lang w:val="vi-VN"/>
          </w:rPr>
          <w:t xml:space="preserve">Mockup Figma mức cao: 22 màn hình</w:t>
        </w:r>
      </w:hyperlink>
      <w:r>
        <w:rPr>
          <w:lang w:val="vi-VN"/>
        </w:rPr>
        <w:t xml:space="preserve">.</w:t>
      </w:r>
    </w:p>
    <w:p>
      <w:pPr>
        <w:pStyle w:val="Compact"/>
        <w:numPr>
          <w:ilvl w:val="0"/>
          <w:numId w:val="1001"/>
        </w:numPr>
      </w:pPr>
      <w:hyperlink r:id="rId865">
        <w:r>
          <w:rPr>
            <w:rStyle w:val="Hyperlink"/>
            <w:lang w:val="vi-VN"/>
          </w:rPr>
          <w:t xml:space="preserve">Phác thảo Figma low-fi: ba luồng</w:t>
        </w:r>
      </w:hyperlink>
      <w:r>
        <w:rPr>
          <w:lang w:val="vi-VN"/>
        </w:rPr>
        <w:t xml:space="preserve">.</w:t>
      </w:r>
    </w:p>
    <w:p>
      <w:pPr>
        <w:pStyle w:val="Compact"/>
        <w:numPr>
          <w:ilvl w:val="0"/>
          <w:numId w:val="1001"/>
        </w:numPr>
      </w:pPr>
      <w:hyperlink r:id="rId866">
        <w:r>
          <w:rPr>
            <w:rStyle w:val="Hyperlink"/>
            <w:lang w:val="vi-VN"/>
          </w:rPr>
          <w:t xml:space="preserve">Mã nguồn Dấu Xưa trên GitHub</w:t>
        </w:r>
      </w:hyperlink>
      <w:r>
        <w:rPr>
          <w:lang w:val="vi-VN"/>
        </w:rPr>
        <w:t xml:space="preserve">.</w:t>
      </w:r>
    </w:p>
    <w:bookmarkEnd w:id="867"/>
    <w:bookmarkEnd w:id="868"/>
    <w:bookmarkStart w:id="876"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69">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70">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71">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72">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73">
        <w:r>
          <w:rPr>
            <w:rStyle w:val="Hyperlink"/>
            <w:lang w:val="vi-VN"/>
          </w:rPr>
          <w:t xml:space="preserve">https://play.google.com/store/apps/details?id=com.mobgen.smartify</w:t>
        </w:r>
      </w:hyperlink>
      <w:r>
        <w:rPr>
          <w:lang w:val="vi-VN"/>
        </w:rPr>
        <w:t xml:space="preserve">.</w:t>
      </w:r>
    </w:p>
    <w:p>
      <w:pPr>
        <w:pStyle w:val="BodyText"/>
      </w:pPr>
      <w:r>
        <w:rPr>
          <w:lang w:val="vi-VN"/>
        </w:rPr>
        <w:t xml:space="preserve">Vi Chi Thanh (2026a),</w:t>
      </w:r>
      <w:r>
        <w:rPr>
          <w:lang w:val="vi-VN"/>
        </w:rPr>
        <w:t xml:space="preserve"> </w:t>
      </w:r>
      <w:r>
        <w:rPr>
          <w:i/>
          <w:iCs/>
          <w:lang w:val="vi-VN"/>
        </w:rPr>
        <w:t xml:space="preserve">Week 2: Introduction to User-Centred Design Methods</w:t>
      </w:r>
      <w:r>
        <w:rPr>
          <w:lang w:val="vi-VN"/>
        </w:rPr>
        <w:t xml:space="preserve">. Tài liệu môn học, University of Information Technology và Birmingham City University.</w:t>
      </w:r>
    </w:p>
    <w:p>
      <w:pPr>
        <w:pStyle w:val="BodyText"/>
      </w:pPr>
      <w:r>
        <w:rPr>
          <w:lang w:val="vi-VN"/>
        </w:rPr>
        <w:t xml:space="preserve">Vi Chi Thanh (2026b),</w:t>
      </w:r>
      <w:r>
        <w:rPr>
          <w:lang w:val="vi-VN"/>
        </w:rPr>
        <w:t xml:space="preserve"> </w:t>
      </w:r>
      <w:r>
        <w:rPr>
          <w:i/>
          <w:iCs/>
          <w:lang w:val="vi-VN"/>
        </w:rPr>
        <w:t xml:space="preserve">Week 3: Introduction to Accessibility and Inclusive Design</w:t>
      </w:r>
      <w:r>
        <w:rPr>
          <w:lang w:val="vi-VN"/>
        </w:rPr>
        <w:t xml:space="preserve">. Tài liệu môn học, University of Information Technology và Birmingham City University.</w:t>
      </w:r>
    </w:p>
    <w:p>
      <w:pPr>
        <w:pStyle w:val="BodyText"/>
      </w:pPr>
      <w:r>
        <w:rPr>
          <w:lang w:val="vi-VN"/>
        </w:rPr>
        <w:t xml:space="preserve">W3C Web Accessibility Initiative (2024a),</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74">
        <w:r>
          <w:rPr>
            <w:rStyle w:val="Hyperlink"/>
            <w:lang w:val="vi-VN"/>
          </w:rPr>
          <w:t xml:space="preserve">https://www.w3.org/WAI/people-use-web/</w:t>
        </w:r>
      </w:hyperlink>
      <w:r>
        <w:rPr>
          <w:lang w:val="vi-VN"/>
        </w:rPr>
        <w:t xml:space="preserve">.</w:t>
      </w:r>
    </w:p>
    <w:p>
      <w:pPr>
        <w:pStyle w:val="BodyText"/>
      </w:pPr>
      <w:r>
        <w:rPr>
          <w:lang w:val="vi-VN"/>
        </w:rPr>
        <w:t xml:space="preserve">W3C Web Accessibility Initiative (2024b),</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75">
        <w:r>
          <w:rPr>
            <w:rStyle w:val="Hyperlink"/>
            <w:lang w:val="vi-VN"/>
          </w:rPr>
          <w:t xml:space="preserve">https://www.w3.org/WAI/planning/involving-users/</w:t>
        </w:r>
      </w:hyperlink>
      <w:r>
        <w:rPr>
          <w:lang w:val="vi-VN"/>
        </w:rPr>
        <w:t xml:space="preserve">.</w:t>
      </w:r>
    </w:p>
    <w:bookmarkEnd w:id="876"/>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826" Type="http://schemas.openxmlformats.org/officeDocument/2006/relationships/image" Target="media/rId826.png"/><Relationship Id="rId799" Type="http://schemas.openxmlformats.org/officeDocument/2006/relationships/image" Target="media/rId799.png"/><Relationship Id="rId838" Type="http://schemas.openxmlformats.org/officeDocument/2006/relationships/image" Target="media/rId838.png"/><Relationship Id="rId805" Type="http://schemas.openxmlformats.org/officeDocument/2006/relationships/image" Target="media/rId805.png"/><Relationship Id="rId814" Type="http://schemas.openxmlformats.org/officeDocument/2006/relationships/image" Target="media/rId814.png"/><Relationship Id="rId820" Type="http://schemas.openxmlformats.org/officeDocument/2006/relationships/image" Target="media/rId820.png"/><Relationship Id="rId823" Type="http://schemas.openxmlformats.org/officeDocument/2006/relationships/image" Target="media/rId823.png"/><Relationship Id="rId829" Type="http://schemas.openxmlformats.org/officeDocument/2006/relationships/image" Target="media/rId829.png"/><Relationship Id="rId832" Type="http://schemas.openxmlformats.org/officeDocument/2006/relationships/image" Target="media/rId832.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841" Type="http://schemas.openxmlformats.org/officeDocument/2006/relationships/image" Target="media/rId841.png"/><Relationship Id="rId844" Type="http://schemas.openxmlformats.org/officeDocument/2006/relationships/image" Target="media/rId844.png"/><Relationship Id="rId850" Type="http://schemas.openxmlformats.org/officeDocument/2006/relationships/image" Target="media/rId850.png"/><Relationship Id="rId853" Type="http://schemas.openxmlformats.org/officeDocument/2006/relationships/image" Target="media/rId853.png"/><Relationship Id="rId856" Type="http://schemas.openxmlformats.org/officeDocument/2006/relationships/image" Target="media/rId856.png"/><Relationship Id="rId859" Type="http://schemas.openxmlformats.org/officeDocument/2006/relationships/image" Target="media/rId859.png"/><Relationship Id="rId817" Type="http://schemas.openxmlformats.org/officeDocument/2006/relationships/image" Target="media/rId817.png"/><Relationship Id="rId835" Type="http://schemas.openxmlformats.org/officeDocument/2006/relationships/image" Target="media/rId835.png"/><Relationship Id="rId847" Type="http://schemas.openxmlformats.org/officeDocument/2006/relationships/image" Target="media/rId847.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2026-10-25T17:11:07Z</dcterms:created>
  <dcterms:modified xsi:type="dcterms:W3CDTF">2026-10-25T17:11:07Z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