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Các bước UCD trong báo cáo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 xml:space="preserve">Vi Chi Thanh (2026a), </w:t>
      </w:r>
      <w:r>
        <w:rPr>
          <w:i/>
          <w:iCs/>
        </w:rPr>
        <w:t>Week 2: Introduction to User-Centred Design Methods</w:t>
      </w:r>
      <w:r>
        <w:t>. Tài liệu môn học, University of Information Technology và Birmingham City University.</w:t>
      </w:r>
    </w:p>
    <w:p w14:paraId="3160A4FF" w14:textId="77777777" w:rsidR="004559E8" w:rsidRDefault="00000000">
      <w:pPr>
        <w:pStyle w:val="BodyText"/>
      </w:pPr>
      <w:r>
        <w:t xml:space="preserve">Vi Chi Thanh (2026b), </w:t>
      </w:r>
      <w:r>
        <w:rPr>
          <w:i/>
          <w:iCs/>
        </w:rPr>
        <w:t>Week 3: Introduction to Accessibility and Inclusive Design</w:t>
      </w:r>
      <w:r>
        <w:t>. Tài liệu môn học, University of Information Technology và Birmingham City University.</w:t>
      </w:r>
    </w:p>
    <w:p w14:paraId="63A6A78C" w14:textId="77777777" w:rsidR="004559E8" w:rsidRDefault="00000000">
      <w:pPr>
        <w:pStyle w:val="BodyText"/>
      </w:pPr>
      <w:r>
        <w:t xml:space="preserve">W3C Web Accessibility Initiative (2024),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(2020),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