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PIXECOM – EXECUTIVE SUMMARY (CTO ROADMAP v2)</w:t>
      </w:r>
    </w:p>
    <w:p>
      <w:r>
        <w:t>Generated on: 2026-02-20</w:t>
      </w:r>
    </w:p>
    <w:p>
      <w:r>
        <w:t>Audience: Mentor / Executive Review</w:t>
        <w:br/>
      </w:r>
    </w:p>
    <w:p>
      <w:pPr>
        <w:pStyle w:val="Heading2"/>
      </w:pPr>
      <w:r>
        <w:t>1. Strategic Objective (3-Month Horizon)</w:t>
      </w:r>
    </w:p>
    <w:p>
      <w:r>
        <w:t>Deliver a production-ready Ads Manager platform powered by real Meta data, enabling sellers to monitor performance, diagnose funnel issues, and control campaigns directly within PixEcom — without technical debt or premature scaling.</w:t>
      </w:r>
    </w:p>
    <w:p>
      <w:pPr>
        <w:pStyle w:val="Heading2"/>
      </w:pPr>
      <w:r>
        <w:t>2. Key Improvements in Roadmap v2</w:t>
      </w:r>
    </w:p>
    <w:p>
      <w:r>
        <w:t>• Infrastructure moved to Phase 0 (Managed PostgreSQL + Managed Redis).</w:t>
        <w:br/>
        <w:t>• Connection pooling configured (connection_limit=20).</w:t>
        <w:br/>
        <w:t>• Shared DTO types between backend and frontend (@pixecom/types).</w:t>
        <w:br/>
        <w:t>• deliveryStatus + purchaseValue schema updates before sync.</w:t>
        <w:br/>
        <w:t>• Frontend authentication wiring added in Phase 1.</w:t>
        <w:br/>
        <w:t>• Timeline buffer added to Meta Sync phase.</w:t>
        <w:br/>
        <w:t>• Filter system expanded to 6 essential filters in v1.</w:t>
      </w:r>
    </w:p>
    <w:p>
      <w:pPr>
        <w:pStyle w:val="Heading2"/>
      </w:pPr>
      <w:r>
        <w:t>3. Phase Overview</w:t>
      </w:r>
    </w:p>
    <w:p>
      <w:r>
        <w:t>Phase 0 (Week 1): Product Freeze + Infrastructure Separation</w:t>
        <w:br/>
        <w:t>→ Lock scope, migrate DB/Redis, align shared types.</w:t>
        <w:br/>
        <w:br/>
        <w:t>Phase 1 (Weeks 2–5): Meta Sync Foundation</w:t>
        <w:br/>
        <w:t>→ Build Meta API client, stats sync worker, delivery status sync, auth wiring.</w:t>
        <w:br/>
        <w:br/>
        <w:t>Phase 2 (Weeks 6–8): Funnel &amp; Metrics Layer</w:t>
        <w:br/>
        <w:t>→ Extend stats (Content View, ATC, Checkout), derived metrics (CR1/CR2, ROAS), summary row.</w:t>
        <w:br/>
        <w:br/>
        <w:t>Phase 3 (Weeks 9–10): Control Layer</w:t>
        <w:br/>
        <w:t>→ Bulk status update, drill-down hierarchy, 6-filter system.</w:t>
        <w:br/>
        <w:br/>
        <w:t>Phase 4+: Creative Intelligence &amp; Advanced Scaling (Optional, post-validation).</w:t>
      </w:r>
    </w:p>
    <w:p>
      <w:pPr>
        <w:pStyle w:val="Heading2"/>
      </w:pPr>
      <w:r>
        <w:t>4. Risk Mitigation Strategy</w:t>
      </w:r>
    </w:p>
    <w:p>
      <w:r>
        <w:t>• Prevent DB contention early via managed infrastructure.</w:t>
        <w:br/>
        <w:t>• Avoid type drift between backend/frontend.</w:t>
        <w:br/>
        <w:t>• Add Meta sandbox testing buffer.</w:t>
        <w:br/>
        <w:t>• Enforce async jobs for all Meta interactions.</w:t>
        <w:br/>
        <w:t>• Prioritize data integrity before UI expansion.</w:t>
      </w:r>
    </w:p>
    <w:p>
      <w:pPr>
        <w:pStyle w:val="Heading2"/>
      </w:pPr>
      <w:r>
        <w:t>5. Expected Outcome After 10–11 Weeks</w:t>
      </w:r>
    </w:p>
    <w:p>
      <w:r>
        <w:t>• Stable Ads Manager with real-time synced data.</w:t>
        <w:br/>
        <w:t>• Full funnel visibility with actionable metrics.</w:t>
        <w:br/>
        <w:t>• Operational control (pause/activate campaigns).</w:t>
        <w:br/>
        <w:t>• Architecture ready for scale without major refactor.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