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tabs>
          <w:tab w:val="left" w:pos="720" w:leader="none"/>
        </w:tabs>
        <w:spacing w:lineRule="auto" w:line="252"/>
        <w:jc w:val="center"/>
        <w:rPr>
          <w:b/>
        </w:rPr>
      </w:pPr>
      <w:r>
        <w:rPr>
          <w:b/>
        </w:rPr>
        <w:t>CỘNG HÒA XÃ HỘI CHỦ NGHĨA VIỆT NAM</w:t>
      </w:r>
    </w:p>
    <w:p>
      <w:pPr>
        <w:pStyle w:val="normal1"/>
        <w:tabs>
          <w:tab w:val="left" w:pos="720" w:leader="none"/>
        </w:tabs>
        <w:spacing w:lineRule="auto" w:line="252"/>
        <w:jc w:val="center"/>
        <w:rPr>
          <w:b/>
        </w:rPr>
      </w:pPr>
      <w:r>
        <w:rPr>
          <w:b/>
        </w:rPr>
        <w:t>Độc lập - Tự do - Hạnh phúc</w:t>
      </w:r>
    </w:p>
    <w:p>
      <w:pPr>
        <w:pStyle w:val="normal1"/>
        <w:tabs>
          <w:tab w:val="left" w:pos="720" w:leader="none"/>
        </w:tabs>
        <w:spacing w:lineRule="auto" w:line="252"/>
        <w:jc w:val="center"/>
        <w:rPr/>
      </w:pPr>
      <w:r>
        <w:rPr/>
        <mc:AlternateContent>
          <mc:Choice Requires="wps">
            <w:drawing>
              <wp:anchor behindDoc="0" distT="5080" distB="5715" distL="5715" distR="5080" simplePos="0" locked="0" layoutInCell="1" allowOverlap="1" relativeHeight="2">
                <wp:simplePos x="0" y="0"/>
                <wp:positionH relativeFrom="column">
                  <wp:posOffset>2136140</wp:posOffset>
                </wp:positionH>
                <wp:positionV relativeFrom="paragraph">
                  <wp:posOffset>39370</wp:posOffset>
                </wp:positionV>
                <wp:extent cx="635" cy="12700"/>
                <wp:effectExtent l="5715" t="5080" r="5080" b="5715"/>
                <wp:wrapNone/>
                <wp:docPr id="1" name="Shape1"/>
                <a:graphic xmlns:a="http://schemas.openxmlformats.org/drawingml/2006/main">
                  <a:graphicData uri="http://schemas.microsoft.com/office/word/2010/wordprocessingShape">
                    <wps:wsp>
                      <wps:cNvSpPr/>
                      <wps:spPr>
                        <a:xfrm>
                          <a:off x="0" y="0"/>
                          <a:ext cx="720" cy="1260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Shape1" path="m0,0l-2147483648,-2147483647e" stroked="t" o:allowincell="f" style="position:absolute;margin-left:168.2pt;margin-top:3.1pt;width:0pt;height:0.95pt;mso-wrap-style:none;v-text-anchor:middle" type="_x0000_t32">
                <v:fill o:detectmouseclick="t" on="false"/>
                <v:stroke color="black" weight="9360" joinstyle="round" endcap="flat"/>
                <w10:wrap type="none"/>
              </v:shape>
            </w:pict>
          </mc:Fallback>
        </mc:AlternateContent>
      </w:r>
    </w:p>
    <w:p>
      <w:pPr>
        <w:pStyle w:val="Heading3"/>
        <w:spacing w:lineRule="auto" w:line="252" w:before="100" w:after="80"/>
        <w:rPr>
          <w:sz w:val="32"/>
          <w:szCs w:val="32"/>
        </w:rPr>
      </w:pPr>
      <w:bookmarkStart w:id="0" w:name="_heading=h.kozj63rni4so"/>
      <w:bookmarkEnd w:id="0"/>
      <w:r>
        <w:rPr>
          <w:sz w:val="32"/>
          <w:szCs w:val="32"/>
        </w:rPr>
        <w:t>HỢP ĐỒNG BẢO HIỂM XE CƠ GIỚI</w:t>
      </w:r>
    </w:p>
    <w:p>
      <w:pPr>
        <w:pStyle w:val="normal1"/>
        <w:spacing w:lineRule="auto" w:line="264" w:before="0" w:after="120"/>
        <w:jc w:val="center"/>
        <w:rPr>
          <w:b/>
        </w:rPr>
      </w:pPr>
      <w:r>
        <w:rPr>
          <w:b/>
          <w:sz w:val="23"/>
          <w:szCs w:val="23"/>
        </w:rPr>
        <w:t>Số: {c_contractNumber}</w:t>
      </w:r>
    </w:p>
    <w:p>
      <w:pPr>
        <w:pStyle w:val="normal1"/>
        <w:tabs>
          <w:tab w:val="left" w:pos="720" w:leader="none"/>
          <w:tab w:val="left" w:pos="3960" w:leader="none"/>
        </w:tabs>
        <w:spacing w:lineRule="auto" w:line="252" w:before="360" w:after="0"/>
        <w:rPr>
          <w:i/>
          <w:i/>
        </w:rPr>
      </w:pPr>
      <w:r>
        <w:rPr>
          <w:i/>
        </w:rPr>
        <w:t>Căn cứ vào nhu cầu và khả năng của các bên;</w:t>
      </w:r>
    </w:p>
    <w:p>
      <w:pPr>
        <w:pStyle w:val="normal1"/>
        <w:tabs>
          <w:tab w:val="left" w:pos="720" w:leader="none"/>
          <w:tab w:val="left" w:pos="3960" w:leader="none"/>
        </w:tabs>
        <w:spacing w:lineRule="auto" w:line="264" w:before="80" w:after="0"/>
        <w:rPr/>
      </w:pPr>
      <w:r>
        <w:rPr/>
        <w:t xml:space="preserve">Hôm nay, ngày </w:t>
      </w:r>
      <w:r>
        <w:rPr>
          <w:b/>
        </w:rPr>
        <w:t>{currentDay}</w:t>
      </w:r>
      <w:r>
        <w:rPr/>
        <w:t xml:space="preserve"> tháng </w:t>
      </w:r>
      <w:r>
        <w:rPr>
          <w:b/>
        </w:rPr>
        <w:t>{currentMonth}</w:t>
      </w:r>
      <w:r>
        <w:rPr/>
        <w:t xml:space="preserve"> năm {currentYear}, Chúng tôi gồm có:</w:t>
      </w:r>
    </w:p>
    <w:p>
      <w:pPr>
        <w:pStyle w:val="normal1"/>
        <w:tabs>
          <w:tab w:val="left" w:pos="720" w:leader="none"/>
          <w:tab w:val="left" w:pos="3960" w:leader="none"/>
        </w:tabs>
        <w:spacing w:lineRule="auto" w:line="252" w:before="80" w:after="0"/>
        <w:rPr>
          <w:i/>
          <w:i/>
        </w:rPr>
      </w:pPr>
      <w:r>
        <w:rPr>
          <w:b/>
        </w:rPr>
        <w:t>BÊN BẢO HIỂM</w:t>
      </w:r>
      <w:r>
        <w:rPr/>
        <w:t xml:space="preserve"> </w:t>
      </w:r>
      <w:r>
        <w:rPr>
          <w:i/>
        </w:rPr>
        <w:t xml:space="preserve">(Sau đây gọi là </w:t>
      </w:r>
      <w:r>
        <w:rPr>
          <w:b/>
          <w:i/>
        </w:rPr>
        <w:t>Bên A</w:t>
      </w:r>
      <w:r>
        <w:rPr>
          <w:i/>
        </w:rPr>
        <w:t xml:space="preserve"> hoặc </w:t>
      </w:r>
      <w:r>
        <w:rPr>
          <w:b/>
          <w:i/>
        </w:rPr>
        <w:t>BHV</w:t>
      </w:r>
      <w:r>
        <w:rPr>
          <w:i/>
        </w:rPr>
        <w:t xml:space="preserve"> </w:t>
      </w:r>
      <w:r>
        <w:rPr>
          <w:b/>
          <w:i/>
        </w:rPr>
        <w:t>TP HCM</w:t>
      </w:r>
      <w:r>
        <w:rPr>
          <w:i/>
        </w:rPr>
        <w:t>)</w:t>
      </w:r>
    </w:p>
    <w:tbl>
      <w:tblPr>
        <w:tblStyle w:val="10"/>
        <w:tblW w:w="9800" w:type="dxa"/>
        <w:jc w:val="left"/>
        <w:tblInd w:w="-90" w:type="dxa"/>
        <w:tblLayout w:type="fixed"/>
        <w:tblCellMar>
          <w:top w:w="0" w:type="dxa"/>
          <w:left w:w="108" w:type="dxa"/>
          <w:bottom w:w="0" w:type="dxa"/>
          <w:right w:w="108" w:type="dxa"/>
        </w:tblCellMar>
      </w:tblPr>
      <w:tblGrid>
        <w:gridCol w:w="1615"/>
        <w:gridCol w:w="3779"/>
        <w:gridCol w:w="1172"/>
        <w:gridCol w:w="3233"/>
      </w:tblGrid>
      <w:tr>
        <w:trPr/>
        <w:tc>
          <w:tcPr>
            <w:tcW w:w="1615" w:type="dxa"/>
            <w:tcBorders/>
          </w:tcPr>
          <w:p>
            <w:pPr>
              <w:pStyle w:val="normal1"/>
              <w:tabs>
                <w:tab w:val="left" w:pos="720" w:leader="none"/>
                <w:tab w:val="left" w:pos="3960" w:leader="none"/>
              </w:tabs>
              <w:spacing w:lineRule="auto" w:line="252" w:before="80" w:after="0"/>
              <w:rPr>
                <w:rFonts w:ascii="Times New Roman" w:hAnsi="Times New Roman" w:eastAsia="Times New Roman" w:cs="Times New Roman"/>
              </w:rPr>
            </w:pPr>
            <w:r>
              <w:rPr>
                <w:rFonts w:eastAsia="Times New Roman" w:cs="Times New Roman"/>
              </w:rPr>
              <w:t>Tên đơn vị</w:t>
            </w:r>
          </w:p>
        </w:tc>
        <w:tc>
          <w:tcPr>
            <w:tcW w:w="8184" w:type="dxa"/>
            <w:gridSpan w:val="3"/>
            <w:tcBorders/>
          </w:tcPr>
          <w:p>
            <w:pPr>
              <w:pStyle w:val="normal1"/>
              <w:tabs>
                <w:tab w:val="left" w:pos="720" w:leader="none"/>
                <w:tab w:val="left" w:pos="3960" w:leader="none"/>
              </w:tabs>
              <w:spacing w:lineRule="auto" w:line="252" w:before="80" w:after="0"/>
              <w:rPr>
                <w:rFonts w:ascii="Times New Roman" w:hAnsi="Times New Roman" w:eastAsia="Times New Roman" w:cs="Times New Roman"/>
              </w:rPr>
            </w:pPr>
            <w:r>
              <w:rPr>
                <w:rFonts w:eastAsia="Times New Roman" w:cs="Times New Roman"/>
              </w:rPr>
              <w:t xml:space="preserve">: </w:t>
            </w:r>
            <w:r>
              <w:rPr>
                <w:rFonts w:eastAsia="Times New Roman" w:cs="Times New Roman"/>
                <w:b/>
              </w:rPr>
              <w:t>CÔNG TY BẢO HIỂM HÙNG VƯƠNG THÀNH PHỐ HỒ CHÍ MINH</w:t>
            </w:r>
          </w:p>
        </w:tc>
      </w:tr>
      <w:tr>
        <w:trPr/>
        <w:tc>
          <w:tcPr>
            <w:tcW w:w="1615" w:type="dxa"/>
            <w:tcBorders/>
          </w:tcPr>
          <w:p>
            <w:pPr>
              <w:pStyle w:val="normal1"/>
              <w:tabs>
                <w:tab w:val="left" w:pos="720" w:leader="none"/>
                <w:tab w:val="left" w:pos="3960" w:leader="none"/>
              </w:tabs>
              <w:spacing w:lineRule="auto" w:line="252" w:before="80" w:after="0"/>
              <w:rPr>
                <w:rFonts w:ascii="Times New Roman" w:hAnsi="Times New Roman" w:eastAsia="Times New Roman" w:cs="Times New Roman"/>
              </w:rPr>
            </w:pPr>
            <w:r>
              <w:rPr>
                <w:rFonts w:eastAsia="Times New Roman" w:cs="Times New Roman"/>
              </w:rPr>
              <w:t>Địa chỉ</w:t>
            </w:r>
          </w:p>
        </w:tc>
        <w:tc>
          <w:tcPr>
            <w:tcW w:w="8184" w:type="dxa"/>
            <w:gridSpan w:val="3"/>
            <w:tcBorders/>
          </w:tcPr>
          <w:p>
            <w:pPr>
              <w:pStyle w:val="normal1"/>
              <w:tabs>
                <w:tab w:val="left" w:pos="720" w:leader="none"/>
                <w:tab w:val="left" w:pos="3960" w:leader="none"/>
              </w:tabs>
              <w:spacing w:lineRule="auto" w:line="252" w:before="80" w:after="0"/>
              <w:jc w:val="both"/>
              <w:rPr>
                <w:rFonts w:ascii="Times New Roman" w:hAnsi="Times New Roman" w:eastAsia="Times New Roman" w:cs="Times New Roman"/>
              </w:rPr>
            </w:pPr>
            <w:r>
              <w:rPr>
                <w:rFonts w:eastAsia="Times New Roman" w:cs="Times New Roman"/>
              </w:rPr>
              <w:t>: Tầng 3, Tòa nhà số 49B Phan Đăng Lưu, Phường Cầu Kiệu, TP HCM.</w:t>
            </w:r>
          </w:p>
        </w:tc>
      </w:tr>
      <w:tr>
        <w:trPr/>
        <w:tc>
          <w:tcPr>
            <w:tcW w:w="1615" w:type="dxa"/>
            <w:tcBorders/>
          </w:tcPr>
          <w:p>
            <w:pPr>
              <w:pStyle w:val="normal1"/>
              <w:tabs>
                <w:tab w:val="left" w:pos="720" w:leader="none"/>
                <w:tab w:val="left" w:pos="3960" w:leader="none"/>
              </w:tabs>
              <w:spacing w:lineRule="auto" w:line="252" w:before="80" w:after="0"/>
              <w:rPr>
                <w:rFonts w:ascii="Times New Roman" w:hAnsi="Times New Roman" w:eastAsia="Times New Roman" w:cs="Times New Roman"/>
              </w:rPr>
            </w:pPr>
            <w:r>
              <w:rPr>
                <w:rFonts w:eastAsia="Times New Roman" w:cs="Times New Roman"/>
              </w:rPr>
              <w:t>Điện thoại</w:t>
            </w:r>
          </w:p>
        </w:tc>
        <w:tc>
          <w:tcPr>
            <w:tcW w:w="3779" w:type="dxa"/>
            <w:tcBorders/>
          </w:tcPr>
          <w:p>
            <w:pPr>
              <w:pStyle w:val="normal1"/>
              <w:tabs>
                <w:tab w:val="left" w:pos="720" w:leader="none"/>
                <w:tab w:val="left" w:pos="3740" w:leader="none"/>
              </w:tabs>
              <w:spacing w:lineRule="auto" w:line="252" w:before="80" w:after="0"/>
              <w:rPr>
                <w:rFonts w:ascii="Times New Roman" w:hAnsi="Times New Roman" w:eastAsia="Times New Roman" w:cs="Times New Roman"/>
              </w:rPr>
            </w:pPr>
            <w:r>
              <w:rPr>
                <w:rFonts w:eastAsia="Times New Roman" w:cs="Times New Roman"/>
              </w:rPr>
              <w:t>:</w:t>
            </w:r>
          </w:p>
        </w:tc>
        <w:tc>
          <w:tcPr>
            <w:tcW w:w="1172" w:type="dxa"/>
            <w:tcBorders/>
          </w:tcPr>
          <w:p>
            <w:pPr>
              <w:pStyle w:val="normal1"/>
              <w:tabs>
                <w:tab w:val="left" w:pos="720" w:leader="none"/>
                <w:tab w:val="left" w:pos="3960" w:leader="none"/>
              </w:tabs>
              <w:spacing w:lineRule="auto" w:line="252" w:before="80" w:after="0"/>
              <w:rPr>
                <w:rFonts w:ascii="Times New Roman" w:hAnsi="Times New Roman" w:eastAsia="Times New Roman" w:cs="Times New Roman"/>
              </w:rPr>
            </w:pPr>
            <w:r>
              <w:rPr>
                <w:rFonts w:eastAsia="Times New Roman" w:cs="Times New Roman"/>
              </w:rPr>
              <w:t>Fax:</w:t>
            </w:r>
          </w:p>
        </w:tc>
        <w:tc>
          <w:tcPr>
            <w:tcW w:w="3233" w:type="dxa"/>
            <w:tcBorders/>
          </w:tcPr>
          <w:p>
            <w:pPr>
              <w:pStyle w:val="normal1"/>
              <w:tabs>
                <w:tab w:val="left" w:pos="720" w:leader="none"/>
                <w:tab w:val="left" w:pos="3960" w:leader="none"/>
              </w:tabs>
              <w:spacing w:lineRule="auto" w:line="252" w:before="80" w:after="0"/>
              <w:rPr>
                <w:rFonts w:ascii="Times New Roman" w:hAnsi="Times New Roman" w:eastAsia="Times New Roman" w:cs="Times New Roman"/>
              </w:rPr>
            </w:pPr>
            <w:r>
              <w:rPr>
                <w:rFonts w:eastAsia="Times New Roman" w:cs="Times New Roman"/>
              </w:rPr>
            </w:r>
          </w:p>
        </w:tc>
      </w:tr>
      <w:tr>
        <w:trPr/>
        <w:tc>
          <w:tcPr>
            <w:tcW w:w="1615" w:type="dxa"/>
            <w:tcBorders/>
          </w:tcPr>
          <w:p>
            <w:pPr>
              <w:pStyle w:val="normal1"/>
              <w:tabs>
                <w:tab w:val="left" w:pos="720" w:leader="none"/>
                <w:tab w:val="left" w:pos="3960" w:leader="none"/>
              </w:tabs>
              <w:spacing w:lineRule="auto" w:line="252" w:before="80" w:after="0"/>
              <w:rPr>
                <w:rFonts w:ascii="Times New Roman" w:hAnsi="Times New Roman" w:eastAsia="Times New Roman" w:cs="Times New Roman"/>
              </w:rPr>
            </w:pPr>
            <w:r>
              <w:rPr>
                <w:rFonts w:eastAsia="Times New Roman" w:cs="Times New Roman"/>
              </w:rPr>
              <w:t>Mã số thuế</w:t>
            </w:r>
          </w:p>
        </w:tc>
        <w:tc>
          <w:tcPr>
            <w:tcW w:w="3779" w:type="dxa"/>
            <w:tcBorders/>
          </w:tcPr>
          <w:p>
            <w:pPr>
              <w:pStyle w:val="normal1"/>
              <w:tabs>
                <w:tab w:val="left" w:pos="720" w:leader="none"/>
                <w:tab w:val="left" w:pos="3740" w:leader="none"/>
              </w:tabs>
              <w:spacing w:lineRule="auto" w:line="252" w:before="80" w:after="0"/>
              <w:rPr>
                <w:rFonts w:ascii="Times New Roman" w:hAnsi="Times New Roman" w:eastAsia="Times New Roman" w:cs="Times New Roman"/>
              </w:rPr>
            </w:pPr>
            <w:r>
              <w:rPr>
                <w:rFonts w:eastAsia="Times New Roman" w:cs="Times New Roman"/>
              </w:rPr>
              <w:t>:</w:t>
            </w:r>
            <w:r>
              <w:rPr/>
              <w:t xml:space="preserve"> </w:t>
            </w:r>
            <w:r>
              <w:rPr>
                <w:rFonts w:eastAsia="Times New Roman" w:cs="Times New Roman"/>
              </w:rPr>
              <w:t>0305729654-001</w:t>
            </w:r>
          </w:p>
        </w:tc>
        <w:tc>
          <w:tcPr>
            <w:tcW w:w="1172" w:type="dxa"/>
            <w:tcBorders/>
          </w:tcPr>
          <w:p>
            <w:pPr>
              <w:pStyle w:val="normal1"/>
              <w:tabs>
                <w:tab w:val="left" w:pos="720" w:leader="none"/>
                <w:tab w:val="left" w:pos="3960" w:leader="none"/>
              </w:tabs>
              <w:spacing w:lineRule="auto" w:line="252" w:before="80" w:after="0"/>
              <w:rPr>
                <w:rFonts w:ascii="Times New Roman" w:hAnsi="Times New Roman" w:eastAsia="Times New Roman" w:cs="Times New Roman"/>
              </w:rPr>
            </w:pPr>
            <w:r>
              <w:rPr>
                <w:rFonts w:eastAsia="Times New Roman" w:cs="Times New Roman"/>
              </w:rPr>
            </w:r>
          </w:p>
        </w:tc>
        <w:tc>
          <w:tcPr>
            <w:tcW w:w="3233" w:type="dxa"/>
            <w:tcBorders/>
          </w:tcPr>
          <w:p>
            <w:pPr>
              <w:pStyle w:val="normal1"/>
              <w:tabs>
                <w:tab w:val="left" w:pos="720" w:leader="none"/>
                <w:tab w:val="left" w:pos="3960" w:leader="none"/>
              </w:tabs>
              <w:spacing w:lineRule="auto" w:line="252" w:before="80" w:after="0"/>
              <w:rPr>
                <w:rFonts w:ascii="Times New Roman" w:hAnsi="Times New Roman" w:eastAsia="Times New Roman" w:cs="Times New Roman"/>
              </w:rPr>
            </w:pPr>
            <w:r>
              <w:rPr>
                <w:rFonts w:eastAsia="Times New Roman" w:cs="Times New Roman"/>
              </w:rPr>
            </w:r>
          </w:p>
        </w:tc>
      </w:tr>
      <w:tr>
        <w:trPr/>
        <w:tc>
          <w:tcPr>
            <w:tcW w:w="1615" w:type="dxa"/>
            <w:tcBorders/>
          </w:tcPr>
          <w:p>
            <w:pPr>
              <w:pStyle w:val="normal1"/>
              <w:tabs>
                <w:tab w:val="left" w:pos="720" w:leader="none"/>
                <w:tab w:val="left" w:pos="3960" w:leader="none"/>
              </w:tabs>
              <w:spacing w:lineRule="auto" w:line="252" w:before="80" w:after="0"/>
              <w:rPr>
                <w:rFonts w:ascii="Times New Roman" w:hAnsi="Times New Roman" w:eastAsia="Times New Roman" w:cs="Times New Roman"/>
              </w:rPr>
            </w:pPr>
            <w:r>
              <w:rPr>
                <w:rFonts w:eastAsia="Times New Roman" w:cs="Times New Roman"/>
              </w:rPr>
              <w:t>Tài khoản</w:t>
            </w:r>
          </w:p>
        </w:tc>
        <w:tc>
          <w:tcPr>
            <w:tcW w:w="8184" w:type="dxa"/>
            <w:gridSpan w:val="3"/>
            <w:tcBorders/>
          </w:tcPr>
          <w:p>
            <w:pPr>
              <w:pStyle w:val="normal1"/>
              <w:tabs>
                <w:tab w:val="left" w:pos="720" w:leader="none"/>
                <w:tab w:val="left" w:pos="3960" w:leader="none"/>
              </w:tabs>
              <w:spacing w:lineRule="auto" w:line="252" w:before="80" w:after="0"/>
              <w:rPr>
                <w:rFonts w:ascii="Times New Roman" w:hAnsi="Times New Roman" w:eastAsia="Times New Roman" w:cs="Times New Roman"/>
              </w:rPr>
            </w:pPr>
            <w:r>
              <w:rPr>
                <w:rFonts w:eastAsia="Times New Roman" w:cs="Times New Roman"/>
              </w:rPr>
              <w:t>:</w:t>
            </w:r>
            <w:r>
              <w:rPr/>
              <w:t xml:space="preserve"> </w:t>
            </w:r>
            <w:r>
              <w:rPr>
                <w:rFonts w:eastAsia="Times New Roman" w:cs="Times New Roman"/>
              </w:rPr>
              <w:t>02347979 tại Ngân hàng TMCP Việt Á - CN Tân Bình - PGD Tân Sơn Nhất</w:t>
            </w:r>
          </w:p>
        </w:tc>
      </w:tr>
      <w:tr>
        <w:trPr/>
        <w:tc>
          <w:tcPr>
            <w:tcW w:w="1615" w:type="dxa"/>
            <w:tcBorders/>
          </w:tcPr>
          <w:p>
            <w:pPr>
              <w:pStyle w:val="normal1"/>
              <w:tabs>
                <w:tab w:val="left" w:pos="720" w:leader="none"/>
                <w:tab w:val="left" w:pos="3960" w:leader="none"/>
              </w:tabs>
              <w:spacing w:lineRule="auto" w:line="252" w:before="80" w:after="0"/>
              <w:rPr>
                <w:rFonts w:ascii="Times New Roman" w:hAnsi="Times New Roman" w:eastAsia="Times New Roman" w:cs="Times New Roman"/>
              </w:rPr>
            </w:pPr>
            <w:r>
              <w:rPr>
                <w:rFonts w:eastAsia="Times New Roman" w:cs="Times New Roman"/>
              </w:rPr>
              <w:t>Đại diện</w:t>
            </w:r>
          </w:p>
        </w:tc>
        <w:tc>
          <w:tcPr>
            <w:tcW w:w="3779" w:type="dxa"/>
            <w:tcBorders/>
          </w:tcPr>
          <w:p>
            <w:pPr>
              <w:pStyle w:val="normal1"/>
              <w:tabs>
                <w:tab w:val="left" w:pos="720" w:leader="none"/>
                <w:tab w:val="left" w:pos="3740" w:leader="none"/>
              </w:tabs>
              <w:spacing w:lineRule="auto" w:line="252" w:before="80" w:after="0"/>
              <w:rPr>
                <w:rFonts w:ascii="Times New Roman" w:hAnsi="Times New Roman" w:eastAsia="Times New Roman" w:cs="Times New Roman"/>
                <w:b/>
              </w:rPr>
            </w:pPr>
            <w:r>
              <w:rPr>
                <w:rFonts w:eastAsia="Times New Roman" w:cs="Times New Roman"/>
              </w:rPr>
              <w:t xml:space="preserve">: Ông </w:t>
            </w:r>
            <w:r>
              <w:rPr>
                <w:rFonts w:eastAsia="Times New Roman" w:cs="Times New Roman"/>
                <w:b/>
              </w:rPr>
              <w:t>NGUYỄN NGỌC ẨN</w:t>
            </w:r>
          </w:p>
        </w:tc>
        <w:tc>
          <w:tcPr>
            <w:tcW w:w="1172" w:type="dxa"/>
            <w:tcBorders/>
          </w:tcPr>
          <w:p>
            <w:pPr>
              <w:pStyle w:val="normal1"/>
              <w:tabs>
                <w:tab w:val="left" w:pos="720" w:leader="none"/>
                <w:tab w:val="left" w:pos="3960" w:leader="none"/>
              </w:tabs>
              <w:spacing w:lineRule="auto" w:line="252" w:before="80" w:after="0"/>
              <w:rPr>
                <w:rFonts w:ascii="Times New Roman" w:hAnsi="Times New Roman" w:eastAsia="Times New Roman" w:cs="Times New Roman"/>
              </w:rPr>
            </w:pPr>
            <w:r>
              <w:rPr>
                <w:rFonts w:eastAsia="Times New Roman" w:cs="Times New Roman"/>
              </w:rPr>
              <w:t>Chức vụ:</w:t>
            </w:r>
          </w:p>
        </w:tc>
        <w:tc>
          <w:tcPr>
            <w:tcW w:w="3233" w:type="dxa"/>
            <w:tcBorders/>
          </w:tcPr>
          <w:p>
            <w:pPr>
              <w:pStyle w:val="normal1"/>
              <w:tabs>
                <w:tab w:val="left" w:pos="720" w:leader="none"/>
                <w:tab w:val="left" w:pos="3960" w:leader="none"/>
              </w:tabs>
              <w:spacing w:lineRule="auto" w:line="252" w:before="80" w:after="0"/>
              <w:rPr>
                <w:rFonts w:ascii="Times New Roman" w:hAnsi="Times New Roman" w:eastAsia="Times New Roman" w:cs="Times New Roman"/>
                <w:b/>
              </w:rPr>
            </w:pPr>
            <w:r>
              <w:rPr>
                <w:rFonts w:eastAsia="Times New Roman" w:cs="Times New Roman"/>
                <w:b/>
              </w:rPr>
              <w:t>Giám đốc</w:t>
            </w:r>
          </w:p>
        </w:tc>
      </w:tr>
    </w:tbl>
    <w:p>
      <w:pPr>
        <w:pStyle w:val="normal1"/>
        <w:tabs>
          <w:tab w:val="left" w:pos="720" w:leader="none"/>
          <w:tab w:val="left" w:pos="1980" w:leader="none"/>
          <w:tab w:val="left" w:pos="3960" w:leader="none"/>
          <w:tab w:val="left" w:pos="5760" w:leader="none"/>
        </w:tabs>
        <w:spacing w:lineRule="auto" w:line="252" w:before="360" w:after="0"/>
        <w:rPr>
          <w:b/>
        </w:rPr>
      </w:pPr>
      <w:r>
        <w:rPr>
          <w:b/>
        </w:rPr>
        <w:t xml:space="preserve">BÊN MUA BẢO HIỂM </w:t>
      </w:r>
      <w:r>
        <w:rPr>
          <w:i/>
        </w:rPr>
        <w:t xml:space="preserve">(Sau đây gọi là </w:t>
      </w:r>
      <w:r>
        <w:rPr>
          <w:b/>
          <w:i/>
        </w:rPr>
        <w:t>Bên B</w:t>
      </w:r>
      <w:r>
        <w:rPr>
          <w:i/>
        </w:rPr>
        <w:t xml:space="preserve"> hoặc </w:t>
      </w:r>
      <w:r>
        <w:rPr>
          <w:b/>
          <w:i/>
        </w:rPr>
        <w:t>Người được bảo hiểm</w:t>
      </w:r>
      <w:r>
        <w:rPr>
          <w:i/>
        </w:rPr>
        <w:t>)</w:t>
      </w:r>
    </w:p>
    <w:tbl>
      <w:tblPr>
        <w:tblStyle w:val="10"/>
        <w:tblW w:w="9800" w:type="dxa"/>
        <w:jc w:val="left"/>
        <w:tblInd w:w="-90" w:type="dxa"/>
        <w:tblLayout w:type="fixed"/>
        <w:tblCellMar>
          <w:top w:w="0" w:type="dxa"/>
          <w:left w:w="108" w:type="dxa"/>
          <w:bottom w:w="0" w:type="dxa"/>
          <w:right w:w="108" w:type="dxa"/>
        </w:tblCellMar>
      </w:tblPr>
      <w:tblGrid>
        <w:gridCol w:w="1615"/>
        <w:gridCol w:w="3779"/>
        <w:gridCol w:w="1172"/>
        <w:gridCol w:w="3233"/>
      </w:tblGrid>
      <w:tr>
        <w:trPr/>
        <w:tc>
          <w:tcPr>
            <w:tcW w:w="1615" w:type="dxa"/>
            <w:tcBorders/>
          </w:tcPr>
          <w:p>
            <w:pPr>
              <w:pStyle w:val="normal1"/>
              <w:tabs>
                <w:tab w:val="left" w:pos="720" w:leader="none"/>
                <w:tab w:val="left" w:pos="3960" w:leader="none"/>
              </w:tabs>
              <w:spacing w:lineRule="auto" w:line="252" w:before="80" w:after="0"/>
              <w:rPr>
                <w:rFonts w:ascii="Times New Roman" w:hAnsi="Times New Roman" w:eastAsia="Times New Roman" w:cs="Times New Roman"/>
              </w:rPr>
            </w:pPr>
            <w:r>
              <w:rPr>
                <w:rFonts w:eastAsia="Times New Roman" w:cs="Times New Roman"/>
              </w:rPr>
              <w:t>Tên chủ xe</w:t>
            </w:r>
          </w:p>
        </w:tc>
        <w:tc>
          <w:tcPr>
            <w:tcW w:w="8184" w:type="dxa"/>
            <w:gridSpan w:val="3"/>
            <w:tcBorders/>
          </w:tcPr>
          <w:p>
            <w:pPr>
              <w:pStyle w:val="normal1"/>
              <w:tabs>
                <w:tab w:val="left" w:pos="720" w:leader="none"/>
                <w:tab w:val="left" w:pos="3960" w:leader="none"/>
              </w:tabs>
              <w:spacing w:lineRule="auto" w:line="252" w:before="80" w:after="0"/>
              <w:rPr>
                <w:rFonts w:ascii="Times New Roman" w:hAnsi="Times New Roman" w:eastAsia="Times New Roman" w:cs="Times New Roman"/>
              </w:rPr>
            </w:pPr>
            <w:r>
              <w:rPr>
                <w:rFonts w:eastAsia="Times New Roman" w:cs="Times New Roman"/>
              </w:rPr>
              <w:t xml:space="preserve">: Ông/ Bà </w:t>
            </w:r>
            <w:r>
              <w:rPr>
                <w:rFonts w:eastAsia="Times New Roman" w:cs="Times New Roman"/>
                <w:b/>
              </w:rPr>
              <w:t>{c_chuXe}</w:t>
            </w:r>
          </w:p>
        </w:tc>
      </w:tr>
      <w:tr>
        <w:trPr/>
        <w:tc>
          <w:tcPr>
            <w:tcW w:w="1615" w:type="dxa"/>
            <w:tcBorders/>
          </w:tcPr>
          <w:p>
            <w:pPr>
              <w:pStyle w:val="normal1"/>
              <w:tabs>
                <w:tab w:val="left" w:pos="720" w:leader="none"/>
                <w:tab w:val="left" w:pos="3960" w:leader="none"/>
              </w:tabs>
              <w:spacing w:lineRule="auto" w:line="252" w:before="80" w:after="0"/>
              <w:rPr>
                <w:rFonts w:ascii="Times New Roman" w:hAnsi="Times New Roman" w:eastAsia="Times New Roman" w:cs="Times New Roman"/>
              </w:rPr>
            </w:pPr>
            <w:r>
              <w:rPr>
                <w:rFonts w:eastAsia="Times New Roman" w:cs="Times New Roman"/>
              </w:rPr>
              <w:t>Địa chỉ</w:t>
            </w:r>
          </w:p>
        </w:tc>
        <w:tc>
          <w:tcPr>
            <w:tcW w:w="8184" w:type="dxa"/>
            <w:gridSpan w:val="3"/>
            <w:tcBorders/>
          </w:tcPr>
          <w:p>
            <w:pPr>
              <w:pStyle w:val="normal1"/>
              <w:tabs>
                <w:tab w:val="left" w:pos="720" w:leader="none"/>
                <w:tab w:val="left" w:pos="3960" w:leader="none"/>
              </w:tabs>
              <w:spacing w:lineRule="auto" w:line="252" w:before="80" w:after="0"/>
              <w:jc w:val="both"/>
              <w:rPr>
                <w:rFonts w:ascii="Times New Roman" w:hAnsi="Times New Roman" w:eastAsia="Times New Roman" w:cs="Times New Roman"/>
              </w:rPr>
            </w:pPr>
            <w:r>
              <w:rPr>
                <w:rFonts w:eastAsia="Times New Roman" w:cs="Times New Roman"/>
              </w:rPr>
              <w:t>:{diaChi}.</w:t>
            </w:r>
          </w:p>
        </w:tc>
      </w:tr>
      <w:tr>
        <w:trPr/>
        <w:tc>
          <w:tcPr>
            <w:tcW w:w="1615" w:type="dxa"/>
            <w:tcBorders/>
          </w:tcPr>
          <w:p>
            <w:pPr>
              <w:pStyle w:val="normal1"/>
              <w:tabs>
                <w:tab w:val="left" w:pos="720" w:leader="none"/>
                <w:tab w:val="left" w:pos="3960" w:leader="none"/>
              </w:tabs>
              <w:spacing w:lineRule="auto" w:line="252" w:before="80" w:after="0"/>
              <w:rPr>
                <w:rFonts w:ascii="Times New Roman" w:hAnsi="Times New Roman" w:eastAsia="Times New Roman" w:cs="Times New Roman"/>
              </w:rPr>
            </w:pPr>
            <w:r>
              <w:rPr>
                <w:rFonts w:eastAsia="Times New Roman" w:cs="Times New Roman"/>
              </w:rPr>
              <w:t>Điện thoại</w:t>
            </w:r>
          </w:p>
        </w:tc>
        <w:tc>
          <w:tcPr>
            <w:tcW w:w="3779" w:type="dxa"/>
            <w:tcBorders/>
          </w:tcPr>
          <w:p>
            <w:pPr>
              <w:pStyle w:val="normal1"/>
              <w:tabs>
                <w:tab w:val="left" w:pos="720" w:leader="none"/>
                <w:tab w:val="left" w:pos="3740" w:leader="none"/>
              </w:tabs>
              <w:spacing w:lineRule="auto" w:line="252" w:before="80" w:after="0"/>
              <w:rPr>
                <w:rFonts w:ascii="Times New Roman" w:hAnsi="Times New Roman" w:eastAsia="Times New Roman" w:cs="Times New Roman"/>
              </w:rPr>
            </w:pPr>
            <w:r>
              <w:rPr>
                <w:rFonts w:eastAsia="Times New Roman" w:cs="Times New Roman"/>
              </w:rPr>
              <w:t>:-</w:t>
            </w:r>
          </w:p>
        </w:tc>
        <w:tc>
          <w:tcPr>
            <w:tcW w:w="1172" w:type="dxa"/>
            <w:tcBorders/>
          </w:tcPr>
          <w:p>
            <w:pPr>
              <w:pStyle w:val="normal1"/>
              <w:tabs>
                <w:tab w:val="left" w:pos="720" w:leader="none"/>
                <w:tab w:val="left" w:pos="3960" w:leader="none"/>
              </w:tabs>
              <w:spacing w:lineRule="auto" w:line="252" w:before="80" w:after="0"/>
              <w:rPr>
                <w:rFonts w:ascii="Times New Roman" w:hAnsi="Times New Roman" w:eastAsia="Times New Roman" w:cs="Times New Roman"/>
              </w:rPr>
            </w:pPr>
            <w:r>
              <w:rPr>
                <w:rFonts w:eastAsia="Times New Roman" w:cs="Times New Roman"/>
              </w:rPr>
              <w:t>Email:</w:t>
            </w:r>
          </w:p>
        </w:tc>
        <w:tc>
          <w:tcPr>
            <w:tcW w:w="3233" w:type="dxa"/>
            <w:tcBorders/>
          </w:tcPr>
          <w:p>
            <w:pPr>
              <w:pStyle w:val="normal1"/>
              <w:tabs>
                <w:tab w:val="left" w:pos="720" w:leader="none"/>
                <w:tab w:val="left" w:pos="3960" w:leader="none"/>
              </w:tabs>
              <w:spacing w:lineRule="auto" w:line="264" w:before="60" w:after="60"/>
              <w:rPr>
                <w:rFonts w:ascii="Times New Roman" w:hAnsi="Times New Roman" w:eastAsia="Times New Roman" w:cs="Times New Roman"/>
              </w:rPr>
            </w:pPr>
            <w:r>
              <w:rPr>
                <w:rFonts w:eastAsia="Times New Roman" w:cs="Times New Roman"/>
              </w:rPr>
              <w:t>-</w:t>
            </w:r>
          </w:p>
        </w:tc>
      </w:tr>
      <w:tr>
        <w:trPr/>
        <w:tc>
          <w:tcPr>
            <w:tcW w:w="1615" w:type="dxa"/>
            <w:tcBorders/>
          </w:tcPr>
          <w:p>
            <w:pPr>
              <w:pStyle w:val="normal1"/>
              <w:tabs>
                <w:tab w:val="left" w:pos="720" w:leader="none"/>
                <w:tab w:val="left" w:pos="3960" w:leader="none"/>
              </w:tabs>
              <w:spacing w:lineRule="auto" w:line="252" w:before="80" w:after="0"/>
              <w:rPr>
                <w:rFonts w:ascii="Times New Roman" w:hAnsi="Times New Roman" w:eastAsia="Times New Roman" w:cs="Times New Roman"/>
              </w:rPr>
            </w:pPr>
            <w:r>
              <w:rPr>
                <w:rFonts w:eastAsia="Times New Roman" w:cs="Times New Roman"/>
              </w:rPr>
              <w:t>CCCD</w:t>
            </w:r>
          </w:p>
        </w:tc>
        <w:tc>
          <w:tcPr>
            <w:tcW w:w="8184" w:type="dxa"/>
            <w:gridSpan w:val="3"/>
            <w:tcBorders/>
          </w:tcPr>
          <w:p>
            <w:pPr>
              <w:pStyle w:val="normal1"/>
              <w:tabs>
                <w:tab w:val="left" w:pos="720" w:leader="none"/>
                <w:tab w:val="left" w:pos="3960" w:leader="none"/>
              </w:tabs>
              <w:spacing w:lineRule="auto" w:line="252" w:before="80" w:after="0"/>
              <w:rPr>
                <w:rFonts w:ascii="Times New Roman" w:hAnsi="Times New Roman" w:eastAsia="Times New Roman" w:cs="Times New Roman"/>
              </w:rPr>
            </w:pPr>
            <w:r>
              <w:rPr>
                <w:rFonts w:eastAsia="Times New Roman" w:cs="Times New Roman"/>
              </w:rPr>
              <w:t>:-</w:t>
            </w:r>
            <w:bookmarkStart w:id="1" w:name="_GoBack"/>
            <w:bookmarkEnd w:id="1"/>
          </w:p>
        </w:tc>
      </w:tr>
    </w:tbl>
    <w:p>
      <w:pPr>
        <w:pStyle w:val="normal1"/>
        <w:tabs>
          <w:tab w:val="left" w:pos="720" w:leader="none"/>
          <w:tab w:val="left" w:pos="3960" w:leader="none"/>
        </w:tabs>
        <w:spacing w:lineRule="auto" w:line="252" w:before="80" w:after="0"/>
        <w:rPr>
          <w:b/>
          <w:i/>
          <w:i/>
        </w:rPr>
      </w:pPr>
      <w:r>
        <w:rPr>
          <w:b/>
          <w:i/>
        </w:rPr>
        <w:t>Theo thông tin của Bên B cung cấp, các bên thỏa thuận thực hiện những nội dung như sau:</w:t>
      </w:r>
    </w:p>
    <w:p>
      <w:pPr>
        <w:pStyle w:val="normal1"/>
        <w:numPr>
          <w:ilvl w:val="0"/>
          <w:numId w:val="1"/>
        </w:numPr>
        <w:tabs>
          <w:tab w:val="clear" w:pos="720"/>
          <w:tab w:val="left" w:pos="900" w:leader="none"/>
        </w:tabs>
        <w:spacing w:lineRule="auto" w:line="252" w:before="360" w:after="0"/>
        <w:ind w:hanging="907" w:left="907"/>
        <w:jc w:val="both"/>
        <w:rPr>
          <w:b/>
        </w:rPr>
      </w:pPr>
      <w:r>
        <w:rPr>
          <w:b/>
        </w:rPr>
        <w:t>GIẢI THÍCH TỪ NGỮ</w:t>
      </w:r>
    </w:p>
    <w:p>
      <w:pPr>
        <w:pStyle w:val="normal1"/>
        <w:tabs>
          <w:tab w:val="left" w:pos="720" w:leader="none"/>
        </w:tabs>
        <w:spacing w:lineRule="auto" w:line="252" w:before="90" w:after="0"/>
        <w:jc w:val="both"/>
        <w:rPr/>
      </w:pPr>
      <w:r>
        <w:rPr/>
        <w:t>Theo quy định của pháp luật, trong hợp đồng này các thuật ngữ dưới đây được hiểu như sau:</w:t>
      </w:r>
    </w:p>
    <w:p>
      <w:pPr>
        <w:pStyle w:val="normal1"/>
        <w:numPr>
          <w:ilvl w:val="0"/>
          <w:numId w:val="2"/>
        </w:numPr>
        <w:spacing w:lineRule="auto" w:line="252" w:before="100" w:after="0"/>
        <w:ind w:hanging="446" w:left="446"/>
        <w:jc w:val="both"/>
        <w:rPr/>
      </w:pPr>
      <w:r>
        <w:rPr>
          <w:b/>
        </w:rPr>
        <w:t>“</w:t>
      </w:r>
      <w:r>
        <w:rPr>
          <w:b/>
        </w:rPr>
        <w:t>Giấy chứng nhận bảo hiểm (GCNBH)”</w:t>
      </w:r>
      <w:r>
        <w:rPr/>
        <w:t xml:space="preserve"> là bằng chứng việc giao kết hợp đồng bảo hiểm giữa BHV và Người được bảo hiểm, do BHV cấp cho Đối tượng được bảo hiểm trên cơ sở yêu cầu bảo hiểm của Người được bảo hiểm và là một trong những chứng từ trong bộ Hợp đồng bảo hiểm. </w:t>
      </w:r>
    </w:p>
    <w:p>
      <w:pPr>
        <w:pStyle w:val="normal1"/>
        <w:numPr>
          <w:ilvl w:val="0"/>
          <w:numId w:val="2"/>
        </w:numPr>
        <w:spacing w:lineRule="auto" w:line="252" w:before="100" w:after="0"/>
        <w:ind w:hanging="446" w:left="446"/>
        <w:jc w:val="both"/>
        <w:rPr/>
      </w:pPr>
      <w:r>
        <w:rPr>
          <w:b/>
        </w:rPr>
        <w:t>“</w:t>
      </w:r>
      <w:r>
        <w:rPr>
          <w:b/>
        </w:rPr>
        <w:t>HĐBH”</w:t>
      </w:r>
      <w:r>
        <w:rPr/>
        <w:t xml:space="preserve"> / </w:t>
      </w:r>
      <w:r>
        <w:rPr>
          <w:b/>
        </w:rPr>
        <w:t>“SĐBS”</w:t>
      </w:r>
      <w:r>
        <w:rPr/>
        <w:t xml:space="preserve"> là Hợp đồng bảo hiểm / Sửa đổi bổ sung.</w:t>
      </w:r>
    </w:p>
    <w:p>
      <w:pPr>
        <w:pStyle w:val="normal1"/>
        <w:numPr>
          <w:ilvl w:val="0"/>
          <w:numId w:val="2"/>
        </w:numPr>
        <w:spacing w:lineRule="auto" w:line="252" w:before="100" w:after="0"/>
        <w:ind w:hanging="446" w:left="446"/>
        <w:jc w:val="both"/>
        <w:rPr/>
      </w:pPr>
      <w:r>
        <w:rPr>
          <w:b/>
        </w:rPr>
        <w:t>“</w:t>
      </w:r>
      <w:r>
        <w:rPr>
          <w:b/>
        </w:rPr>
        <w:t>Bảo hiểm TNDS”</w:t>
      </w:r>
      <w:r>
        <w:rPr/>
        <w:t xml:space="preserve"> là Bảo hiểm trách nhiệm dân sự của chủ xe cơ giới. Bao gồm bảo hiểm bắt buộc TNDS và bảo hiểm tự nguyện TNDS.</w:t>
      </w:r>
    </w:p>
    <w:p>
      <w:pPr>
        <w:pStyle w:val="normal1"/>
        <w:numPr>
          <w:ilvl w:val="0"/>
          <w:numId w:val="2"/>
        </w:numPr>
        <w:spacing w:lineRule="auto" w:line="252" w:before="100" w:after="0"/>
        <w:ind w:hanging="446" w:left="446"/>
        <w:jc w:val="both"/>
        <w:rPr/>
      </w:pPr>
      <w:r>
        <w:rPr>
          <w:b/>
        </w:rPr>
        <w:t>“</w:t>
      </w:r>
      <w:r>
        <w:rPr>
          <w:b/>
        </w:rPr>
        <w:t>Bảo hiểm vật chất xe cơ giới; bảo hiểm tai nạn lái phụ xe và người ngồi trên xe, bảo hiểm TNDS của chủ xe đối với hàng hóa trên xe”</w:t>
      </w:r>
      <w:r>
        <w:rPr/>
        <w:t xml:space="preserve"> là bảo hiểm tự nguyện của chủ xe cơ giới.</w:t>
      </w:r>
    </w:p>
    <w:p>
      <w:pPr>
        <w:pStyle w:val="normal1"/>
        <w:numPr>
          <w:ilvl w:val="0"/>
          <w:numId w:val="2"/>
        </w:numPr>
        <w:spacing w:lineRule="auto" w:line="252" w:before="100" w:after="0"/>
        <w:ind w:hanging="446" w:left="446"/>
        <w:jc w:val="both"/>
        <w:rPr/>
      </w:pPr>
      <w:r>
        <w:rPr>
          <w:b/>
        </w:rPr>
        <w:t>“</w:t>
      </w:r>
      <w:r>
        <w:rPr>
          <w:b/>
        </w:rPr>
        <w:t>Chủ xe cơ giới, chủ xe”</w:t>
      </w:r>
      <w:r>
        <w:rPr/>
        <w:t xml:space="preserve"> (tổ chức, cá nhân) là chủ sở hữu xe cơ giới hoặc được chủ sở hữu xe cơ giới giao chiếm hữu, sử dụng hợp pháp, điều khiển xe cơ giới.</w:t>
      </w:r>
    </w:p>
    <w:p>
      <w:pPr>
        <w:pStyle w:val="normal1"/>
        <w:numPr>
          <w:ilvl w:val="0"/>
          <w:numId w:val="2"/>
        </w:numPr>
        <w:spacing w:lineRule="auto" w:line="252" w:before="100" w:after="0"/>
        <w:ind w:hanging="446" w:left="446"/>
        <w:jc w:val="both"/>
        <w:rPr/>
      </w:pPr>
      <w:r>
        <w:rPr>
          <w:b/>
        </w:rPr>
        <w:t>“</w:t>
      </w:r>
      <w:r>
        <w:rPr>
          <w:b/>
        </w:rPr>
        <w:t>Xe hoặc xe cơ giới”</w:t>
      </w:r>
      <w:r>
        <w:rPr/>
        <w:t xml:space="preserve"> là phương tiện bao gồm phương tiện giao thông cơ giới đường bộ (sau đây gọi là xe cơ giới) gồm xe ô tô; máy kéo; rơ moóc hoặc sơ mi rơ moóc được kéo bởi xe ô tô, máy kéo; xe mô tô hai bánh; xe mô tô ba bánh; xe gắn máy (kể cả xe máy điện) và các loại xe tương tự. Xe máy chuyên dùng gồm xe máy thi công, xe máy nông nghiệp, lâm nghiệp và các loại xe đặc chủng khác sử dụng vào mục đích quốc phòng, an ninh có tham gia giao thông đường bộ.</w:t>
      </w:r>
      <w:r>
        <w:rPr>
          <w:b/>
        </w:rPr>
        <w:t xml:space="preserve"> </w:t>
      </w:r>
    </w:p>
    <w:p>
      <w:pPr>
        <w:pStyle w:val="normal1"/>
        <w:numPr>
          <w:ilvl w:val="0"/>
          <w:numId w:val="2"/>
        </w:numPr>
        <w:spacing w:lineRule="auto" w:line="252" w:before="100" w:after="0"/>
        <w:ind w:hanging="446" w:left="446"/>
        <w:jc w:val="both"/>
        <w:rPr>
          <w:i/>
          <w:i/>
        </w:rPr>
      </w:pPr>
      <w:r>
        <w:rPr>
          <w:b/>
        </w:rPr>
        <w:t>“</w:t>
      </w:r>
      <w:r>
        <w:rPr>
          <w:b/>
        </w:rPr>
        <w:t>Hành khách</w:t>
      </w:r>
      <w:r>
        <w:rPr/>
        <w:t>” là người được chở trên phương tiện vận tải hành khách đường bộ, có trả tiền.</w:t>
      </w:r>
    </w:p>
    <w:p>
      <w:pPr>
        <w:pStyle w:val="normal1"/>
        <w:numPr>
          <w:ilvl w:val="0"/>
          <w:numId w:val="2"/>
        </w:numPr>
        <w:spacing w:lineRule="auto" w:line="252" w:before="100" w:after="0"/>
        <w:ind w:hanging="446" w:left="446"/>
        <w:jc w:val="both"/>
        <w:rPr/>
      </w:pPr>
      <w:r>
        <w:rPr>
          <w:b/>
        </w:rPr>
        <w:t>“</w:t>
      </w:r>
      <w:r>
        <w:rPr>
          <w:b/>
        </w:rPr>
        <w:t>Bên thứ ba”</w:t>
      </w:r>
      <w:r>
        <w:rPr/>
        <w:t xml:space="preserve"> là người bị thiệt hại về thân thể, tính mạng, tài sản do xe cơ giới gây ra, trừ những người sau: Lái xe, phụ xe trên chính chiếc xe đó; Người trên xe và hành khách trên chính chiếc xe đó; Chủ sở hữu xe trừ trường hợp chủ sở hữu đã giao cho tổ chức, cá nhân khác chiếm hữu, sử dụng chiếc xe đó. </w:t>
      </w:r>
    </w:p>
    <w:p>
      <w:pPr>
        <w:pStyle w:val="normal1"/>
        <w:numPr>
          <w:ilvl w:val="0"/>
          <w:numId w:val="2"/>
        </w:numPr>
        <w:spacing w:lineRule="auto" w:line="252" w:before="100" w:after="0"/>
        <w:ind w:hanging="446" w:left="446"/>
        <w:jc w:val="both"/>
        <w:rPr/>
      </w:pPr>
      <w:r>
        <w:rPr>
          <w:b/>
        </w:rPr>
        <w:t>“</w:t>
      </w:r>
      <w:r>
        <w:rPr>
          <w:b/>
        </w:rPr>
        <w:t>Số tiền bảo hiểm”</w:t>
      </w:r>
      <w:r>
        <w:rPr/>
        <w:t xml:space="preserve"> là số tiền mà Chủ xe cơ giới yêu cầu bảo hiểm cho Đối tượng được bảo hiểm.</w:t>
      </w:r>
    </w:p>
    <w:p>
      <w:pPr>
        <w:pStyle w:val="normal1"/>
        <w:numPr>
          <w:ilvl w:val="0"/>
          <w:numId w:val="2"/>
        </w:numPr>
        <w:spacing w:lineRule="auto" w:line="252" w:before="100" w:after="0"/>
        <w:ind w:hanging="446" w:left="446"/>
        <w:jc w:val="both"/>
        <w:rPr/>
      </w:pPr>
      <w:r>
        <w:rPr>
          <w:b/>
        </w:rPr>
        <w:t>“</w:t>
      </w:r>
      <w:r>
        <w:rPr>
          <w:b/>
        </w:rPr>
        <w:t>Giá thị trường”</w:t>
      </w:r>
      <w:r>
        <w:rPr/>
        <w:t xml:space="preserve"> là giá mua bán trung bình của chiếc xe tương tự cùng năm sản xuất, cùng hãng sản xuất, cùng mẫu xe (model), cùng km lăn bánh, cùng mục đích sử dụng được chào bán trên thị trường ngay tại thời điểm xác định giá thị trường của xe.</w:t>
      </w:r>
    </w:p>
    <w:p>
      <w:pPr>
        <w:pStyle w:val="normal1"/>
        <w:numPr>
          <w:ilvl w:val="0"/>
          <w:numId w:val="2"/>
        </w:numPr>
        <w:spacing w:lineRule="auto" w:line="252" w:before="100" w:after="0"/>
        <w:ind w:hanging="446" w:left="446"/>
        <w:jc w:val="both"/>
        <w:rPr/>
      </w:pPr>
      <w:r>
        <w:rPr>
          <w:b/>
        </w:rPr>
        <w:t>“</w:t>
      </w:r>
      <w:r>
        <w:rPr>
          <w:b/>
        </w:rPr>
        <w:t>Thiết bị chuyên dùng”</w:t>
      </w:r>
      <w:r>
        <w:rPr/>
        <w:t xml:space="preserve"> theo Hợp đồng này, Quy tắc bảo hiểm tương ứng của BHV được hiểu là các thiết bị dùng để thực hiện một hoặc nhiều chức năng chuyên biệt như: nâng, bốc hàng, làm vệ sinh, trộn bê tông, xe chở dầu, xe chở xăng,… với điều kiện các thiết bị đó chỉ được gắn liền với chiếc xe đã được BHV bảo hiểm và tự động không thuộc phạm vi bảo hiểm khi thiết bị chuyên dụng tách rời khỏi chiếc xe đó.</w:t>
      </w:r>
    </w:p>
    <w:p>
      <w:pPr>
        <w:pStyle w:val="normal1"/>
        <w:numPr>
          <w:ilvl w:val="0"/>
          <w:numId w:val="1"/>
        </w:numPr>
        <w:tabs>
          <w:tab w:val="clear" w:pos="720"/>
          <w:tab w:val="left" w:pos="900" w:leader="none"/>
        </w:tabs>
        <w:spacing w:lineRule="auto" w:line="252" w:before="360" w:after="0"/>
        <w:ind w:hanging="907" w:left="907"/>
        <w:jc w:val="both"/>
        <w:rPr>
          <w:b/>
        </w:rPr>
      </w:pPr>
      <w:r>
        <w:rPr>
          <w:b/>
        </w:rPr>
        <w:t>ĐỐI TƯỢNG ĐƯỢC BẢO HIỂM</w:t>
      </w:r>
    </w:p>
    <w:p>
      <w:pPr>
        <w:pStyle w:val="normal1"/>
        <w:tabs>
          <w:tab w:val="left" w:pos="720" w:leader="none"/>
          <w:tab w:val="left" w:pos="3060" w:leader="none"/>
        </w:tabs>
        <w:spacing w:lineRule="auto" w:line="252" w:before="80" w:after="80"/>
        <w:jc w:val="both"/>
        <w:rPr>
          <w:b/>
        </w:rPr>
      </w:pPr>
      <w:r>
        <w:rPr/>
        <w:t xml:space="preserve">Số GCNBH: </w:t>
      </w:r>
      <w:r>
        <w:rPr>
          <w:b/>
        </w:rPr>
        <w:t>{c_contractNumber}</w:t>
      </w:r>
    </w:p>
    <w:tbl>
      <w:tblPr>
        <w:tblStyle w:val="10"/>
        <w:tblW w:w="9810" w:type="dxa"/>
        <w:jc w:val="left"/>
        <w:tblInd w:w="-5" w:type="dxa"/>
        <w:tblLayout w:type="fixed"/>
        <w:tblCellMar>
          <w:top w:w="0" w:type="dxa"/>
          <w:left w:w="108" w:type="dxa"/>
          <w:bottom w:w="0" w:type="dxa"/>
          <w:right w:w="108" w:type="dxa"/>
        </w:tblCellMar>
      </w:tblPr>
      <w:tblGrid>
        <w:gridCol w:w="3960"/>
        <w:gridCol w:w="5849"/>
      </w:tblGrid>
      <w:tr>
        <w:trPr>
          <w:trHeight w:val="300" w:hRule="atLeast"/>
        </w:trPr>
        <w:tc>
          <w:tcPr>
            <w:tcW w:w="3960" w:type="dxa"/>
            <w:tcBorders>
              <w:top w:val="single" w:sz="4" w:space="0" w:color="000000"/>
              <w:left w:val="single" w:sz="4" w:space="0" w:color="000000"/>
              <w:bottom w:val="single" w:sz="4" w:space="0" w:color="000000"/>
              <w:right w:val="single" w:sz="4" w:space="0" w:color="000000"/>
            </w:tcBorders>
            <w:shd w:color="auto" w:fill="auto" w:val="clear"/>
          </w:tcPr>
          <w:p>
            <w:pPr>
              <w:pStyle w:val="normal1"/>
              <w:widowControl w:val="false"/>
              <w:tabs>
                <w:tab w:val="clear" w:pos="720"/>
                <w:tab w:val="left" w:pos="90" w:leader="none"/>
                <w:tab w:val="left" w:pos="1530" w:leader="none"/>
                <w:tab w:val="left" w:pos="1917" w:leader="none"/>
              </w:tabs>
              <w:spacing w:lineRule="auto" w:line="252" w:before="100" w:after="100"/>
              <w:rPr>
                <w:b/>
                <w:color w:val="000000"/>
              </w:rPr>
            </w:pPr>
            <w:r>
              <w:rPr>
                <w:color w:val="000000"/>
              </w:rPr>
              <w:t>Biển kiểm soát:</w:t>
            </w:r>
            <w:r>
              <w:rPr/>
              <w:t xml:space="preserve"> </w:t>
            </w:r>
            <w:r>
              <w:rPr>
                <w:b/>
              </w:rPr>
              <w:t>{c_bienSo}</w:t>
            </w:r>
          </w:p>
        </w:tc>
        <w:tc>
          <w:tcPr>
            <w:tcW w:w="5849" w:type="dxa"/>
            <w:tcBorders>
              <w:top w:val="single" w:sz="4" w:space="0" w:color="000000"/>
              <w:left w:val="single" w:sz="4" w:space="0" w:color="000000"/>
              <w:bottom w:val="single" w:sz="4" w:space="0" w:color="000000"/>
              <w:right w:val="single" w:sz="4" w:space="0" w:color="000000"/>
            </w:tcBorders>
            <w:shd w:color="auto" w:fill="auto" w:val="clear"/>
          </w:tcPr>
          <w:p>
            <w:pPr>
              <w:pStyle w:val="normal1"/>
              <w:widowControl w:val="false"/>
              <w:tabs>
                <w:tab w:val="clear" w:pos="720"/>
                <w:tab w:val="left" w:pos="90" w:leader="none"/>
                <w:tab w:val="left" w:pos="1549" w:leader="none"/>
                <w:tab w:val="left" w:pos="1861" w:leader="none"/>
              </w:tabs>
              <w:spacing w:lineRule="auto" w:line="252" w:before="100" w:after="100"/>
              <w:rPr>
                <w:b/>
                <w:color w:val="000000"/>
              </w:rPr>
            </w:pPr>
            <w:r>
              <w:rPr>
                <w:color w:val="000000"/>
              </w:rPr>
              <w:t xml:space="preserve">Năm sản xuất: </w:t>
            </w:r>
            <w:r>
              <w:rPr>
                <w:b/>
              </w:rPr>
              <w:t>{namSanXuat}</w:t>
            </w:r>
          </w:p>
        </w:tc>
      </w:tr>
      <w:tr>
        <w:trPr>
          <w:trHeight w:val="315" w:hRule="atLeast"/>
        </w:trPr>
        <w:tc>
          <w:tcPr>
            <w:tcW w:w="3960" w:type="dxa"/>
            <w:tcBorders>
              <w:top w:val="single" w:sz="4" w:space="0" w:color="000000"/>
              <w:left w:val="single" w:sz="4" w:space="0" w:color="000000"/>
              <w:bottom w:val="single" w:sz="4" w:space="0" w:color="000000"/>
              <w:right w:val="single" w:sz="4" w:space="0" w:color="000000"/>
            </w:tcBorders>
            <w:shd w:color="auto" w:fill="auto" w:val="clear"/>
          </w:tcPr>
          <w:p>
            <w:pPr>
              <w:pStyle w:val="normal1"/>
              <w:widowControl w:val="false"/>
              <w:tabs>
                <w:tab w:val="clear" w:pos="720"/>
                <w:tab w:val="left" w:pos="90" w:leader="none"/>
                <w:tab w:val="left" w:pos="1530" w:leader="none"/>
                <w:tab w:val="left" w:pos="1917" w:leader="none"/>
              </w:tabs>
              <w:spacing w:lineRule="auto" w:line="252" w:before="100" w:after="100"/>
              <w:rPr>
                <w:b/>
                <w:color w:val="000000"/>
              </w:rPr>
            </w:pPr>
            <w:r>
              <w:rPr>
                <w:color w:val="000000"/>
              </w:rPr>
              <w:t xml:space="preserve">Nhãn hiệu: </w:t>
            </w:r>
            <w:r>
              <w:rPr>
                <w:b/>
              </w:rPr>
              <w:t>{c_carBrand} {c_carModel}</w:t>
            </w:r>
          </w:p>
        </w:tc>
        <w:tc>
          <w:tcPr>
            <w:tcW w:w="5849" w:type="dxa"/>
            <w:tcBorders>
              <w:top w:val="single" w:sz="4" w:space="0" w:color="000000"/>
              <w:left w:val="single" w:sz="4" w:space="0" w:color="000000"/>
              <w:bottom w:val="single" w:sz="4" w:space="0" w:color="000000"/>
              <w:right w:val="single" w:sz="4" w:space="0" w:color="000000"/>
            </w:tcBorders>
            <w:shd w:color="auto" w:fill="auto" w:val="clear"/>
          </w:tcPr>
          <w:p>
            <w:pPr>
              <w:pStyle w:val="normal1"/>
              <w:widowControl w:val="false"/>
              <w:tabs>
                <w:tab w:val="clear" w:pos="720"/>
                <w:tab w:val="left" w:pos="90" w:leader="none"/>
                <w:tab w:val="left" w:pos="1549" w:leader="none"/>
                <w:tab w:val="left" w:pos="1861" w:leader="none"/>
              </w:tabs>
              <w:spacing w:lineRule="auto" w:line="252" w:before="100" w:after="100"/>
              <w:rPr>
                <w:b/>
              </w:rPr>
            </w:pPr>
            <w:r>
              <w:rPr>
                <w:color w:val="000000"/>
              </w:rPr>
              <w:t xml:space="preserve">Số khung: </w:t>
            </w:r>
            <w:r>
              <w:rPr/>
              <w:t xml:space="preserve"> </w:t>
            </w:r>
            <w:r>
              <w:rPr>
                <w:b/>
              </w:rPr>
              <w:t>{soKhung}</w:t>
            </w:r>
          </w:p>
        </w:tc>
      </w:tr>
      <w:tr>
        <w:trPr>
          <w:trHeight w:val="364" w:hRule="atLeast"/>
        </w:trPr>
        <w:tc>
          <w:tcPr>
            <w:tcW w:w="3960" w:type="dxa"/>
            <w:tcBorders>
              <w:top w:val="single" w:sz="4" w:space="0" w:color="000000"/>
              <w:left w:val="single" w:sz="4" w:space="0" w:color="000000"/>
              <w:bottom w:val="single" w:sz="4" w:space="0" w:color="000000"/>
              <w:right w:val="single" w:sz="4" w:space="0" w:color="000000"/>
            </w:tcBorders>
            <w:shd w:color="auto" w:fill="auto" w:val="clear"/>
          </w:tcPr>
          <w:p>
            <w:pPr>
              <w:pStyle w:val="normal1"/>
              <w:widowControl w:val="false"/>
              <w:tabs>
                <w:tab w:val="clear" w:pos="720"/>
                <w:tab w:val="left" w:pos="90" w:leader="none"/>
                <w:tab w:val="left" w:pos="1530" w:leader="none"/>
                <w:tab w:val="left" w:pos="1917" w:leader="none"/>
              </w:tabs>
              <w:spacing w:lineRule="auto" w:line="252" w:before="100" w:after="100"/>
              <w:rPr>
                <w:b/>
                <w:color w:val="000000"/>
              </w:rPr>
            </w:pPr>
            <w:r>
              <w:rPr>
                <w:color w:val="000000"/>
              </w:rPr>
              <w:t xml:space="preserve">Loại xe: </w:t>
            </w:r>
            <w:r>
              <w:rPr>
                <w:b/>
              </w:rPr>
              <w:t>{loaiXe}</w:t>
            </w:r>
          </w:p>
        </w:tc>
        <w:tc>
          <w:tcPr>
            <w:tcW w:w="5849" w:type="dxa"/>
            <w:tcBorders>
              <w:top w:val="single" w:sz="4" w:space="0" w:color="000000"/>
              <w:left w:val="single" w:sz="4" w:space="0" w:color="000000"/>
              <w:bottom w:val="single" w:sz="4" w:space="0" w:color="000000"/>
              <w:right w:val="single" w:sz="4" w:space="0" w:color="000000"/>
            </w:tcBorders>
            <w:shd w:color="auto" w:fill="auto" w:val="clear"/>
          </w:tcPr>
          <w:p>
            <w:pPr>
              <w:pStyle w:val="normal1"/>
              <w:widowControl w:val="false"/>
              <w:tabs>
                <w:tab w:val="clear" w:pos="720"/>
                <w:tab w:val="left" w:pos="90" w:leader="none"/>
                <w:tab w:val="left" w:pos="1549" w:leader="none"/>
                <w:tab w:val="left" w:pos="1861" w:leader="none"/>
              </w:tabs>
              <w:spacing w:lineRule="auto" w:line="252" w:before="100" w:after="100"/>
              <w:rPr>
                <w:b/>
                <w:color w:val="000000"/>
              </w:rPr>
            </w:pPr>
            <w:r>
              <w:rPr>
                <w:color w:val="000000"/>
              </w:rPr>
              <w:t xml:space="preserve">Số máy: </w:t>
            </w:r>
            <w:r>
              <w:rPr/>
              <w:t xml:space="preserve"> </w:t>
            </w:r>
            <w:r>
              <w:rPr>
                <w:b/>
              </w:rPr>
              <w:t>{soMay}</w:t>
            </w:r>
          </w:p>
        </w:tc>
      </w:tr>
      <w:tr>
        <w:trPr>
          <w:trHeight w:val="330" w:hRule="atLeast"/>
        </w:trPr>
        <w:tc>
          <w:tcPr>
            <w:tcW w:w="3960" w:type="dxa"/>
            <w:tcBorders>
              <w:top w:val="single" w:sz="4" w:space="0" w:color="000000"/>
              <w:left w:val="single" w:sz="4" w:space="0" w:color="000000"/>
              <w:bottom w:val="single" w:sz="4" w:space="0" w:color="000000"/>
              <w:right w:val="single" w:sz="4" w:space="0" w:color="000000"/>
            </w:tcBorders>
            <w:shd w:color="auto" w:fill="auto" w:val="clear"/>
          </w:tcPr>
          <w:p>
            <w:pPr>
              <w:pStyle w:val="normal1"/>
              <w:widowControl w:val="false"/>
              <w:tabs>
                <w:tab w:val="clear" w:pos="720"/>
                <w:tab w:val="left" w:pos="90" w:leader="none"/>
                <w:tab w:val="left" w:pos="1530" w:leader="none"/>
                <w:tab w:val="left" w:pos="1917" w:leader="none"/>
              </w:tabs>
              <w:spacing w:lineRule="auto" w:line="252" w:before="100" w:after="100"/>
              <w:rPr>
                <w:color w:val="000000"/>
              </w:rPr>
            </w:pPr>
            <w:r>
              <w:rPr>
                <w:color w:val="000000"/>
              </w:rPr>
              <w:t xml:space="preserve">Số chỗ ngồi: </w:t>
            </w:r>
            <w:r>
              <w:rPr>
                <w:b/>
              </w:rPr>
              <w:t>{soChoNgoi}</w:t>
            </w:r>
            <w:r>
              <w:rPr>
                <w:b/>
                <w:color w:val="000000"/>
              </w:rPr>
              <w:t xml:space="preserve"> </w:t>
            </w:r>
            <w:r>
              <w:rPr>
                <w:color w:val="000000"/>
              </w:rPr>
              <w:t>chỗ</w:t>
            </w:r>
          </w:p>
        </w:tc>
        <w:tc>
          <w:tcPr>
            <w:tcW w:w="5849" w:type="dxa"/>
            <w:tcBorders>
              <w:top w:val="single" w:sz="4" w:space="0" w:color="000000"/>
              <w:left w:val="single" w:sz="4" w:space="0" w:color="000000"/>
              <w:bottom w:val="single" w:sz="4" w:space="0" w:color="000000"/>
              <w:right w:val="single" w:sz="4" w:space="0" w:color="000000"/>
            </w:tcBorders>
            <w:shd w:color="auto" w:fill="auto" w:val="clear"/>
          </w:tcPr>
          <w:p>
            <w:pPr>
              <w:pStyle w:val="normal1"/>
              <w:widowControl w:val="false"/>
              <w:tabs>
                <w:tab w:val="clear" w:pos="720"/>
                <w:tab w:val="left" w:pos="90" w:leader="none"/>
                <w:tab w:val="left" w:pos="1549" w:leader="none"/>
                <w:tab w:val="left" w:pos="1861" w:leader="none"/>
              </w:tabs>
              <w:spacing w:lineRule="auto" w:line="252" w:before="100" w:after="100"/>
              <w:rPr>
                <w:b/>
                <w:color w:val="000000"/>
              </w:rPr>
            </w:pPr>
            <w:r>
              <w:rPr/>
              <w:t>Mục đích sử dụng</w:t>
            </w:r>
            <w:r>
              <w:rPr>
                <w:color w:val="000000"/>
              </w:rPr>
              <w:t>:</w:t>
              <w:tab/>
            </w:r>
            <w:r>
              <w:rPr>
                <w:b/>
              </w:rPr>
              <w:t>{loaiHinhKinhDoanh}</w:t>
            </w:r>
          </w:p>
        </w:tc>
      </w:tr>
      <w:tr>
        <w:trPr>
          <w:trHeight w:val="281" w:hRule="atLeast"/>
        </w:trPr>
        <w:tc>
          <w:tcPr>
            <w:tcW w:w="3960" w:type="dxa"/>
            <w:tcBorders>
              <w:top w:val="single" w:sz="4" w:space="0" w:color="000000"/>
              <w:left w:val="single" w:sz="4" w:space="0" w:color="000000"/>
              <w:bottom w:val="single" w:sz="4" w:space="0" w:color="000000"/>
              <w:right w:val="single" w:sz="4" w:space="0" w:color="000000"/>
            </w:tcBorders>
            <w:shd w:color="auto" w:fill="auto" w:val="clear"/>
          </w:tcPr>
          <w:p>
            <w:pPr>
              <w:pStyle w:val="normal1"/>
              <w:widowControl w:val="false"/>
              <w:tabs>
                <w:tab w:val="clear" w:pos="720"/>
                <w:tab w:val="left" w:pos="90" w:leader="none"/>
                <w:tab w:val="left" w:pos="2340" w:leader="none"/>
                <w:tab w:val="left" w:pos="2610" w:leader="none"/>
              </w:tabs>
              <w:spacing w:lineRule="auto" w:line="252" w:before="100" w:after="100"/>
              <w:rPr>
                <w:color w:val="000000"/>
              </w:rPr>
            </w:pPr>
            <w:r>
              <w:rPr>
                <w:color w:val="000000"/>
              </w:rPr>
              <w:t>Trọng tải: -</w:t>
            </w:r>
          </w:p>
        </w:tc>
        <w:tc>
          <w:tcPr>
            <w:tcW w:w="5849" w:type="dxa"/>
            <w:tcBorders>
              <w:top w:val="single" w:sz="4" w:space="0" w:color="000000"/>
              <w:left w:val="single" w:sz="4" w:space="0" w:color="000000"/>
              <w:bottom w:val="single" w:sz="4" w:space="0" w:color="000000"/>
              <w:right w:val="single" w:sz="4" w:space="0" w:color="000000"/>
            </w:tcBorders>
            <w:shd w:color="auto" w:fill="auto" w:val="clear"/>
          </w:tcPr>
          <w:p>
            <w:pPr>
              <w:pStyle w:val="normal1"/>
              <w:spacing w:lineRule="auto" w:line="252" w:before="100" w:after="100"/>
              <w:rPr/>
            </w:pPr>
            <w:r>
              <w:rPr/>
              <w:t xml:space="preserve">Giá trị thị trường của xe theo khai báo: </w:t>
            </w:r>
            <w:r>
              <w:rPr>
                <w:b/>
              </w:rPr>
              <w:t xml:space="preserve">{giaTriXe} </w:t>
            </w:r>
            <w:r>
              <w:rPr/>
              <w:t>VND</w:t>
            </w:r>
          </w:p>
        </w:tc>
      </w:tr>
    </w:tbl>
    <w:p>
      <w:pPr>
        <w:pStyle w:val="normal1"/>
        <w:numPr>
          <w:ilvl w:val="0"/>
          <w:numId w:val="1"/>
        </w:numPr>
        <w:tabs>
          <w:tab w:val="clear" w:pos="720"/>
          <w:tab w:val="left" w:pos="900" w:leader="none"/>
        </w:tabs>
        <w:spacing w:lineRule="auto" w:line="252" w:before="360" w:after="0"/>
        <w:ind w:hanging="907" w:left="907"/>
        <w:jc w:val="both"/>
        <w:rPr>
          <w:b/>
        </w:rPr>
      </w:pPr>
      <w:r>
        <w:rPr>
          <w:b/>
        </w:rPr>
        <w:t>PHẠM VI VÀ ĐIỀU KHOẢN BẢO HIỂM</w:t>
      </w:r>
    </w:p>
    <w:p>
      <w:pPr>
        <w:pStyle w:val="normal1"/>
        <w:tabs>
          <w:tab w:val="clear" w:pos="720"/>
          <w:tab w:val="left" w:pos="993" w:leader="none"/>
        </w:tabs>
        <w:spacing w:lineRule="auto" w:line="252" w:before="100" w:after="0"/>
        <w:jc w:val="both"/>
        <w:rPr>
          <w:b/>
        </w:rPr>
      </w:pPr>
      <w:r>
        <w:rPr/>
        <w:t>BHV đồng ý bảo hiểm cho xe cơ giới theo các điều kiện và điều khoản như sau:</w:t>
      </w:r>
    </w:p>
    <w:p>
      <w:pPr>
        <w:pStyle w:val="normal1"/>
        <w:keepNext w:val="false"/>
        <w:keepLines w:val="false"/>
        <w:pageBreakBefore w:val="false"/>
        <w:widowControl/>
        <w:numPr>
          <w:ilvl w:val="1"/>
          <w:numId w:val="3"/>
        </w:numPr>
        <w:shd w:val="clear" w:fill="auto"/>
        <w:tabs>
          <w:tab w:val="clear" w:pos="720"/>
          <w:tab w:val="left" w:pos="630" w:leader="none"/>
        </w:tabs>
        <w:spacing w:lineRule="auto" w:line="252" w:before="120" w:after="0"/>
        <w:ind w:hanging="619" w:left="619" w:right="0"/>
        <w:jc w:val="both"/>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Bảo hiểm TNDS của chủ xe đối với người thứ ba, tai nạn hành khách trên xe theo Nghị định số 67/2023/NĐ-CP ngày 06 tháng 09 năm 2023 của chính phủ quy định quy tắc, điều khoản, biểu phí và mức trách nhiệm bảo hiểm bắt buộc TNDS của chủ xe cơ giới. </w:t>
      </w:r>
    </w:p>
    <w:p>
      <w:pPr>
        <w:pStyle w:val="normal1"/>
        <w:keepNext w:val="false"/>
        <w:keepLines w:val="false"/>
        <w:pageBreakBefore w:val="false"/>
        <w:widowControl/>
        <w:numPr>
          <w:ilvl w:val="1"/>
          <w:numId w:val="3"/>
        </w:numPr>
        <w:shd w:val="clear" w:fill="auto"/>
        <w:tabs>
          <w:tab w:val="clear" w:pos="720"/>
          <w:tab w:val="left" w:pos="630" w:leader="none"/>
        </w:tabs>
        <w:spacing w:lineRule="auto" w:line="252" w:before="120" w:after="0"/>
        <w:ind w:hanging="619" w:left="619" w:right="0"/>
        <w:jc w:val="both"/>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Bảo hiểm Vật chất xe có phạm vi bảo hiểm theo các điều khoản bảo hiểm trong Quy tắc bảo hiểm tự nguyện vật chất xe ô tô ban hành kèm theo Quyết định số 0197/2025/QĐ-BHV ngày 28 tháng 08 năm 2025 của Tổng Giám đốc Tổng Công ty Cổ Phần Bảo hiểm Hùng Vương.</w:t>
      </w:r>
    </w:p>
    <w:p>
      <w:pPr>
        <w:pStyle w:val="normal1"/>
        <w:keepNext w:val="false"/>
        <w:keepLines w:val="false"/>
        <w:pageBreakBefore w:val="false"/>
        <w:widowControl/>
        <w:numPr>
          <w:ilvl w:val="1"/>
          <w:numId w:val="3"/>
        </w:numPr>
        <w:shd w:val="clear" w:fill="auto"/>
        <w:tabs>
          <w:tab w:val="clear" w:pos="720"/>
          <w:tab w:val="left" w:pos="630" w:leader="none"/>
        </w:tabs>
        <w:spacing w:lineRule="auto" w:line="252" w:before="120" w:after="0"/>
        <w:ind w:hanging="619" w:left="619" w:right="0"/>
        <w:jc w:val="both"/>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Điều khoản bổ sung:</w:t>
      </w:r>
    </w:p>
    <w:p>
      <w:pPr>
        <w:pStyle w:val="normal1"/>
        <w:keepNext w:val="false"/>
        <w:keepLines w:val="false"/>
        <w:pageBreakBefore w:val="false"/>
        <w:widowControl/>
        <w:numPr>
          <w:ilvl w:val="0"/>
          <w:numId w:val="0"/>
        </w:numPr>
        <w:shd w:val="clear" w:fill="auto"/>
        <w:tabs>
          <w:tab w:val="clear" w:pos="720"/>
          <w:tab w:val="left" w:pos="630" w:leader="none"/>
        </w:tabs>
        <w:spacing w:lineRule="auto" w:line="252" w:before="100" w:after="100"/>
        <w:ind w:hanging="0" w:left="994" w:right="0"/>
        <w:jc w:val="left"/>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{dkbs}</w:t>
      </w:r>
    </w:p>
    <w:p>
      <w:pPr>
        <w:pStyle w:val="normal1"/>
        <w:keepNext w:val="false"/>
        <w:keepLines w:val="false"/>
        <w:pageBreakBefore w:val="false"/>
        <w:widowControl/>
        <w:numPr>
          <w:ilvl w:val="1"/>
          <w:numId w:val="3"/>
        </w:numPr>
        <w:shd w:val="clear" w:fill="auto"/>
        <w:tabs>
          <w:tab w:val="clear" w:pos="720"/>
          <w:tab w:val="left" w:pos="630" w:leader="none"/>
        </w:tabs>
        <w:spacing w:lineRule="auto" w:line="252" w:before="200" w:after="60"/>
        <w:ind w:hanging="619" w:left="619" w:right="0"/>
        <w:jc w:val="both"/>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Và không thuộc trường hợp bị loại trừ bảo hiểm được quy định tại Quy tắc bảo hiểm trên và theo quy định pháp luật.</w:t>
      </w:r>
    </w:p>
    <w:p>
      <w:pPr>
        <w:pStyle w:val="normal1"/>
        <w:spacing w:lineRule="auto" w:line="252" w:before="120" w:after="60"/>
        <w:ind w:hanging="0" w:left="634"/>
        <w:jc w:val="both"/>
        <w:rPr/>
      </w:pPr>
      <w:r>
        <w:rPr/>
        <w:t>Quy tắc bảo hiểm là một phần không thể tách rời của Hợp đồng này. Các điều kiện, điều khoản và nội dung tại Quy tắc này được NĐBH và BHV cam kết tuân thủ theo quy định.</w:t>
      </w:r>
    </w:p>
    <w:p>
      <w:pPr>
        <w:pStyle w:val="normal1"/>
        <w:numPr>
          <w:ilvl w:val="0"/>
          <w:numId w:val="1"/>
        </w:numPr>
        <w:tabs>
          <w:tab w:val="clear" w:pos="720"/>
          <w:tab w:val="left" w:pos="900" w:leader="none"/>
        </w:tabs>
        <w:spacing w:lineRule="auto" w:line="252" w:before="240" w:after="0"/>
        <w:ind w:hanging="907" w:left="907"/>
        <w:jc w:val="both"/>
        <w:rPr>
          <w:b/>
        </w:rPr>
      </w:pPr>
      <w:r>
        <w:rPr>
          <w:b/>
        </w:rPr>
        <w:t>LOẠI HÌNH BẢO HIỂM, MỨC TRÁCH NHIỆM/ SỐ TIỀN BẢO HIỂM VÀ PHÍ BẢO HIỂM</w:t>
      </w:r>
    </w:p>
    <w:p>
      <w:pPr>
        <w:pStyle w:val="normal1"/>
        <w:keepNext w:val="false"/>
        <w:keepLines w:val="false"/>
        <w:pageBreakBefore w:val="false"/>
        <w:widowControl/>
        <w:numPr>
          <w:ilvl w:val="1"/>
          <w:numId w:val="4"/>
        </w:numPr>
        <w:shd w:val="clear" w:fill="auto"/>
        <w:tabs>
          <w:tab w:val="clear" w:pos="720"/>
          <w:tab w:val="left" w:pos="540" w:leader="none"/>
          <w:tab w:val="left" w:pos="3960" w:leader="none"/>
        </w:tabs>
        <w:spacing w:lineRule="auto" w:line="252" w:before="60" w:after="40"/>
        <w:ind w:hanging="547" w:left="547" w:right="0"/>
        <w:jc w:val="both"/>
        <w:rPr>
          <w:rFonts w:ascii="Times New Roman" w:hAnsi="Times New Roman" w:eastAsia="Times New Roman" w:cs="Times New Roman"/>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Bảo hiểm bắt buộc TNDS của chủ xe cơ giới đối với bên thứ ba:</w:t>
      </w:r>
    </w:p>
    <w:p>
      <w:pPr>
        <w:pStyle w:val="normal1"/>
        <w:numPr>
          <w:ilvl w:val="0"/>
          <w:numId w:val="5"/>
        </w:numPr>
        <w:tabs>
          <w:tab w:val="clear" w:pos="720"/>
          <w:tab w:val="left" w:pos="1440" w:leader="none"/>
          <w:tab w:val="left" w:pos="3960" w:leader="none"/>
          <w:tab w:val="left" w:pos="5040" w:leader="none"/>
        </w:tabs>
        <w:spacing w:lineRule="auto" w:line="252" w:before="80" w:after="60"/>
        <w:ind w:hanging="360" w:left="1267"/>
        <w:jc w:val="both"/>
        <w:rPr/>
      </w:pPr>
      <w:r>
        <w:rPr/>
        <w:t>Mức trách nhiệm đối với người:  150.000.000 VNĐ/người/vụ</w:t>
      </w:r>
    </w:p>
    <w:p>
      <w:pPr>
        <w:pStyle w:val="normal1"/>
        <w:numPr>
          <w:ilvl w:val="0"/>
          <w:numId w:val="5"/>
        </w:numPr>
        <w:tabs>
          <w:tab w:val="clear" w:pos="720"/>
          <w:tab w:val="left" w:pos="1440" w:leader="none"/>
          <w:tab w:val="left" w:pos="3960" w:leader="none"/>
          <w:tab w:val="left" w:pos="5040" w:leader="none"/>
        </w:tabs>
        <w:spacing w:lineRule="auto" w:line="252" w:before="80" w:after="60"/>
        <w:ind w:hanging="360" w:left="1267"/>
        <w:jc w:val="both"/>
        <w:rPr>
          <w:i/>
          <w:i/>
        </w:rPr>
      </w:pPr>
      <w:r>
        <w:rPr/>
        <w:t xml:space="preserve">Mức trách nhiệm đối với tài sản: 100.000.000 VNĐ/vụ </w:t>
      </w:r>
    </w:p>
    <w:p>
      <w:pPr>
        <w:pStyle w:val="normal1"/>
        <w:tabs>
          <w:tab w:val="clear" w:pos="720"/>
          <w:tab w:val="left" w:pos="3960" w:leader="none"/>
          <w:tab w:val="left" w:pos="5040" w:leader="none"/>
        </w:tabs>
        <w:spacing w:lineRule="auto" w:line="252" w:before="80" w:after="60"/>
        <w:ind w:hanging="0" w:left="1267"/>
        <w:jc w:val="both"/>
        <w:rPr>
          <w:b/>
          <w:i/>
          <w:i/>
        </w:rPr>
      </w:pPr>
      <w:r>
        <w:rPr>
          <w:i/>
          <w:u w:val="single"/>
        </w:rPr>
        <w:t>Phí bảo hiểm mục 4.1</w:t>
      </w:r>
      <w:r>
        <w:rPr>
          <w:i/>
        </w:rPr>
        <w:t xml:space="preserve">: </w:t>
      </w:r>
      <w:r>
        <w:rPr>
          <w:b/>
          <w:i/>
        </w:rPr>
        <w:t xml:space="preserve">{phiTNDS} </w:t>
      </w:r>
      <w:r>
        <w:rPr>
          <w:i/>
        </w:rPr>
        <w:t>VNĐ (đã bao gồm 10% VAT)</w:t>
      </w:r>
      <w:r>
        <w:rPr>
          <w:b/>
          <w:i/>
        </w:rPr>
        <w:t xml:space="preserve"> </w:t>
      </w:r>
    </w:p>
    <w:p>
      <w:pPr>
        <w:pStyle w:val="normal1"/>
        <w:keepNext w:val="false"/>
        <w:keepLines w:val="false"/>
        <w:pageBreakBefore w:val="false"/>
        <w:widowControl/>
        <w:numPr>
          <w:ilvl w:val="1"/>
          <w:numId w:val="4"/>
        </w:numPr>
        <w:shd w:val="clear" w:fill="auto"/>
        <w:tabs>
          <w:tab w:val="clear" w:pos="720"/>
          <w:tab w:val="left" w:pos="540" w:leader="none"/>
          <w:tab w:val="left" w:pos="3960" w:leader="none"/>
        </w:tabs>
        <w:spacing w:lineRule="auto" w:line="252" w:before="240" w:after="40"/>
        <w:ind w:hanging="547" w:left="547" w:right="0"/>
        <w:jc w:val="both"/>
        <w:rPr>
          <w:rFonts w:ascii="Times New Roman" w:hAnsi="Times New Roman" w:eastAsia="Times New Roman" w:cs="Times New Roman"/>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Bảo hiểm trách nhiệm bồi thường đối với lái phụ xe và người ngồi trên xe:</w:t>
      </w:r>
    </w:p>
    <w:p>
      <w:pPr>
        <w:pStyle w:val="normal1"/>
        <w:numPr>
          <w:ilvl w:val="0"/>
          <w:numId w:val="5"/>
        </w:numPr>
        <w:tabs>
          <w:tab w:val="clear" w:pos="720"/>
          <w:tab w:val="left" w:pos="1440" w:leader="none"/>
          <w:tab w:val="left" w:pos="3960" w:leader="none"/>
          <w:tab w:val="left" w:pos="5040" w:leader="none"/>
        </w:tabs>
        <w:spacing w:lineRule="auto" w:line="252" w:before="80" w:after="60"/>
        <w:ind w:hanging="360" w:left="1267"/>
        <w:jc w:val="both"/>
        <w:rPr/>
      </w:pPr>
      <w:r>
        <w:rPr/>
        <w:t>Mức trách nhiệm bảo hiểm: {trachNhiemBH} VNĐ/người/vụ</w:t>
      </w:r>
    </w:p>
    <w:p>
      <w:pPr>
        <w:pStyle w:val="normal1"/>
        <w:numPr>
          <w:ilvl w:val="0"/>
          <w:numId w:val="5"/>
        </w:numPr>
        <w:tabs>
          <w:tab w:val="clear" w:pos="720"/>
          <w:tab w:val="left" w:pos="1440" w:leader="none"/>
          <w:tab w:val="left" w:pos="3960" w:leader="none"/>
          <w:tab w:val="left" w:pos="5040" w:leader="none"/>
        </w:tabs>
        <w:spacing w:lineRule="auto" w:line="252" w:before="80" w:after="60"/>
        <w:ind w:hanging="360" w:left="1267"/>
        <w:jc w:val="both"/>
        <w:rPr/>
      </w:pPr>
      <w:r>
        <w:rPr/>
        <w:t xml:space="preserve">Số người được bảo hiểm: </w:t>
      </w:r>
      <w:r>
        <w:rPr>
          <w:b/>
          <w:bCs/>
        </w:rPr>
        <w:t>{soChoNgoi}</w:t>
      </w:r>
      <w:r>
        <w:rPr>
          <w:b/>
        </w:rPr>
        <w:t xml:space="preserve"> </w:t>
      </w:r>
      <w:r>
        <w:rPr/>
        <w:t>người.</w:t>
      </w:r>
    </w:p>
    <w:p>
      <w:pPr>
        <w:pStyle w:val="normal1"/>
        <w:tabs>
          <w:tab w:val="clear" w:pos="720"/>
          <w:tab w:val="left" w:pos="3960" w:leader="none"/>
          <w:tab w:val="left" w:pos="5040" w:leader="none"/>
        </w:tabs>
        <w:spacing w:lineRule="auto" w:line="252" w:before="80" w:after="60"/>
        <w:ind w:hanging="0" w:left="1267"/>
        <w:jc w:val="both"/>
        <w:rPr>
          <w:i/>
          <w:i/>
        </w:rPr>
      </w:pPr>
      <w:r>
        <w:rPr>
          <w:i/>
          <w:u w:val="single"/>
        </w:rPr>
        <w:t>Phí bảo hiểm mục 4.2</w:t>
      </w:r>
      <w:r>
        <w:rPr>
          <w:i/>
        </w:rPr>
        <w:t xml:space="preserve">: </w:t>
      </w:r>
      <w:r>
        <w:rPr>
          <w:b/>
          <w:bCs/>
          <w:i/>
        </w:rPr>
        <w:t xml:space="preserve">{phiNNTX} </w:t>
      </w:r>
      <w:r>
        <w:rPr>
          <w:i/>
        </w:rPr>
        <w:t>VNĐ (đã bao gồm 10% VAT)</w:t>
      </w:r>
    </w:p>
    <w:p>
      <w:pPr>
        <w:pStyle w:val="normal1"/>
        <w:keepNext w:val="false"/>
        <w:keepLines w:val="false"/>
        <w:pageBreakBefore w:val="false"/>
        <w:widowControl/>
        <w:numPr>
          <w:ilvl w:val="1"/>
          <w:numId w:val="4"/>
        </w:numPr>
        <w:shd w:val="clear" w:fill="auto"/>
        <w:tabs>
          <w:tab w:val="clear" w:pos="720"/>
          <w:tab w:val="left" w:pos="540" w:leader="none"/>
          <w:tab w:val="left" w:pos="3960" w:leader="none"/>
        </w:tabs>
        <w:spacing w:lineRule="auto" w:line="252" w:before="240" w:after="40"/>
        <w:ind w:hanging="547" w:left="547" w:right="0"/>
        <w:jc w:val="both"/>
        <w:rPr>
          <w:rFonts w:ascii="Times New Roman" w:hAnsi="Times New Roman" w:eastAsia="Times New Roman" w:cs="Times New Roman"/>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Bảo hiểm Vật chất xe (đã bao gồm điều khoản bổ sung):</w:t>
      </w:r>
    </w:p>
    <w:p>
      <w:pPr>
        <w:pStyle w:val="normal1"/>
        <w:numPr>
          <w:ilvl w:val="0"/>
          <w:numId w:val="5"/>
        </w:numPr>
        <w:tabs>
          <w:tab w:val="clear" w:pos="720"/>
          <w:tab w:val="left" w:pos="1440" w:leader="none"/>
          <w:tab w:val="left" w:pos="3960" w:leader="none"/>
          <w:tab w:val="left" w:pos="5040" w:leader="none"/>
        </w:tabs>
        <w:spacing w:lineRule="auto" w:line="252" w:before="80" w:after="60"/>
        <w:ind w:hanging="360" w:left="1267"/>
        <w:jc w:val="both"/>
        <w:rPr/>
      </w:pPr>
      <w:r>
        <w:rPr/>
        <w:t xml:space="preserve">Số tiền bảo hiểm: </w:t>
      </w:r>
      <w:r>
        <w:rPr>
          <w:b/>
        </w:rPr>
        <w:t>{giaTriXe}</w:t>
      </w:r>
      <w:r>
        <w:rPr/>
        <w:t xml:space="preserve"> VNĐ </w:t>
      </w:r>
    </w:p>
    <w:p>
      <w:pPr>
        <w:pStyle w:val="normal1"/>
        <w:numPr>
          <w:ilvl w:val="0"/>
          <w:numId w:val="5"/>
        </w:numPr>
        <w:tabs>
          <w:tab w:val="clear" w:pos="720"/>
          <w:tab w:val="left" w:pos="1440" w:leader="none"/>
          <w:tab w:val="left" w:pos="3960" w:leader="none"/>
          <w:tab w:val="left" w:pos="5040" w:leader="none"/>
        </w:tabs>
        <w:spacing w:lineRule="auto" w:line="252" w:before="80" w:after="60"/>
        <w:ind w:hanging="360" w:left="1267"/>
        <w:jc w:val="both"/>
        <w:rPr/>
      </w:pPr>
      <w:r>
        <w:rPr/>
        <w:t xml:space="preserve">Số năm đã sử dụng: </w:t>
      </w:r>
      <w:r>
        <w:rPr>
          <w:b/>
        </w:rPr>
        <w:t xml:space="preserve">01 </w:t>
      </w:r>
      <w:r>
        <w:rPr/>
        <w:t>năm</w:t>
      </w:r>
    </w:p>
    <w:p>
      <w:pPr>
        <w:pStyle w:val="normal1"/>
        <w:numPr>
          <w:ilvl w:val="0"/>
          <w:numId w:val="5"/>
        </w:numPr>
        <w:tabs>
          <w:tab w:val="clear" w:pos="720"/>
          <w:tab w:val="left" w:pos="1440" w:leader="none"/>
          <w:tab w:val="left" w:pos="3960" w:leader="none"/>
          <w:tab w:val="left" w:pos="5040" w:leader="none"/>
        </w:tabs>
        <w:spacing w:lineRule="auto" w:line="252" w:before="80" w:after="60"/>
        <w:ind w:hanging="360" w:left="1267"/>
        <w:jc w:val="both"/>
        <w:rPr/>
      </w:pPr>
      <w:r>
        <w:rPr/>
        <w:t xml:space="preserve">Mức khấu trừ: </w:t>
      </w:r>
      <w:r>
        <w:rPr>
          <w:b/>
          <w:bCs/>
        </w:rPr>
        <w:t>{mucKhauTru}</w:t>
      </w:r>
      <w:r>
        <w:rPr>
          <w:b/>
        </w:rPr>
        <w:t xml:space="preserve"> </w:t>
      </w:r>
      <w:r>
        <w:rPr/>
        <w:t>VNĐ/vụ</w:t>
      </w:r>
    </w:p>
    <w:p>
      <w:pPr>
        <w:pStyle w:val="normal1"/>
        <w:tabs>
          <w:tab w:val="clear" w:pos="720"/>
          <w:tab w:val="left" w:pos="3960" w:leader="none"/>
          <w:tab w:val="left" w:pos="5040" w:leader="none"/>
        </w:tabs>
        <w:spacing w:lineRule="auto" w:line="252" w:before="80" w:after="60"/>
        <w:ind w:hanging="0" w:left="1267"/>
        <w:jc w:val="both"/>
        <w:rPr>
          <w:b/>
          <w:i/>
          <w:i/>
        </w:rPr>
      </w:pPr>
      <w:r>
        <w:rPr>
          <w:i/>
          <w:u w:val="single"/>
        </w:rPr>
        <w:t>Phí bảo hiểm mục 4.3</w:t>
      </w:r>
      <w:r>
        <w:rPr>
          <w:i/>
        </w:rPr>
        <w:t>:</w:t>
      </w:r>
      <w:r>
        <w:rPr/>
        <w:t xml:space="preserve"> </w:t>
      </w:r>
      <w:r>
        <w:rPr>
          <w:b/>
          <w:bCs/>
        </w:rPr>
        <w:t>{phiVatChat}</w:t>
      </w:r>
      <w:r>
        <w:rPr>
          <w:b/>
          <w:i/>
        </w:rPr>
        <w:t xml:space="preserve"> </w:t>
      </w:r>
      <w:r>
        <w:rPr>
          <w:i/>
        </w:rPr>
        <w:t>VNĐ (đã bao gồm 10% VAT)</w:t>
      </w:r>
      <w:r>
        <w:rPr>
          <w:b/>
          <w:i/>
        </w:rPr>
        <w:t xml:space="preserve">  </w:t>
      </w:r>
      <w:r>
        <w:rPr>
          <w:i/>
        </w:rPr>
        <w:t xml:space="preserve">  </w:t>
      </w:r>
    </w:p>
    <w:p>
      <w:pPr>
        <w:pStyle w:val="normal1"/>
        <w:tabs>
          <w:tab w:val="left" w:pos="720" w:leader="none"/>
          <w:tab w:val="left" w:pos="7920" w:leader="none"/>
        </w:tabs>
        <w:spacing w:lineRule="auto" w:line="252" w:before="240" w:after="60"/>
        <w:jc w:val="both"/>
        <w:rPr>
          <w:b/>
        </w:rPr>
      </w:pPr>
      <w:r>
        <w:rPr>
          <w:b/>
          <w:u w:val="single"/>
        </w:rPr>
        <w:t>Tổng phí bảo hiểm phải thanh toán:</w:t>
      </w:r>
      <w:r>
        <w:rPr>
          <w:b/>
        </w:rPr>
        <w:t xml:space="preserve"> (4.1+4.2+4.3) = {tongPhi} VNĐ</w:t>
      </w:r>
    </w:p>
    <w:p>
      <w:pPr>
        <w:pStyle w:val="normal1"/>
        <w:tabs>
          <w:tab w:val="clear" w:pos="720"/>
          <w:tab w:val="left" w:pos="993" w:leader="none"/>
        </w:tabs>
        <w:spacing w:lineRule="auto" w:line="252" w:before="80" w:after="120"/>
        <w:jc w:val="both"/>
        <w:rPr/>
      </w:pPr>
      <w:r>
        <w:rPr>
          <w:i/>
        </w:rPr>
        <w:t>(</w:t>
      </w:r>
      <w:r>
        <w:rPr>
          <w:i/>
          <w:u w:val="single"/>
        </w:rPr>
        <w:t>Bằng chữ</w:t>
      </w:r>
      <w:r>
        <w:rPr>
          <w:i/>
        </w:rPr>
        <w:t xml:space="preserve">: </w:t>
      </w:r>
      <w:r>
        <w:rPr>
          <w:b w:val="false"/>
          <w:bCs w:val="false"/>
          <w:i/>
        </w:rPr>
        <w:t>{phiSauKhiGiamBangChu}</w:t>
      </w:r>
      <w:r>
        <w:rPr>
          <w:i/>
        </w:rPr>
        <w:t>).</w:t>
      </w:r>
    </w:p>
    <w:p>
      <w:pPr>
        <w:pStyle w:val="normal1"/>
        <w:numPr>
          <w:ilvl w:val="0"/>
          <w:numId w:val="1"/>
        </w:numPr>
        <w:tabs>
          <w:tab w:val="clear" w:pos="720"/>
          <w:tab w:val="left" w:pos="900" w:leader="none"/>
        </w:tabs>
        <w:spacing w:lineRule="auto" w:line="252" w:before="360" w:after="0"/>
        <w:ind w:hanging="907" w:left="907"/>
        <w:jc w:val="both"/>
        <w:rPr>
          <w:b/>
        </w:rPr>
      </w:pPr>
      <w:r>
        <w:rPr>
          <w:b/>
        </w:rPr>
        <w:t>HIỆU LỰC HỢP ĐỒNG BẢO HIỂM</w:t>
      </w:r>
    </w:p>
    <w:p>
      <w:pPr>
        <w:pStyle w:val="normal1"/>
        <w:tabs>
          <w:tab w:val="left" w:pos="720" w:leader="none"/>
          <w:tab w:val="left" w:pos="3780" w:leader="none"/>
          <w:tab w:val="left" w:pos="3960" w:leader="none"/>
        </w:tabs>
        <w:spacing w:lineRule="auto" w:line="252" w:before="100" w:after="0"/>
        <w:rPr/>
      </w:pPr>
      <w:r>
        <w:rPr>
          <w:b/>
        </w:rPr>
        <w:t>Từ:</w:t>
      </w:r>
      <w:r>
        <w:rPr/>
        <w:t xml:space="preserve"> </w:t>
      </w:r>
      <w:r>
        <w:rPr>
          <w:b/>
          <w:bCs/>
        </w:rPr>
        <w:t xml:space="preserve">{batDau_Gio} </w:t>
      </w:r>
      <w:r>
        <w:rPr/>
        <w:t xml:space="preserve">giờ </w:t>
      </w:r>
      <w:r>
        <w:rPr>
          <w:b/>
          <w:bCs/>
        </w:rPr>
        <w:t>{batDau_Phut}</w:t>
      </w:r>
      <w:r>
        <w:rPr/>
        <w:t xml:space="preserve"> ngày </w:t>
      </w:r>
      <w:r>
        <w:rPr>
          <w:b/>
          <w:bCs/>
        </w:rPr>
        <w:t>{batDau_Ngay}</w:t>
      </w:r>
      <w:r>
        <w:rPr/>
        <w:t xml:space="preserve"> tháng </w:t>
      </w:r>
      <w:r>
        <w:rPr>
          <w:b/>
          <w:bCs/>
        </w:rPr>
        <w:t>{batDau_Thang}</w:t>
      </w:r>
      <w:r>
        <w:rPr/>
        <w:t xml:space="preserve"> năm </w:t>
      </w:r>
      <w:r>
        <w:rPr>
          <w:b/>
          <w:bCs/>
        </w:rPr>
        <w:t>{batDau_Nam}</w:t>
      </w:r>
      <w:r>
        <w:rPr>
          <w:b/>
        </w:rPr>
        <w:t xml:space="preserve"> Đến: </w:t>
      </w:r>
      <w:r>
        <w:rPr>
          <w:b/>
          <w:bCs/>
        </w:rPr>
        <w:t>{ketThuc_Gio}</w:t>
      </w:r>
      <w:r>
        <w:rPr>
          <w:b w:val="false"/>
          <w:bCs w:val="false"/>
        </w:rPr>
        <w:t xml:space="preserve"> giờ </w:t>
      </w:r>
      <w:r>
        <w:rPr>
          <w:b/>
          <w:bCs/>
        </w:rPr>
        <w:t>{ketThuc_Phut}</w:t>
      </w:r>
      <w:r>
        <w:rPr>
          <w:b w:val="false"/>
          <w:bCs w:val="false"/>
        </w:rPr>
        <w:t xml:space="preserve"> ngày </w:t>
      </w:r>
      <w:r>
        <w:rPr>
          <w:b/>
          <w:bCs/>
        </w:rPr>
        <w:t>{ketThuc_Ngay}</w:t>
      </w:r>
      <w:r>
        <w:rPr>
          <w:b w:val="false"/>
          <w:bCs w:val="false"/>
        </w:rPr>
        <w:t xml:space="preserve"> tháng </w:t>
      </w:r>
      <w:r>
        <w:rPr>
          <w:b/>
          <w:bCs/>
        </w:rPr>
        <w:t>{ketThuc_Thang}</w:t>
      </w:r>
      <w:r>
        <w:rPr>
          <w:b w:val="false"/>
          <w:bCs w:val="false"/>
        </w:rPr>
        <w:t xml:space="preserve"> năm </w:t>
      </w:r>
      <w:r>
        <w:rPr>
          <w:b/>
          <w:bCs/>
        </w:rPr>
        <w:t>{ketThuc_Nam}</w:t>
      </w:r>
      <w:r>
        <w:rPr>
          <w:b/>
        </w:rPr>
        <w:t>.</w:t>
      </w:r>
    </w:p>
    <w:p>
      <w:pPr>
        <w:pStyle w:val="normal1"/>
        <w:numPr>
          <w:ilvl w:val="0"/>
          <w:numId w:val="1"/>
        </w:numPr>
        <w:tabs>
          <w:tab w:val="clear" w:pos="720"/>
          <w:tab w:val="left" w:pos="900" w:leader="none"/>
        </w:tabs>
        <w:spacing w:lineRule="auto" w:line="252" w:before="360" w:after="0"/>
        <w:ind w:hanging="907" w:left="907"/>
        <w:jc w:val="both"/>
        <w:rPr>
          <w:b/>
        </w:rPr>
      </w:pPr>
      <w:r>
        <w:rPr>
          <w:b/>
        </w:rPr>
        <w:t>THỜI HẠN VÀ PHƯƠNG THỨC THANH TOÁN PHÍ BẢO HIỂM</w:t>
      </w:r>
    </w:p>
    <w:p>
      <w:pPr>
        <w:pStyle w:val="normal1"/>
        <w:keepNext w:val="false"/>
        <w:keepLines w:val="false"/>
        <w:pageBreakBefore w:val="false"/>
        <w:widowControl/>
        <w:numPr>
          <w:ilvl w:val="1"/>
          <w:numId w:val="6"/>
        </w:numPr>
        <w:shd w:val="clear" w:fill="auto"/>
        <w:tabs>
          <w:tab w:val="clear" w:pos="720"/>
          <w:tab w:val="left" w:pos="540" w:leader="none"/>
        </w:tabs>
        <w:spacing w:lineRule="auto" w:line="252" w:before="70" w:after="80"/>
        <w:ind w:hanging="533" w:left="533" w:right="0"/>
        <w:jc w:val="both"/>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Phí bảo hiểm trách nhiệm dân sự bắt buộc của chủ xe: theo quy định hiện hành của Bộ Tài chính.</w:t>
      </w:r>
    </w:p>
    <w:p>
      <w:pPr>
        <w:pStyle w:val="normal1"/>
        <w:keepNext w:val="false"/>
        <w:keepLines w:val="false"/>
        <w:pageBreakBefore w:val="false"/>
        <w:widowControl/>
        <w:numPr>
          <w:ilvl w:val="1"/>
          <w:numId w:val="6"/>
        </w:numPr>
        <w:shd w:val="clear" w:fill="auto"/>
        <w:tabs>
          <w:tab w:val="clear" w:pos="720"/>
          <w:tab w:val="left" w:pos="540" w:leader="none"/>
        </w:tabs>
        <w:spacing w:lineRule="auto" w:line="252" w:before="70" w:after="80"/>
        <w:ind w:hanging="533" w:left="533" w:right="0"/>
        <w:jc w:val="both"/>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Phí bảo hiểm tự nguyện: thanh toán trước và không muộn hơn ngày </w:t>
      </w:r>
      <w:r>
        <w:rPr>
          <w:rFonts w:eastAsia="Times New Roman" w:cs="Times New Roman"/>
          <w:b/>
          <w:bCs/>
          <w:i w:val="false"/>
          <w:caps w:val="false"/>
          <w:smallCaps w:val="false"/>
          <w:strike w:val="false"/>
          <w:dstrike w:val="false"/>
          <w:color w:val="000000"/>
          <w:position w:val="0"/>
          <w:sz w:val="24"/>
          <w:sz w:val="24"/>
          <w:szCs w:val="24"/>
          <w:u w:val="none"/>
          <w:shd w:fill="auto" w:val="clear"/>
          <w:vertAlign w:val="baseline"/>
        </w:rPr>
        <w:t>{paymentDeadline}</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w:t>
      </w:r>
    </w:p>
    <w:p>
      <w:pPr>
        <w:pStyle w:val="normal1"/>
        <w:keepNext w:val="false"/>
        <w:keepLines w:val="false"/>
        <w:pageBreakBefore w:val="false"/>
        <w:widowControl/>
        <w:numPr>
          <w:ilvl w:val="1"/>
          <w:numId w:val="6"/>
        </w:numPr>
        <w:shd w:val="clear" w:fill="auto"/>
        <w:tabs>
          <w:tab w:val="clear" w:pos="720"/>
          <w:tab w:val="left" w:pos="540" w:leader="none"/>
        </w:tabs>
        <w:spacing w:lineRule="auto" w:line="252" w:before="70" w:after="80"/>
        <w:ind w:hanging="533" w:left="533" w:right="0"/>
        <w:jc w:val="both"/>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NĐBH có trách nhiệm thanh toán toàn bộ phí bảo hiểm theo thỏa thuận tại Hợp đồng bảo hiểm này trước khi gửi hồ sơ yêu cầu bồi thường trong trường hợp xảy ra sự kiện bảo hiểm trong thời hạn thanh toán phí bảo hiểm.</w:t>
      </w:r>
    </w:p>
    <w:p>
      <w:pPr>
        <w:pStyle w:val="normal1"/>
        <w:keepNext w:val="false"/>
        <w:keepLines w:val="false"/>
        <w:pageBreakBefore w:val="false"/>
        <w:widowControl/>
        <w:numPr>
          <w:ilvl w:val="1"/>
          <w:numId w:val="6"/>
        </w:numPr>
        <w:shd w:val="clear" w:fill="auto"/>
        <w:tabs>
          <w:tab w:val="clear" w:pos="720"/>
          <w:tab w:val="left" w:pos="540" w:leader="none"/>
        </w:tabs>
        <w:spacing w:lineRule="auto" w:line="252" w:before="70" w:after="80"/>
        <w:ind w:hanging="533" w:left="533" w:right="0"/>
        <w:jc w:val="both"/>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NĐBH thanh toán phí bảo hiểm cho BHV bằng hình thức chuyển khoản theo theo thông tin sau:</w:t>
      </w:r>
    </w:p>
    <w:p>
      <w:pPr>
        <w:pStyle w:val="normal1"/>
        <w:numPr>
          <w:ilvl w:val="0"/>
          <w:numId w:val="5"/>
        </w:numPr>
        <w:tabs>
          <w:tab w:val="clear" w:pos="720"/>
          <w:tab w:val="left" w:pos="900" w:leader="none"/>
          <w:tab w:val="left" w:pos="1260" w:leader="none"/>
          <w:tab w:val="left" w:pos="3960" w:leader="none"/>
          <w:tab w:val="left" w:pos="5040" w:leader="none"/>
        </w:tabs>
        <w:spacing w:lineRule="auto" w:line="252" w:before="120" w:after="100"/>
        <w:ind w:hanging="360" w:left="907"/>
        <w:jc w:val="both"/>
        <w:rPr/>
      </w:pPr>
      <w:r>
        <w:rPr/>
        <w:t>Chủ tài khoản: CÔNG TY BẢO HIỂM HÙNG VƯƠNG THÀNH PHỐ HỒ CHÍ MINH</w:t>
      </w:r>
    </w:p>
    <w:p>
      <w:pPr>
        <w:pStyle w:val="normal1"/>
        <w:numPr>
          <w:ilvl w:val="0"/>
          <w:numId w:val="5"/>
        </w:numPr>
        <w:tabs>
          <w:tab w:val="clear" w:pos="720"/>
          <w:tab w:val="left" w:pos="900" w:leader="none"/>
          <w:tab w:val="left" w:pos="1260" w:leader="none"/>
          <w:tab w:val="left" w:pos="3960" w:leader="none"/>
          <w:tab w:val="left" w:pos="5040" w:leader="none"/>
        </w:tabs>
        <w:spacing w:lineRule="auto" w:line="252" w:before="120" w:after="100"/>
        <w:ind w:hanging="360" w:left="907"/>
        <w:jc w:val="both"/>
        <w:rPr/>
      </w:pPr>
      <w:r>
        <w:rPr/>
        <w:t>Số Tài khoản: 02347979</w:t>
      </w:r>
    </w:p>
    <w:p>
      <w:pPr>
        <w:pStyle w:val="normal1"/>
        <w:numPr>
          <w:ilvl w:val="0"/>
          <w:numId w:val="5"/>
        </w:numPr>
        <w:tabs>
          <w:tab w:val="clear" w:pos="720"/>
          <w:tab w:val="left" w:pos="900" w:leader="none"/>
          <w:tab w:val="left" w:pos="1260" w:leader="none"/>
          <w:tab w:val="left" w:pos="3960" w:leader="none"/>
          <w:tab w:val="left" w:pos="5040" w:leader="none"/>
        </w:tabs>
        <w:spacing w:lineRule="auto" w:line="252" w:before="120" w:after="100"/>
        <w:ind w:hanging="360" w:left="907"/>
        <w:jc w:val="both"/>
        <w:rPr>
          <w:b/>
        </w:rPr>
      </w:pPr>
      <w:r>
        <w:rPr/>
        <w:t>Tại ngân hàng: Ngân hàng TMCP Việt Á (VAB) - CN Tân Bình - PGD Tân Sơn Nhất</w:t>
      </w:r>
    </w:p>
    <w:p>
      <w:pPr>
        <w:pStyle w:val="normal1"/>
        <w:numPr>
          <w:ilvl w:val="0"/>
          <w:numId w:val="1"/>
        </w:numPr>
        <w:tabs>
          <w:tab w:val="clear" w:pos="720"/>
          <w:tab w:val="left" w:pos="900" w:leader="none"/>
        </w:tabs>
        <w:spacing w:lineRule="auto" w:line="252" w:before="360" w:after="0"/>
        <w:ind w:hanging="907" w:left="907"/>
        <w:jc w:val="both"/>
        <w:rPr>
          <w:b/>
        </w:rPr>
      </w:pPr>
      <w:r>
        <w:rPr>
          <w:b/>
        </w:rPr>
        <w:t>QUYỀN VÀ NGHĨA VỤ CỦA CÁC BÊN</w:t>
      </w:r>
    </w:p>
    <w:p>
      <w:pPr>
        <w:pStyle w:val="normal1"/>
        <w:keepNext w:val="false"/>
        <w:keepLines w:val="false"/>
        <w:pageBreakBefore w:val="false"/>
        <w:widowControl/>
        <w:numPr>
          <w:ilvl w:val="1"/>
          <w:numId w:val="7"/>
        </w:numPr>
        <w:shd w:val="clear" w:fill="auto"/>
        <w:tabs>
          <w:tab w:val="clear" w:pos="720"/>
          <w:tab w:val="left" w:pos="540" w:leader="none"/>
        </w:tabs>
        <w:spacing w:lineRule="auto" w:line="252" w:before="60" w:after="60"/>
        <w:ind w:hanging="547" w:left="547" w:right="0"/>
        <w:jc w:val="both"/>
        <w:rPr>
          <w:rFonts w:ascii="Times New Roman" w:hAnsi="Times New Roman" w:eastAsia="Times New Roman" w:cs="Times New Roman"/>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Quyền và nghĩa vụ của Người được bảo hiểm</w:t>
      </w:r>
    </w:p>
    <w:p>
      <w:pPr>
        <w:pStyle w:val="normal1"/>
        <w:keepNext w:val="false"/>
        <w:keepLines w:val="false"/>
        <w:pageBreakBefore w:val="false"/>
        <w:widowControl/>
        <w:numPr>
          <w:ilvl w:val="0"/>
          <w:numId w:val="8"/>
        </w:numPr>
        <w:shd w:val="clear" w:fill="auto"/>
        <w:tabs>
          <w:tab w:val="clear" w:pos="720"/>
          <w:tab w:val="left" w:pos="540" w:leader="none"/>
        </w:tabs>
        <w:spacing w:lineRule="auto" w:line="252" w:before="60" w:after="60"/>
        <w:ind w:hanging="360" w:left="360" w:right="0"/>
        <w:jc w:val="both"/>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singl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single"/>
          <w:shd w:fill="auto" w:val="clear"/>
          <w:vertAlign w:val="baseline"/>
        </w:rPr>
        <w:t>Quyền của Người được bảo hiểm:</w:t>
      </w:r>
    </w:p>
    <w:p>
      <w:pPr>
        <w:pStyle w:val="normal1"/>
        <w:numPr>
          <w:ilvl w:val="0"/>
          <w:numId w:val="9"/>
        </w:numPr>
        <w:tabs>
          <w:tab w:val="clear" w:pos="720"/>
          <w:tab w:val="left" w:pos="-3690" w:leader="none"/>
          <w:tab w:val="left" w:pos="-2430" w:leader="none"/>
          <w:tab w:val="left" w:pos="360" w:leader="none"/>
        </w:tabs>
        <w:spacing w:lineRule="auto" w:line="252" w:before="30" w:after="30"/>
        <w:ind w:hanging="360" w:left="360"/>
        <w:jc w:val="both"/>
        <w:rPr/>
      </w:pPr>
      <w:r>
        <w:rPr/>
        <w:t xml:space="preserve">Yêu cầu BHV bồi thường, trả tiền bảo hiểm khi xảy ra sự kiện bảo hiểm. </w:t>
      </w:r>
    </w:p>
    <w:p>
      <w:pPr>
        <w:pStyle w:val="normal1"/>
        <w:numPr>
          <w:ilvl w:val="0"/>
          <w:numId w:val="9"/>
        </w:numPr>
        <w:tabs>
          <w:tab w:val="clear" w:pos="720"/>
          <w:tab w:val="left" w:pos="-3690" w:leader="none"/>
          <w:tab w:val="left" w:pos="-2430" w:leader="none"/>
          <w:tab w:val="left" w:pos="360" w:leader="none"/>
        </w:tabs>
        <w:spacing w:lineRule="auto" w:line="252" w:before="30" w:after="30"/>
        <w:ind w:hanging="360" w:left="360"/>
        <w:jc w:val="both"/>
        <w:rPr/>
      </w:pPr>
      <w:r>
        <w:rPr/>
        <w:t xml:space="preserve">Yêu cầu BHV cung cấp GCNBH, quy tắc, điều kiện, điều khoản bảo hiểm. </w:t>
      </w:r>
    </w:p>
    <w:p>
      <w:pPr>
        <w:pStyle w:val="normal1"/>
        <w:numPr>
          <w:ilvl w:val="0"/>
          <w:numId w:val="9"/>
        </w:numPr>
        <w:tabs>
          <w:tab w:val="clear" w:pos="720"/>
          <w:tab w:val="left" w:pos="-3690" w:leader="none"/>
          <w:tab w:val="left" w:pos="-2430" w:leader="none"/>
          <w:tab w:val="left" w:pos="360" w:leader="none"/>
        </w:tabs>
        <w:spacing w:lineRule="auto" w:line="252" w:before="30" w:after="30"/>
        <w:ind w:hanging="360" w:left="360"/>
        <w:jc w:val="both"/>
        <w:rPr/>
      </w:pPr>
      <w:r>
        <w:rPr/>
        <w:t xml:space="preserve">Yêu cầu BHV giải thích rõ ràng, đầy đủ về các điều kiện, điều khoản bảo hiểm, phạm vi bảo hiểm, giới hạn trách nhiệm, quyền lợi bảo hiểm, điều khoản loại trừ trách nhiệm bảo hiểm khi giao kết hợp đồng bảo hiểm. </w:t>
      </w:r>
    </w:p>
    <w:p>
      <w:pPr>
        <w:pStyle w:val="normal1"/>
        <w:numPr>
          <w:ilvl w:val="0"/>
          <w:numId w:val="9"/>
        </w:numPr>
        <w:tabs>
          <w:tab w:val="clear" w:pos="720"/>
          <w:tab w:val="left" w:pos="-3690" w:leader="none"/>
          <w:tab w:val="left" w:pos="-2430" w:leader="none"/>
          <w:tab w:val="left" w:pos="360" w:leader="none"/>
        </w:tabs>
        <w:spacing w:lineRule="auto" w:line="252" w:before="30" w:after="30"/>
        <w:ind w:hanging="360" w:left="360"/>
        <w:jc w:val="both"/>
        <w:rPr/>
      </w:pPr>
      <w:r>
        <w:rPr/>
        <w:t xml:space="preserve">Yêu cầu BHV cung cấp bằng chứng giao kết hợp đồng bảo hiểm. </w:t>
      </w:r>
    </w:p>
    <w:p>
      <w:pPr>
        <w:pStyle w:val="normal1"/>
        <w:numPr>
          <w:ilvl w:val="0"/>
          <w:numId w:val="9"/>
        </w:numPr>
        <w:tabs>
          <w:tab w:val="clear" w:pos="720"/>
          <w:tab w:val="left" w:pos="-3690" w:leader="none"/>
          <w:tab w:val="left" w:pos="-2430" w:leader="none"/>
          <w:tab w:val="left" w:pos="360" w:leader="none"/>
        </w:tabs>
        <w:spacing w:lineRule="auto" w:line="252" w:before="30" w:after="30"/>
        <w:ind w:hanging="360" w:left="360"/>
        <w:jc w:val="both"/>
        <w:rPr/>
      </w:pPr>
      <w:r>
        <w:rPr/>
        <w:t xml:space="preserve">Yêu cầu BHV cấp hóa đơn thu phí bảo hiểm. </w:t>
      </w:r>
    </w:p>
    <w:p>
      <w:pPr>
        <w:pStyle w:val="normal1"/>
        <w:keepNext w:val="false"/>
        <w:keepLines w:val="false"/>
        <w:pageBreakBefore w:val="false"/>
        <w:widowControl/>
        <w:numPr>
          <w:ilvl w:val="0"/>
          <w:numId w:val="8"/>
        </w:numPr>
        <w:shd w:val="clear" w:fill="auto"/>
        <w:tabs>
          <w:tab w:val="clear" w:pos="720"/>
          <w:tab w:val="left" w:pos="540" w:leader="none"/>
        </w:tabs>
        <w:spacing w:lineRule="auto" w:line="252" w:before="120" w:after="60"/>
        <w:ind w:hanging="360" w:left="360" w:right="0"/>
        <w:jc w:val="both"/>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single"/>
          <w:shd w:fill="auto" w:val="clear"/>
          <w:vertAlign w:val="baseline"/>
        </w:rPr>
        <w:t>Nghĩa vụ của Người được bảo hiểm</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w:t>
      </w:r>
    </w:p>
    <w:p>
      <w:pPr>
        <w:pStyle w:val="normal1"/>
        <w:numPr>
          <w:ilvl w:val="0"/>
          <w:numId w:val="9"/>
        </w:numPr>
        <w:tabs>
          <w:tab w:val="clear" w:pos="720"/>
          <w:tab w:val="left" w:pos="-3690" w:leader="none"/>
          <w:tab w:val="left" w:pos="-2430" w:leader="none"/>
          <w:tab w:val="left" w:pos="360" w:leader="none"/>
        </w:tabs>
        <w:spacing w:lineRule="auto" w:line="252" w:before="30" w:after="30"/>
        <w:ind w:hanging="360" w:left="360"/>
        <w:jc w:val="both"/>
        <w:rPr/>
      </w:pPr>
      <w:r>
        <w:rPr/>
        <w:t>Tuân thủ đầy đủ các quy định của pháp luật về giao thông đường bộ</w:t>
      </w:r>
    </w:p>
    <w:p>
      <w:pPr>
        <w:pStyle w:val="normal1"/>
        <w:numPr>
          <w:ilvl w:val="0"/>
          <w:numId w:val="9"/>
        </w:numPr>
        <w:tabs>
          <w:tab w:val="clear" w:pos="720"/>
          <w:tab w:val="left" w:pos="-3690" w:leader="none"/>
          <w:tab w:val="left" w:pos="-2430" w:leader="none"/>
          <w:tab w:val="left" w:pos="360" w:leader="none"/>
        </w:tabs>
        <w:spacing w:lineRule="auto" w:line="252" w:before="30" w:after="30"/>
        <w:ind w:hanging="360" w:left="360"/>
        <w:jc w:val="both"/>
        <w:rPr/>
      </w:pPr>
      <w:r>
        <w:rPr/>
        <w:t xml:space="preserve">Kê khai đầy đủ, trung thực mọi thông tin có liên quan đến hợp đồng bảo hiểm theo yêu cầu của BHV. </w:t>
      </w:r>
    </w:p>
    <w:p>
      <w:pPr>
        <w:pStyle w:val="normal1"/>
        <w:numPr>
          <w:ilvl w:val="0"/>
          <w:numId w:val="9"/>
        </w:numPr>
        <w:tabs>
          <w:tab w:val="clear" w:pos="720"/>
          <w:tab w:val="left" w:pos="-3690" w:leader="none"/>
          <w:tab w:val="left" w:pos="-2430" w:leader="none"/>
          <w:tab w:val="left" w:pos="360" w:leader="none"/>
        </w:tabs>
        <w:spacing w:lineRule="auto" w:line="252" w:before="30" w:after="30"/>
        <w:ind w:hanging="360" w:left="360"/>
        <w:jc w:val="both"/>
        <w:rPr/>
      </w:pPr>
      <w:r>
        <w:rPr/>
        <w:t xml:space="preserve">Đọc và hiểu rõ điều kiện, điều khoản bảo hiểm, điều khoản loại trừ trách nhiệm bảo hiểm; quyền, nghĩa vụ của Người được bảo hiểm khi giao kết hợp đồng bảo hiểm và nội dung khác của hợp đồng bảo hiểm; </w:t>
      </w:r>
    </w:p>
    <w:p>
      <w:pPr>
        <w:pStyle w:val="normal1"/>
        <w:numPr>
          <w:ilvl w:val="0"/>
          <w:numId w:val="9"/>
        </w:numPr>
        <w:tabs>
          <w:tab w:val="clear" w:pos="720"/>
          <w:tab w:val="left" w:pos="-3690" w:leader="none"/>
          <w:tab w:val="left" w:pos="-2430" w:leader="none"/>
          <w:tab w:val="left" w:pos="360" w:leader="none"/>
        </w:tabs>
        <w:spacing w:lineRule="auto" w:line="252" w:before="30" w:after="30"/>
        <w:ind w:hanging="360" w:left="360"/>
        <w:jc w:val="both"/>
        <w:rPr/>
      </w:pPr>
      <w:r>
        <w:rPr/>
        <w:t xml:space="preserve">Đóng phí bảo hiểm đầy đủ, đúng hạn theo thỏa thuận trong hợp đồng bảo hiểm; </w:t>
      </w:r>
    </w:p>
    <w:p>
      <w:pPr>
        <w:pStyle w:val="normal1"/>
        <w:numPr>
          <w:ilvl w:val="0"/>
          <w:numId w:val="9"/>
        </w:numPr>
        <w:tabs>
          <w:tab w:val="clear" w:pos="720"/>
          <w:tab w:val="left" w:pos="-3690" w:leader="none"/>
          <w:tab w:val="left" w:pos="-2430" w:leader="none"/>
          <w:tab w:val="left" w:pos="360" w:leader="none"/>
        </w:tabs>
        <w:spacing w:lineRule="auto" w:line="252" w:before="30" w:after="30"/>
        <w:ind w:hanging="360" w:left="360"/>
        <w:jc w:val="both"/>
        <w:rPr/>
      </w:pPr>
      <w:r>
        <w:rPr/>
        <w:t xml:space="preserve">Tạo điều kiện hỗ trợ BHV hoặc đại diện BHV tiến hành khảo sát đánh giá đối tượng bảo hiểm trước khi bảo hiểm và trong thời gian bảo hiểm; </w:t>
      </w:r>
    </w:p>
    <w:p>
      <w:pPr>
        <w:pStyle w:val="normal1"/>
        <w:numPr>
          <w:ilvl w:val="0"/>
          <w:numId w:val="9"/>
        </w:numPr>
        <w:tabs>
          <w:tab w:val="clear" w:pos="720"/>
          <w:tab w:val="left" w:pos="-3690" w:leader="none"/>
          <w:tab w:val="left" w:pos="-2430" w:leader="none"/>
          <w:tab w:val="left" w:pos="360" w:leader="none"/>
        </w:tabs>
        <w:spacing w:lineRule="auto" w:line="252" w:before="30" w:after="30"/>
        <w:ind w:hanging="360" w:left="360"/>
        <w:jc w:val="both"/>
        <w:rPr/>
      </w:pPr>
      <w:r>
        <w:rPr/>
        <w:t xml:space="preserve">Thông báo cho BHV những trường hợp có thể làm tăng rủi ro hoặc giảm rủi ro hoặc làm phát sinh thêm trách nhiệm của BHV trong quá trình thực hiện HĐBH theo thỏa thuận trong hợp đồng bảo hiểm trong vòng 15 ngày kể từ khi phát sinh những trường hợp trên; </w:t>
      </w:r>
    </w:p>
    <w:p>
      <w:pPr>
        <w:pStyle w:val="normal1"/>
        <w:numPr>
          <w:ilvl w:val="0"/>
          <w:numId w:val="9"/>
        </w:numPr>
        <w:tabs>
          <w:tab w:val="clear" w:pos="720"/>
          <w:tab w:val="left" w:pos="-3690" w:leader="none"/>
          <w:tab w:val="left" w:pos="-2430" w:leader="none"/>
          <w:tab w:val="left" w:pos="360" w:leader="none"/>
        </w:tabs>
        <w:spacing w:lineRule="auto" w:line="252" w:before="30" w:after="30"/>
        <w:ind w:hanging="360" w:left="360"/>
        <w:jc w:val="both"/>
        <w:rPr/>
      </w:pPr>
      <w:r>
        <w:rPr/>
        <w:t xml:space="preserve">Khi xảy ra sự kiện bảo hiểm, thực hiện: </w:t>
      </w:r>
    </w:p>
    <w:p>
      <w:pPr>
        <w:pStyle w:val="normal1"/>
        <w:keepNext w:val="false"/>
        <w:keepLines w:val="false"/>
        <w:pageBreakBefore w:val="false"/>
        <w:widowControl/>
        <w:shd w:val="clear" w:fill="auto"/>
        <w:tabs>
          <w:tab w:val="clear" w:pos="720"/>
          <w:tab w:val="left" w:pos="540" w:leader="none"/>
        </w:tabs>
        <w:spacing w:lineRule="auto" w:line="252" w:before="60" w:after="60"/>
        <w:ind w:hanging="0" w:left="360" w:right="0"/>
        <w:jc w:val="both"/>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Báo ngay cho cơ quan chức năng liên quan,  cảnh sát giao thông đến hiện trường kịp thời và lập biên bản, bảo vệ hiện trường tổn thất đồng thời thực hiện mọi biện pháp cần thiết để đề phòng và hạn chế tổn thất. </w:t>
      </w:r>
    </w:p>
    <w:p>
      <w:pPr>
        <w:pStyle w:val="normal1"/>
        <w:keepNext w:val="false"/>
        <w:keepLines w:val="false"/>
        <w:pageBreakBefore w:val="false"/>
        <w:widowControl/>
        <w:shd w:val="clear" w:fill="auto"/>
        <w:tabs>
          <w:tab w:val="clear" w:pos="720"/>
          <w:tab w:val="left" w:pos="540" w:leader="none"/>
        </w:tabs>
        <w:spacing w:lineRule="auto" w:line="252" w:before="60" w:after="60"/>
        <w:ind w:hanging="0" w:left="360" w:right="0"/>
        <w:jc w:val="both"/>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Thông báo ngay cho BHV bằng phương tiện thông tin, liên lạc nhanh nhất và thông báo bằng văn bản cho BHV trong vòng 05 ngày kể từ khi xảy ra tổn thất; Trường hợp NĐBH không thực hiện hoặc chậm thực hiện nghĩa vụ này, BHV có quyền giảm trừ số tiền phải bồi thường bảo hiểm tương ứng với thiệt hại mà BHV phải chịu, trừ trường hợp có sự kiện bất khả kháng;</w:t>
      </w:r>
    </w:p>
    <w:p>
      <w:pPr>
        <w:pStyle w:val="normal1"/>
        <w:keepNext w:val="false"/>
        <w:keepLines w:val="false"/>
        <w:pageBreakBefore w:val="false"/>
        <w:widowControl/>
        <w:shd w:val="clear" w:fill="auto"/>
        <w:tabs>
          <w:tab w:val="clear" w:pos="720"/>
          <w:tab w:val="left" w:pos="540" w:leader="none"/>
        </w:tabs>
        <w:spacing w:lineRule="auto" w:line="252" w:before="60" w:after="60"/>
        <w:ind w:hanging="0" w:left="360" w:right="0"/>
        <w:jc w:val="both"/>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Phối hợp với BHV và/hoặc bên được BHV ủy quyền giám định bảo hiểm trong việc giám định tổn thất; </w:t>
      </w:r>
    </w:p>
    <w:p>
      <w:pPr>
        <w:pStyle w:val="normal1"/>
        <w:keepNext w:val="false"/>
        <w:keepLines w:val="false"/>
        <w:pageBreakBefore w:val="false"/>
        <w:widowControl/>
        <w:shd w:val="clear" w:fill="auto"/>
        <w:tabs>
          <w:tab w:val="clear" w:pos="720"/>
          <w:tab w:val="left" w:pos="540" w:leader="none"/>
        </w:tabs>
        <w:spacing w:lineRule="auto" w:line="252" w:before="60" w:after="60"/>
        <w:ind w:hanging="0" w:left="360" w:right="0"/>
        <w:jc w:val="both"/>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Phối hợp với BHV trong việc giải quyết tổn thất và trong trường hợp cần thiết có thể ủy quyền cho BHV thương lượng với các bên liên quan để giải quyết tổn thất; </w:t>
      </w:r>
    </w:p>
    <w:p>
      <w:pPr>
        <w:pStyle w:val="normal1"/>
        <w:keepNext w:val="false"/>
        <w:keepLines w:val="false"/>
        <w:pageBreakBefore w:val="false"/>
        <w:widowControl/>
        <w:shd w:val="clear" w:fill="auto"/>
        <w:tabs>
          <w:tab w:val="clear" w:pos="720"/>
          <w:tab w:val="left" w:pos="540" w:leader="none"/>
        </w:tabs>
        <w:spacing w:lineRule="auto" w:line="252" w:before="60" w:after="60"/>
        <w:ind w:hanging="0" w:left="360" w:right="0"/>
        <w:jc w:val="both"/>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Trường hợp thiệt hại thuộc phạm vi trách nhiệm bảo hiểm do người thứ ba gây ra, NĐBH có trách nhiệm báo ngay cho BHV và làm các thủ tục pháp lý cần thiết để bảo lưu quyền khiếu nại đòi người thứ ba của BHV; </w:t>
      </w:r>
    </w:p>
    <w:p>
      <w:pPr>
        <w:pStyle w:val="normal1"/>
        <w:keepNext w:val="false"/>
        <w:keepLines w:val="false"/>
        <w:pageBreakBefore w:val="false"/>
        <w:widowControl/>
        <w:shd w:val="clear" w:fill="auto"/>
        <w:tabs>
          <w:tab w:val="clear" w:pos="720"/>
          <w:tab w:val="left" w:pos="540" w:leader="none"/>
        </w:tabs>
        <w:spacing w:lineRule="auto" w:line="252" w:before="60" w:after="60"/>
        <w:ind w:hanging="0" w:left="360" w:right="0"/>
        <w:jc w:val="both"/>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Hoàn tất các hồ sơ, giấy tờ liên quan tới tổn thất làm cơ sở để giải quyết bồi thường theo yêu cầu của BHV. </w:t>
      </w:r>
    </w:p>
    <w:p>
      <w:pPr>
        <w:pStyle w:val="normal1"/>
        <w:keepNext w:val="false"/>
        <w:keepLines w:val="false"/>
        <w:pageBreakBefore w:val="false"/>
        <w:widowControl/>
        <w:numPr>
          <w:ilvl w:val="1"/>
          <w:numId w:val="7"/>
        </w:numPr>
        <w:shd w:val="clear" w:fill="auto"/>
        <w:tabs>
          <w:tab w:val="clear" w:pos="720"/>
          <w:tab w:val="left" w:pos="540" w:leader="none"/>
        </w:tabs>
        <w:spacing w:lineRule="auto" w:line="252" w:before="120" w:after="40"/>
        <w:ind w:hanging="547" w:left="547" w:right="0"/>
        <w:jc w:val="both"/>
        <w:rPr>
          <w:rFonts w:ascii="Times New Roman" w:hAnsi="Times New Roman" w:eastAsia="Times New Roman" w:cs="Times New Roman"/>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Quyền và nghĩa vụ của BHV</w:t>
      </w:r>
    </w:p>
    <w:p>
      <w:pPr>
        <w:pStyle w:val="normal1"/>
        <w:keepNext w:val="false"/>
        <w:keepLines w:val="false"/>
        <w:pageBreakBefore w:val="false"/>
        <w:widowControl/>
        <w:numPr>
          <w:ilvl w:val="1"/>
          <w:numId w:val="10"/>
        </w:numPr>
        <w:shd w:val="clear" w:fill="auto"/>
        <w:tabs>
          <w:tab w:val="clear" w:pos="720"/>
          <w:tab w:val="left" w:pos="540" w:leader="none"/>
        </w:tabs>
        <w:spacing w:lineRule="auto" w:line="252" w:before="0" w:after="60"/>
        <w:ind w:hanging="360" w:left="360" w:right="0"/>
        <w:jc w:val="both"/>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singl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single"/>
          <w:shd w:fill="auto" w:val="clear"/>
          <w:vertAlign w:val="baseline"/>
        </w:rPr>
        <w:t>Quyền của BHV:</w:t>
      </w:r>
    </w:p>
    <w:p>
      <w:pPr>
        <w:pStyle w:val="normal1"/>
        <w:numPr>
          <w:ilvl w:val="0"/>
          <w:numId w:val="9"/>
        </w:numPr>
        <w:tabs>
          <w:tab w:val="clear" w:pos="720"/>
          <w:tab w:val="left" w:pos="-3690" w:leader="none"/>
          <w:tab w:val="left" w:pos="-2430" w:leader="none"/>
          <w:tab w:val="left" w:pos="360" w:leader="none"/>
        </w:tabs>
        <w:spacing w:lineRule="auto" w:line="252" w:before="30" w:after="30"/>
        <w:ind w:hanging="360" w:left="360"/>
        <w:jc w:val="both"/>
        <w:rPr/>
      </w:pPr>
      <w:r>
        <w:rPr/>
        <w:t xml:space="preserve">Thu phí bảo hiểm theo thoả thuận trong hợp đồng bảo hiểm; </w:t>
      </w:r>
    </w:p>
    <w:p>
      <w:pPr>
        <w:pStyle w:val="normal1"/>
        <w:numPr>
          <w:ilvl w:val="0"/>
          <w:numId w:val="9"/>
        </w:numPr>
        <w:tabs>
          <w:tab w:val="clear" w:pos="720"/>
          <w:tab w:val="left" w:pos="-3690" w:leader="none"/>
          <w:tab w:val="left" w:pos="-2430" w:leader="none"/>
          <w:tab w:val="left" w:pos="360" w:leader="none"/>
        </w:tabs>
        <w:spacing w:lineRule="auto" w:line="252" w:before="30" w:after="30"/>
        <w:ind w:hanging="360" w:left="360"/>
        <w:jc w:val="both"/>
        <w:rPr/>
      </w:pPr>
      <w:r>
        <w:rPr/>
        <w:t xml:space="preserve">Yêu cầu NĐBH cung cấp đầy đủ, trung thực mọi thông tin có liên quan đến việc giao kết và thực hiện hợp đồng bảo hiểm; </w:t>
      </w:r>
    </w:p>
    <w:p>
      <w:pPr>
        <w:pStyle w:val="normal1"/>
        <w:numPr>
          <w:ilvl w:val="0"/>
          <w:numId w:val="9"/>
        </w:numPr>
        <w:tabs>
          <w:tab w:val="clear" w:pos="720"/>
          <w:tab w:val="left" w:pos="-3690" w:leader="none"/>
          <w:tab w:val="left" w:pos="-2430" w:leader="none"/>
          <w:tab w:val="left" w:pos="360" w:leader="none"/>
        </w:tabs>
        <w:spacing w:lineRule="auto" w:line="252" w:before="30" w:after="30"/>
        <w:ind w:hanging="360" w:left="360"/>
        <w:jc w:val="both"/>
        <w:rPr/>
      </w:pPr>
      <w:r>
        <w:rPr/>
        <w:t xml:space="preserve">Yêu cầu NĐBH tuân thủ đầy đủ các quy định về khi tham gia giao thông đường bộ; </w:t>
      </w:r>
    </w:p>
    <w:p>
      <w:pPr>
        <w:pStyle w:val="normal1"/>
        <w:numPr>
          <w:ilvl w:val="0"/>
          <w:numId w:val="9"/>
        </w:numPr>
        <w:tabs>
          <w:tab w:val="clear" w:pos="720"/>
          <w:tab w:val="left" w:pos="-3690" w:leader="none"/>
          <w:tab w:val="left" w:pos="-2430" w:leader="none"/>
          <w:tab w:val="left" w:pos="360" w:leader="none"/>
        </w:tabs>
        <w:spacing w:lineRule="auto" w:line="252" w:before="30" w:after="30"/>
        <w:ind w:hanging="360" w:left="360"/>
        <w:jc w:val="both"/>
        <w:rPr/>
      </w:pPr>
      <w:r>
        <w:rPr/>
        <w:t xml:space="preserve">Yêu cầu NĐBH áp dụng các biện pháp đề phòng, hạn chế tổn thất theo quy định của Luật kinh doanh bảo hiểm và các quy định khác về đề phòng, hạn chế tổn thất theo Quy tắc, điều kiện, điều khoản bảo hiểm quy định tại Hợp đồng này; </w:t>
      </w:r>
    </w:p>
    <w:p>
      <w:pPr>
        <w:pStyle w:val="normal1"/>
        <w:numPr>
          <w:ilvl w:val="0"/>
          <w:numId w:val="9"/>
        </w:numPr>
        <w:tabs>
          <w:tab w:val="clear" w:pos="720"/>
          <w:tab w:val="left" w:pos="-3690" w:leader="none"/>
          <w:tab w:val="left" w:pos="-2430" w:leader="none"/>
          <w:tab w:val="left" w:pos="360" w:leader="none"/>
        </w:tabs>
        <w:spacing w:lineRule="auto" w:line="252" w:before="30" w:after="30"/>
        <w:ind w:hanging="360" w:left="360"/>
        <w:jc w:val="both"/>
        <w:rPr/>
      </w:pPr>
      <w:r>
        <w:rPr/>
        <w:t>Thực hiện biện pháp đề phòng, hạn chế tổn thất theo quy định của pháp luật có liên quan;</w:t>
      </w:r>
    </w:p>
    <w:p>
      <w:pPr>
        <w:pStyle w:val="normal1"/>
        <w:numPr>
          <w:ilvl w:val="0"/>
          <w:numId w:val="9"/>
        </w:numPr>
        <w:tabs>
          <w:tab w:val="clear" w:pos="720"/>
          <w:tab w:val="left" w:pos="-3690" w:leader="none"/>
          <w:tab w:val="left" w:pos="-2430" w:leader="none"/>
          <w:tab w:val="left" w:pos="360" w:leader="none"/>
        </w:tabs>
        <w:spacing w:lineRule="auto" w:line="252" w:before="30" w:after="30"/>
        <w:ind w:hanging="360" w:left="360"/>
        <w:jc w:val="both"/>
        <w:rPr/>
      </w:pPr>
      <w:r>
        <w:rPr/>
        <w:t xml:space="preserve">Có quyền hủy bỏ hợp đồng bảo hiểm trong trường hợp NĐBH cố ý cung cấp không đầy đủ thông tin hoặc cung cấp thông tin sai sự thật nhằm giao kết hợp đồng bảo hiểm để được bồi thường, trả tiền bảo hiểm; </w:t>
      </w:r>
    </w:p>
    <w:p>
      <w:pPr>
        <w:pStyle w:val="normal1"/>
        <w:numPr>
          <w:ilvl w:val="0"/>
          <w:numId w:val="9"/>
        </w:numPr>
        <w:tabs>
          <w:tab w:val="clear" w:pos="720"/>
          <w:tab w:val="left" w:pos="-3690" w:leader="none"/>
          <w:tab w:val="left" w:pos="-2430" w:leader="none"/>
          <w:tab w:val="left" w:pos="360" w:leader="none"/>
        </w:tabs>
        <w:spacing w:lineRule="auto" w:line="252" w:before="30" w:after="30"/>
        <w:ind w:hanging="360" w:left="360"/>
        <w:jc w:val="both"/>
        <w:rPr/>
      </w:pPr>
      <w:r>
        <w:rPr/>
        <w:t xml:space="preserve">Từ chối bồi thường, trả tiền bảo hiểm trong trường hợp không thuộc phạm vi trách nhiệm bảo hiểm hoặc trường hợp loại trừ trách nhiệm bảo hiểm theo thoả thuận trong hợp đồng bảo hiểm; </w:t>
      </w:r>
    </w:p>
    <w:p>
      <w:pPr>
        <w:pStyle w:val="normal1"/>
        <w:numPr>
          <w:ilvl w:val="0"/>
          <w:numId w:val="9"/>
        </w:numPr>
        <w:tabs>
          <w:tab w:val="clear" w:pos="720"/>
          <w:tab w:val="left" w:pos="-3690" w:leader="none"/>
          <w:tab w:val="left" w:pos="-2430" w:leader="none"/>
          <w:tab w:val="left" w:pos="360" w:leader="none"/>
        </w:tabs>
        <w:spacing w:lineRule="auto" w:line="252" w:before="30" w:after="30"/>
        <w:ind w:hanging="360" w:left="360"/>
        <w:jc w:val="both"/>
        <w:rPr/>
      </w:pPr>
      <w:r>
        <w:rPr/>
        <w:t>Yêu cầu người thứ ba bồi hoàn số tiền mà BHV đã bồi thường cho NĐBH đối với những thiệt hại do người thứ ba gây ra.</w:t>
      </w:r>
    </w:p>
    <w:p>
      <w:pPr>
        <w:pStyle w:val="normal1"/>
        <w:keepNext w:val="false"/>
        <w:keepLines w:val="false"/>
        <w:pageBreakBefore w:val="false"/>
        <w:widowControl/>
        <w:numPr>
          <w:ilvl w:val="1"/>
          <w:numId w:val="10"/>
        </w:numPr>
        <w:shd w:val="clear" w:fill="auto"/>
        <w:tabs>
          <w:tab w:val="clear" w:pos="720"/>
          <w:tab w:val="left" w:pos="540" w:leader="none"/>
        </w:tabs>
        <w:spacing w:lineRule="auto" w:line="252" w:before="60" w:after="60"/>
        <w:ind w:hanging="360" w:left="360" w:right="0"/>
        <w:jc w:val="both"/>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singl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single"/>
          <w:shd w:fill="auto" w:val="clear"/>
          <w:vertAlign w:val="baseline"/>
        </w:rPr>
        <w:t>Nghĩa vụ của BHV:</w:t>
      </w:r>
    </w:p>
    <w:p>
      <w:pPr>
        <w:pStyle w:val="normal1"/>
        <w:numPr>
          <w:ilvl w:val="0"/>
          <w:numId w:val="9"/>
        </w:numPr>
        <w:tabs>
          <w:tab w:val="clear" w:pos="720"/>
          <w:tab w:val="left" w:pos="-3690" w:leader="none"/>
          <w:tab w:val="left" w:pos="-2430" w:leader="none"/>
          <w:tab w:val="left" w:pos="360" w:leader="none"/>
        </w:tabs>
        <w:spacing w:lineRule="auto" w:line="252" w:before="30" w:after="30"/>
        <w:ind w:hanging="360" w:left="360"/>
        <w:jc w:val="both"/>
        <w:rPr/>
      </w:pPr>
      <w:r>
        <w:rPr/>
        <w:t xml:space="preserve">Bồi thường, trả tiền bảo hiểm khi xảy ra sự kiện bảo hiểm; </w:t>
      </w:r>
    </w:p>
    <w:p>
      <w:pPr>
        <w:pStyle w:val="normal1"/>
        <w:numPr>
          <w:ilvl w:val="0"/>
          <w:numId w:val="9"/>
        </w:numPr>
        <w:tabs>
          <w:tab w:val="clear" w:pos="720"/>
          <w:tab w:val="left" w:pos="-3690" w:leader="none"/>
          <w:tab w:val="left" w:pos="-2430" w:leader="none"/>
          <w:tab w:val="left" w:pos="360" w:leader="none"/>
        </w:tabs>
        <w:spacing w:lineRule="auto" w:line="252" w:before="30" w:after="30"/>
        <w:ind w:hanging="360" w:left="360"/>
        <w:jc w:val="both"/>
        <w:rPr/>
      </w:pPr>
      <w:r>
        <w:rPr/>
        <w:t xml:space="preserve">Đánh giá rủi ro được bảo hiểm và tư vấn cho NĐBH các biện pháp đề phòng, hạn chế tổn thất; </w:t>
      </w:r>
    </w:p>
    <w:p>
      <w:pPr>
        <w:pStyle w:val="normal1"/>
        <w:numPr>
          <w:ilvl w:val="0"/>
          <w:numId w:val="9"/>
        </w:numPr>
        <w:tabs>
          <w:tab w:val="clear" w:pos="720"/>
          <w:tab w:val="left" w:pos="-3690" w:leader="none"/>
          <w:tab w:val="left" w:pos="-2430" w:leader="none"/>
          <w:tab w:val="left" w:pos="360" w:leader="none"/>
        </w:tabs>
        <w:spacing w:lineRule="auto" w:line="252" w:before="30" w:after="30"/>
        <w:ind w:hanging="360" w:left="360"/>
        <w:jc w:val="both"/>
        <w:rPr/>
      </w:pPr>
      <w:r>
        <w:rPr/>
        <w:t xml:space="preserve">Cung cấp cho NĐBH Giấy yêu cầu bảo hiểm, đối tượng bảo hiểm, quy tắc, điều kiện, điều khoản bảo hiểm; </w:t>
      </w:r>
    </w:p>
    <w:p>
      <w:pPr>
        <w:pStyle w:val="normal1"/>
        <w:numPr>
          <w:ilvl w:val="0"/>
          <w:numId w:val="9"/>
        </w:numPr>
        <w:tabs>
          <w:tab w:val="clear" w:pos="720"/>
          <w:tab w:val="left" w:pos="-3690" w:leader="none"/>
          <w:tab w:val="left" w:pos="-2430" w:leader="none"/>
          <w:tab w:val="left" w:pos="360" w:leader="none"/>
        </w:tabs>
        <w:spacing w:lineRule="auto" w:line="252" w:before="30" w:after="30"/>
        <w:ind w:hanging="360" w:left="360"/>
        <w:jc w:val="both"/>
        <w:rPr/>
      </w:pPr>
      <w:r>
        <w:rPr/>
        <w:t xml:space="preserve">Giải thích rõ ràng, đầy đủ cho NĐBH về quyền lợi bảo hiểm, điều khoản loại trừ trách nhiệm bảo hiểm, quyền và nghĩa vụ của NĐBH khi giao kết hợp đồng bảo hiểm; </w:t>
      </w:r>
    </w:p>
    <w:p>
      <w:pPr>
        <w:pStyle w:val="normal1"/>
        <w:numPr>
          <w:ilvl w:val="0"/>
          <w:numId w:val="9"/>
        </w:numPr>
        <w:tabs>
          <w:tab w:val="clear" w:pos="720"/>
          <w:tab w:val="left" w:pos="-3690" w:leader="none"/>
          <w:tab w:val="left" w:pos="-2430" w:leader="none"/>
          <w:tab w:val="left" w:pos="360" w:leader="none"/>
        </w:tabs>
        <w:spacing w:lineRule="auto" w:line="252" w:before="30" w:after="30"/>
        <w:ind w:hanging="360" w:left="360"/>
        <w:jc w:val="both"/>
        <w:rPr/>
      </w:pPr>
      <w:r>
        <w:rPr/>
        <w:t xml:space="preserve">Cung cấp cho NĐBH bằng chứng giao kết hợp đồng bảo hiểm; </w:t>
      </w:r>
    </w:p>
    <w:p>
      <w:pPr>
        <w:pStyle w:val="normal1"/>
        <w:numPr>
          <w:ilvl w:val="0"/>
          <w:numId w:val="9"/>
        </w:numPr>
        <w:tabs>
          <w:tab w:val="clear" w:pos="720"/>
          <w:tab w:val="left" w:pos="-3690" w:leader="none"/>
          <w:tab w:val="left" w:pos="-2430" w:leader="none"/>
          <w:tab w:val="left" w:pos="360" w:leader="none"/>
        </w:tabs>
        <w:spacing w:lineRule="auto" w:line="252" w:before="30" w:after="30"/>
        <w:ind w:hanging="360" w:left="360"/>
        <w:jc w:val="both"/>
        <w:rPr/>
      </w:pPr>
      <w:r>
        <w:rPr/>
        <w:t xml:space="preserve">Cấp hóa đơn thu phí bảo hiểm cho NĐBH theo thỏa thuận trong hợp đồng bảo hiểm và quy định của pháp luật có liên quan; </w:t>
      </w:r>
    </w:p>
    <w:p>
      <w:pPr>
        <w:pStyle w:val="normal1"/>
        <w:numPr>
          <w:ilvl w:val="0"/>
          <w:numId w:val="9"/>
        </w:numPr>
        <w:tabs>
          <w:tab w:val="clear" w:pos="720"/>
          <w:tab w:val="left" w:pos="-3690" w:leader="none"/>
          <w:tab w:val="left" w:pos="-2430" w:leader="none"/>
          <w:tab w:val="left" w:pos="360" w:leader="none"/>
        </w:tabs>
        <w:spacing w:lineRule="auto" w:line="252" w:before="30" w:after="30"/>
        <w:ind w:hanging="360" w:left="360"/>
        <w:jc w:val="both"/>
        <w:rPr/>
      </w:pPr>
      <w:r>
        <w:rPr/>
        <w:t xml:space="preserve">Lưu trữ hồ sơ hợp đồng bảo hiểm theo quy định của pháp luật; </w:t>
      </w:r>
    </w:p>
    <w:p>
      <w:pPr>
        <w:pStyle w:val="normal1"/>
        <w:numPr>
          <w:ilvl w:val="0"/>
          <w:numId w:val="9"/>
        </w:numPr>
        <w:tabs>
          <w:tab w:val="clear" w:pos="720"/>
          <w:tab w:val="left" w:pos="-3690" w:leader="none"/>
          <w:tab w:val="left" w:pos="-2430" w:leader="none"/>
          <w:tab w:val="left" w:pos="360" w:leader="none"/>
        </w:tabs>
        <w:spacing w:lineRule="auto" w:line="252" w:before="30" w:after="30"/>
        <w:ind w:hanging="360" w:left="360"/>
        <w:jc w:val="both"/>
        <w:rPr/>
      </w:pPr>
      <w:r>
        <w:rPr/>
        <w:t>Bảo mật thông tin do NĐBH cung cấp, trừ trường hợp nhằm mục đích thực hiện hợp đồng hoặc theo yêu cầu của cơ quan nhà nước có thẩm quyền hoặc được sự đồng ý của NĐBH;</w:t>
      </w:r>
    </w:p>
    <w:p>
      <w:pPr>
        <w:pStyle w:val="normal1"/>
        <w:numPr>
          <w:ilvl w:val="0"/>
          <w:numId w:val="9"/>
        </w:numPr>
        <w:tabs>
          <w:tab w:val="clear" w:pos="720"/>
          <w:tab w:val="left" w:pos="-3690" w:leader="none"/>
          <w:tab w:val="left" w:pos="-2430" w:leader="none"/>
          <w:tab w:val="left" w:pos="360" w:leader="none"/>
        </w:tabs>
        <w:spacing w:lineRule="auto" w:line="252" w:before="30" w:after="30"/>
        <w:ind w:hanging="360" w:left="360"/>
        <w:jc w:val="both"/>
        <w:rPr/>
      </w:pPr>
      <w:r>
        <w:rPr/>
        <w:t>Trong trường hợp cần thiết, thay mặt NĐBH thương lượng với các bên liên quan để giải quyết tổn thất.</w:t>
      </w:r>
    </w:p>
    <w:p>
      <w:pPr>
        <w:pStyle w:val="normal1"/>
        <w:numPr>
          <w:ilvl w:val="0"/>
          <w:numId w:val="1"/>
        </w:numPr>
        <w:tabs>
          <w:tab w:val="clear" w:pos="720"/>
          <w:tab w:val="left" w:pos="900" w:leader="none"/>
        </w:tabs>
        <w:spacing w:lineRule="auto" w:line="252" w:before="360" w:after="0"/>
        <w:ind w:hanging="907" w:left="907"/>
        <w:jc w:val="both"/>
        <w:rPr>
          <w:b/>
        </w:rPr>
      </w:pPr>
      <w:r>
        <w:rPr>
          <w:b/>
        </w:rPr>
        <w:t>ĐIỀU KHOẢN TỰ ĐỘNG CHẤM DỨT HIỆU LỰC HỢP ĐỒNG</w:t>
      </w:r>
    </w:p>
    <w:p>
      <w:pPr>
        <w:pStyle w:val="normal1"/>
        <w:tabs>
          <w:tab w:val="left" w:pos="360" w:leader="none"/>
          <w:tab w:val="left" w:pos="450" w:leader="none"/>
          <w:tab w:val="left" w:pos="720" w:leader="none"/>
        </w:tabs>
        <w:spacing w:lineRule="auto" w:line="252" w:before="60" w:after="60"/>
        <w:jc w:val="both"/>
        <w:rPr/>
      </w:pPr>
      <w:r>
        <w:rPr/>
        <w:t>Nếu NĐBH không thanh toán phí bảo hiểm đầy đủ và đúng thời hạn thanh toán như đã thỏa thuận thì HĐBH/GCNBH sẽ tự động chấm dứt hiệu lực (BHV không cần phát hành thông báo) và BHV sẽ không chịu trách nhiệm bảo hiểm kể từ thời điểm hết hạn thanh toán phí. Theo đó:</w:t>
      </w:r>
    </w:p>
    <w:p>
      <w:pPr>
        <w:pStyle w:val="normal1"/>
        <w:numPr>
          <w:ilvl w:val="0"/>
          <w:numId w:val="9"/>
        </w:numPr>
        <w:tabs>
          <w:tab w:val="clear" w:pos="720"/>
          <w:tab w:val="left" w:pos="-3690" w:leader="none"/>
          <w:tab w:val="left" w:pos="-2430" w:leader="none"/>
          <w:tab w:val="left" w:pos="360" w:leader="none"/>
        </w:tabs>
        <w:spacing w:lineRule="auto" w:line="252" w:before="40" w:after="40"/>
        <w:ind w:hanging="360" w:left="360"/>
        <w:jc w:val="both"/>
        <w:rPr/>
      </w:pPr>
      <w:r>
        <w:rPr/>
        <w:t xml:space="preserve">Người được bảo hiểm vẫn phải có trách nhiệm thanh toán khoản phí bảo hiểm cho BHV tương ứng với thời hạn phát sinh hiệu lực bảo hiểm đến thời điểm chấm dứt HĐBH. </w:t>
      </w:r>
    </w:p>
    <w:p>
      <w:pPr>
        <w:pStyle w:val="normal1"/>
        <w:numPr>
          <w:ilvl w:val="0"/>
          <w:numId w:val="9"/>
        </w:numPr>
        <w:tabs>
          <w:tab w:val="clear" w:pos="720"/>
          <w:tab w:val="left" w:pos="-3690" w:leader="none"/>
          <w:tab w:val="left" w:pos="-2430" w:leader="none"/>
          <w:tab w:val="left" w:pos="360" w:leader="none"/>
        </w:tabs>
        <w:spacing w:lineRule="auto" w:line="252" w:before="40" w:after="40"/>
        <w:ind w:hanging="360" w:left="360"/>
        <w:jc w:val="both"/>
        <w:rPr/>
      </w:pPr>
      <w:r>
        <w:rPr/>
        <w:t>Mọi khoản phí bảo hiểm được thanh toán (bằng tiền mặt hoặc chuyển khoản qua ngân hàng) cho BHV sau thời hạn thanh toán đều không có giá trị ràng buộc trách nhiệm bảo hiểm với BHV (trừ khi có thoả thuận khác được BHV chấp nhận bằng văn bản).</w:t>
      </w:r>
    </w:p>
    <w:p>
      <w:pPr>
        <w:pStyle w:val="normal1"/>
        <w:numPr>
          <w:ilvl w:val="0"/>
          <w:numId w:val="1"/>
        </w:numPr>
        <w:tabs>
          <w:tab w:val="clear" w:pos="720"/>
          <w:tab w:val="left" w:pos="900" w:leader="none"/>
        </w:tabs>
        <w:spacing w:lineRule="auto" w:line="252" w:before="360" w:after="0"/>
        <w:ind w:hanging="907" w:left="907"/>
        <w:jc w:val="both"/>
        <w:rPr>
          <w:b/>
        </w:rPr>
      </w:pPr>
      <w:r>
        <w:rPr>
          <w:b/>
        </w:rPr>
        <w:t>ĐIỀU KHOẢN KHÔI PHỤC HIỆU LỰC BẢO HIỂM</w:t>
      </w:r>
    </w:p>
    <w:p>
      <w:pPr>
        <w:pStyle w:val="normal1"/>
        <w:tabs>
          <w:tab w:val="clear" w:pos="720"/>
          <w:tab w:val="left" w:pos="-5130" w:leader="none"/>
        </w:tabs>
        <w:spacing w:lineRule="auto" w:line="252" w:before="60" w:after="60"/>
        <w:jc w:val="both"/>
        <w:rPr/>
      </w:pPr>
      <w:r>
        <w:rPr>
          <w:color w:val="000000"/>
        </w:rPr>
        <w:t xml:space="preserve">Nếu NĐBH </w:t>
      </w:r>
      <w:r>
        <w:rPr/>
        <w:t>thanh</w:t>
      </w:r>
      <w:r>
        <w:rPr>
          <w:color w:val="000000"/>
        </w:rPr>
        <w:t xml:space="preserve"> toán phí bảo hiểm trong vòng 07 ngày sau ngày tự động chấm dứt hiệu lực bảo hiểm, HĐBH </w:t>
      </w:r>
      <w:r>
        <w:rPr/>
        <w:t xml:space="preserve">sẽ khôi phục hiệu lực bảo hiểm mới kể từ thời điểm NĐBH thanh toán đầy đủ phí bảo hiểm cho BHV. BHV không chịu trách nhiệm với các tổn thất phát sinh từ thời điểm tự động chấm dứt đến thời điểm NĐBH thanh toán đủ phí bảo hiểm. </w:t>
      </w:r>
    </w:p>
    <w:p>
      <w:pPr>
        <w:pStyle w:val="normal1"/>
        <w:tabs>
          <w:tab w:val="clear" w:pos="720"/>
          <w:tab w:val="left" w:pos="-5130" w:leader="none"/>
        </w:tabs>
        <w:spacing w:lineRule="auto" w:line="252" w:before="60" w:after="60"/>
        <w:jc w:val="both"/>
        <w:rPr/>
      </w:pPr>
      <w:r>
        <w:rPr/>
        <w:t>Tuy nhiên, việc khôi phục hiệu lực HĐBH như trên chỉ được áp dụng với điều kiện phải có văn bản xác nhận đồng ý của BHV.</w:t>
      </w:r>
    </w:p>
    <w:p>
      <w:pPr>
        <w:pStyle w:val="normal1"/>
        <w:tabs>
          <w:tab w:val="clear" w:pos="720"/>
          <w:tab w:val="left" w:pos="-5130" w:leader="none"/>
        </w:tabs>
        <w:spacing w:lineRule="auto" w:line="252" w:before="60" w:after="60"/>
        <w:jc w:val="both"/>
        <w:rPr>
          <w:color w:val="000000"/>
        </w:rPr>
      </w:pPr>
      <w:r>
        <w:rPr/>
        <w:t>Trường hợp, NĐBH đóng phí bảo hiểm sau thời điểm tự động chấm dứt hiệu lực của HĐBH và không có xác nhận đồng ý khôi phục hiệu lực hợp đồng bằng văn bản của BHV thì HĐBH đó được xem là không được khôi phục hiệu lực và BHV có quyền hoàn trả lại phí bảo hiểm cho NĐBH. BHV không chịu bất kỳ trách nhiệm</w:t>
      </w:r>
      <w:r>
        <w:rPr>
          <w:color w:val="000000"/>
        </w:rPr>
        <w:t xml:space="preserve"> bồi thường nào trong trường hợp này.</w:t>
      </w:r>
    </w:p>
    <w:p>
      <w:pPr>
        <w:pStyle w:val="normal1"/>
        <w:numPr>
          <w:ilvl w:val="0"/>
          <w:numId w:val="1"/>
        </w:numPr>
        <w:tabs>
          <w:tab w:val="clear" w:pos="720"/>
          <w:tab w:val="left" w:pos="900" w:leader="none"/>
        </w:tabs>
        <w:spacing w:lineRule="auto" w:line="252" w:before="360" w:after="0"/>
        <w:ind w:hanging="907" w:left="907"/>
        <w:jc w:val="both"/>
        <w:rPr>
          <w:b/>
        </w:rPr>
      </w:pPr>
      <w:r>
        <w:rPr>
          <w:b/>
        </w:rPr>
        <w:t>KHAI BÁO TỔN THẤT VÀ THANH TOÁN BỒI THƯỜNG</w:t>
      </w:r>
    </w:p>
    <w:p>
      <w:pPr>
        <w:pStyle w:val="normal1"/>
        <w:tabs>
          <w:tab w:val="clear" w:pos="720"/>
          <w:tab w:val="left" w:pos="-5130" w:leader="none"/>
        </w:tabs>
        <w:spacing w:lineRule="auto" w:line="252" w:before="60" w:after="60"/>
        <w:jc w:val="both"/>
        <w:rPr/>
      </w:pPr>
      <w:r>
        <w:rPr/>
        <w:t xml:space="preserve">Khi xảy ra sự kiện bảo hiểm, Người được bảo hiểm phải tìm mọi cách cứu chữa, hạn chế thiệt hại đồng thời phải thông báo ngay cho cơ quan Công An hoặc chính quyền địa phương nơi gần nhất và số HOTLINE </w:t>
      </w:r>
      <w:r>
        <w:rPr>
          <w:b/>
        </w:rPr>
        <w:t>1900.63.35.35</w:t>
      </w:r>
      <w:r>
        <w:rPr/>
        <w:t xml:space="preserve"> ghi trên Giấy Chứng Nhận Bảo hiểm để phối hợp giải quyết, trường hợp khách không thông báo ngay khi xảy ra tổn thất BHV sẽ xem xét từ chối một phần hoặc toàn bộ chi phí khắc phục tổn thất. Trong vòng 05 ngày kể từ ngày xảy ra tổn thất, Người được bảo hiểm phải xác nhận tai nạn bằng văn bản cho BHV.</w:t>
      </w:r>
    </w:p>
    <w:p>
      <w:pPr>
        <w:pStyle w:val="normal1"/>
        <w:tabs>
          <w:tab w:val="clear" w:pos="720"/>
          <w:tab w:val="left" w:pos="-5130" w:leader="none"/>
        </w:tabs>
        <w:spacing w:lineRule="auto" w:line="252" w:before="60" w:after="60"/>
        <w:jc w:val="both"/>
        <w:rPr/>
      </w:pPr>
      <w:r>
        <w:rPr/>
        <w:t>Thiệt hại thuộc trách nhiệm bảo hiểm chỉ được BHV bồi thường khi hợp đồng đã được thanh toán phí bảo hiểm theo đúng quy định tại Điều 6 nói trên và thực hiện các nghĩa vụ trách nhiệm của Người được bảo hiểm đã cam kết.</w:t>
      </w:r>
    </w:p>
    <w:p>
      <w:pPr>
        <w:pStyle w:val="normal1"/>
        <w:tabs>
          <w:tab w:val="clear" w:pos="720"/>
          <w:tab w:val="left" w:pos="-5130" w:leader="none"/>
        </w:tabs>
        <w:spacing w:lineRule="auto" w:line="252" w:before="60" w:after="60"/>
        <w:jc w:val="both"/>
        <w:rPr/>
      </w:pPr>
      <w:r>
        <w:rPr/>
        <w:t>Trình tự, thủ tục và hồ sơ yêu cầu giám định, bồi thường được thực hiện theo thỏa thuận tại Hợp đồng này, Quy tắc bảo</w:t>
      </w:r>
      <w:r>
        <w:rPr>
          <w:color w:val="000000"/>
        </w:rPr>
        <w:t xml:space="preserve"> hiểm</w:t>
      </w:r>
      <w:r>
        <w:rPr/>
        <w:t xml:space="preserve"> nêu tại Điều 3 và theo hướng dẫn của BHV tùy từng trường hợp cụ thể.</w:t>
      </w:r>
    </w:p>
    <w:p>
      <w:pPr>
        <w:pStyle w:val="normal1"/>
        <w:numPr>
          <w:ilvl w:val="0"/>
          <w:numId w:val="1"/>
        </w:numPr>
        <w:tabs>
          <w:tab w:val="clear" w:pos="720"/>
          <w:tab w:val="left" w:pos="900" w:leader="none"/>
        </w:tabs>
        <w:spacing w:lineRule="auto" w:line="252" w:before="360" w:after="0"/>
        <w:ind w:hanging="907" w:left="907"/>
        <w:jc w:val="both"/>
        <w:rPr/>
      </w:pPr>
      <w:r>
        <w:rPr>
          <w:b/>
        </w:rPr>
        <w:t>CÁC KHẲNG ĐỊNH VÀ CAM KẾT</w:t>
      </w:r>
    </w:p>
    <w:p>
      <w:pPr>
        <w:pStyle w:val="normal1"/>
        <w:keepNext w:val="false"/>
        <w:keepLines w:val="false"/>
        <w:pageBreakBefore w:val="false"/>
        <w:widowControl/>
        <w:numPr>
          <w:ilvl w:val="1"/>
          <w:numId w:val="11"/>
        </w:numPr>
        <w:shd w:val="clear" w:fill="auto"/>
        <w:tabs>
          <w:tab w:val="clear" w:pos="720"/>
          <w:tab w:val="left" w:pos="540" w:leader="none"/>
        </w:tabs>
        <w:spacing w:lineRule="auto" w:line="252" w:before="60" w:after="0"/>
        <w:ind w:hanging="547" w:left="547" w:right="0"/>
        <w:jc w:val="both"/>
        <w:rPr>
          <w:rFonts w:ascii="Times New Roman" w:hAnsi="Times New Roman" w:eastAsia="Times New Roman" w:cs="Times New Roman"/>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 xml:space="preserve">Các khẳng định và cam kết của BHV </w:t>
      </w:r>
    </w:p>
    <w:p>
      <w:pPr>
        <w:pStyle w:val="normal1"/>
        <w:numPr>
          <w:ilvl w:val="0"/>
          <w:numId w:val="12"/>
        </w:numPr>
        <w:tabs>
          <w:tab w:val="clear" w:pos="720"/>
          <w:tab w:val="left" w:pos="547" w:leader="none"/>
        </w:tabs>
        <w:spacing w:lineRule="auto" w:line="252" w:before="40" w:after="0"/>
        <w:ind w:hanging="360" w:left="360"/>
        <w:jc w:val="both"/>
        <w:rPr/>
      </w:pPr>
      <w:r>
        <w:rPr/>
        <w:t>Giải thích cho Người được bảo hiểm về quy tắc, điều khoản, biểu phí bảo hiểm; quyền lợi, trách nhiệm của người được bảo hiểm khi tham gia bảo hiểm và theo yêu cầu của Người được bảo hiểm.</w:t>
      </w:r>
    </w:p>
    <w:p>
      <w:pPr>
        <w:pStyle w:val="normal1"/>
        <w:numPr>
          <w:ilvl w:val="0"/>
          <w:numId w:val="12"/>
        </w:numPr>
        <w:tabs>
          <w:tab w:val="clear" w:pos="720"/>
          <w:tab w:val="left" w:pos="547" w:leader="none"/>
        </w:tabs>
        <w:spacing w:lineRule="auto" w:line="252" w:before="40" w:after="0"/>
        <w:ind w:hanging="360" w:left="360"/>
        <w:jc w:val="both"/>
        <w:rPr/>
      </w:pPr>
      <w:r>
        <w:rPr/>
        <w:t>Thực hiện các nghĩa vụ và trách nhiệm khác theo quy định tại các tài liệu ở Điều 3 của Hợp đồng này.</w:t>
      </w:r>
    </w:p>
    <w:p>
      <w:pPr>
        <w:pStyle w:val="normal1"/>
        <w:keepNext w:val="false"/>
        <w:keepLines w:val="false"/>
        <w:pageBreakBefore w:val="false"/>
        <w:widowControl/>
        <w:numPr>
          <w:ilvl w:val="1"/>
          <w:numId w:val="11"/>
        </w:numPr>
        <w:shd w:val="clear" w:fill="auto"/>
        <w:tabs>
          <w:tab w:val="clear" w:pos="720"/>
          <w:tab w:val="left" w:pos="540" w:leader="none"/>
        </w:tabs>
        <w:spacing w:lineRule="auto" w:line="252" w:before="120" w:after="0"/>
        <w:ind w:hanging="547" w:left="547" w:right="0"/>
        <w:jc w:val="both"/>
        <w:rPr>
          <w:rFonts w:ascii="Times New Roman" w:hAnsi="Times New Roman" w:eastAsia="Times New Roman" w:cs="Times New Roman"/>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Các khẳng định và cam kết của Người được bảo hiểm</w:t>
      </w:r>
    </w:p>
    <w:p>
      <w:pPr>
        <w:pStyle w:val="normal1"/>
        <w:numPr>
          <w:ilvl w:val="0"/>
          <w:numId w:val="13"/>
        </w:numPr>
        <w:tabs>
          <w:tab w:val="clear" w:pos="720"/>
          <w:tab w:val="left" w:pos="990" w:leader="none"/>
        </w:tabs>
        <w:spacing w:lineRule="auto" w:line="252" w:before="30" w:after="0"/>
        <w:ind w:hanging="360" w:left="360"/>
        <w:jc w:val="both"/>
        <w:rPr/>
      </w:pPr>
      <w:r>
        <w:rPr/>
        <w:t>Cung cấp và khai báo trung thực, chính xác và đầy đủ tất cả thông tin mà Người bảo hiểm biết và phải biết về Đối tượng được bảo hiểm tại Điều 2 và việc bảo hiểm theo hợp đồng này. Khi có bất kỳ thay đổi thông tin về Đối tượng được bảo hiểm dẫn đến tăng hoặc giảm các rủi ro được bảo hiểm (như thay đổi mục đích sử dụng, nâng cấp/thay đổi so với nguyên gốc của nhà sản xuất,…) Người được bảo hiểm phải thông báo ngay cho BHV để áp dụng mức phí bảo hiểm phù hợp cho thời gian còn lại của hợp đồng bảo hiểm.</w:t>
      </w:r>
    </w:p>
    <w:p>
      <w:pPr>
        <w:pStyle w:val="normal1"/>
        <w:numPr>
          <w:ilvl w:val="0"/>
          <w:numId w:val="13"/>
        </w:numPr>
        <w:tabs>
          <w:tab w:val="clear" w:pos="720"/>
          <w:tab w:val="left" w:pos="990" w:leader="none"/>
        </w:tabs>
        <w:spacing w:lineRule="auto" w:line="252" w:before="30" w:after="0"/>
        <w:ind w:hanging="360" w:left="360"/>
        <w:jc w:val="both"/>
        <w:rPr/>
      </w:pPr>
      <w:r>
        <w:rPr/>
        <w:t>Đã được BHV giải thích và đã hiểu rõ quy tắc, điều khoản loại trừ, biểu phí bảo hiểm; quyền lợi, trách nhiệm của người được bảo hiểm khi tham gia bảo hiểm.</w:t>
      </w:r>
    </w:p>
    <w:p>
      <w:pPr>
        <w:pStyle w:val="normal1"/>
        <w:numPr>
          <w:ilvl w:val="0"/>
          <w:numId w:val="13"/>
        </w:numPr>
        <w:tabs>
          <w:tab w:val="clear" w:pos="720"/>
          <w:tab w:val="left" w:pos="990" w:leader="none"/>
        </w:tabs>
        <w:spacing w:lineRule="auto" w:line="252" w:before="30" w:after="0"/>
        <w:ind w:hanging="360" w:left="360"/>
        <w:jc w:val="both"/>
        <w:rPr/>
      </w:pPr>
      <w:r>
        <w:rPr/>
        <w:t>Thực hiện các nghĩa vụ và trách nhiệm khác theo quy định tại các tài liệu ở Điều 3 của Hợp đồng này.</w:t>
      </w:r>
    </w:p>
    <w:p>
      <w:pPr>
        <w:pStyle w:val="normal1"/>
        <w:numPr>
          <w:ilvl w:val="0"/>
          <w:numId w:val="13"/>
        </w:numPr>
        <w:tabs>
          <w:tab w:val="clear" w:pos="720"/>
          <w:tab w:val="left" w:pos="990" w:leader="none"/>
        </w:tabs>
        <w:spacing w:lineRule="auto" w:line="252" w:before="30" w:after="0"/>
        <w:ind w:hanging="360" w:left="360"/>
        <w:jc w:val="both"/>
        <w:rPr/>
      </w:pPr>
      <w:r>
        <w:rPr/>
        <w:t>Tuân thủ các quy định được nêu trong Quy tắc bảo hiểm và các điều khoản sửa đổi bổ sung nêu tại Điều 3 Hợp đồng này.</w:t>
      </w:r>
    </w:p>
    <w:p>
      <w:pPr>
        <w:pStyle w:val="normal1"/>
        <w:numPr>
          <w:ilvl w:val="0"/>
          <w:numId w:val="1"/>
        </w:numPr>
        <w:tabs>
          <w:tab w:val="clear" w:pos="720"/>
          <w:tab w:val="left" w:pos="993" w:leader="none"/>
        </w:tabs>
        <w:spacing w:lineRule="auto" w:line="252" w:before="300" w:after="0"/>
        <w:ind w:hanging="0" w:left="0"/>
        <w:jc w:val="both"/>
        <w:rPr>
          <w:b/>
        </w:rPr>
      </w:pPr>
      <w:r>
        <w:rPr>
          <w:b/>
        </w:rPr>
        <w:t>ĐIỀU KHOẢN CHUNG</w:t>
      </w:r>
    </w:p>
    <w:p>
      <w:pPr>
        <w:pStyle w:val="normal1"/>
        <w:tabs>
          <w:tab w:val="clear" w:pos="720"/>
          <w:tab w:val="left" w:pos="-5130" w:leader="none"/>
        </w:tabs>
        <w:spacing w:lineRule="auto" w:line="252" w:before="60" w:after="60"/>
        <w:jc w:val="both"/>
        <w:rPr/>
      </w:pPr>
      <w:r>
        <w:rPr/>
        <w:t>Trong trường hợp có tranh chấp, hai bên sẽ cố gắng giải quyết các tranh chấp liên quan đến Hợp đồng này qua trao đổi và thương lượng. Nếu các bên không thể giải quyết tranh chấp trong vòng 30 (ba mươi) ngày sau khi phát sinh tranh chấp thì một trong hai bên có thể đưa tranh chấp ra giải quyết tại Tòa án có thẩm quyền để giải quyết.</w:t>
      </w:r>
    </w:p>
    <w:p>
      <w:pPr>
        <w:pStyle w:val="normal1"/>
        <w:tabs>
          <w:tab w:val="clear" w:pos="720"/>
          <w:tab w:val="left" w:pos="-5130" w:leader="none"/>
        </w:tabs>
        <w:spacing w:lineRule="auto" w:line="252" w:before="60" w:after="60"/>
        <w:jc w:val="both"/>
        <w:rPr/>
      </w:pPr>
      <w:r>
        <w:rPr/>
        <w:t>Trong trường hợp có sự không nhất quán giữa các điều khoản, điều kiện của Hợp đồng này và các điều khoản, điều kiện của Phụ lục/SĐBS thì các điều khoản, điều kiện của Phụ lục/SĐBS sẽ được ưu tiên áp dụng.</w:t>
      </w:r>
    </w:p>
    <w:p>
      <w:pPr>
        <w:pStyle w:val="normal1"/>
        <w:tabs>
          <w:tab w:val="clear" w:pos="720"/>
          <w:tab w:val="left" w:pos="-5130" w:leader="none"/>
        </w:tabs>
        <w:spacing w:lineRule="auto" w:line="252" w:before="60" w:after="60"/>
        <w:jc w:val="both"/>
        <w:rPr/>
      </w:pPr>
      <w:r>
        <w:rPr/>
        <w:t>Hợp đồng này được lập thành 02 (hai) bản, Bên A giữ 01 (một) bản, Bên B giữ 01 (một) bản và có giá trị pháp lý như nhau.</w:t>
      </w:r>
    </w:p>
    <w:tbl>
      <w:tblPr>
        <w:tblStyle w:val="10"/>
        <w:tblW w:w="9800" w:type="dxa"/>
        <w:jc w:val="left"/>
        <w:tblInd w:w="0" w:type="dxa"/>
        <w:tblLayout w:type="fixed"/>
        <w:tblCellMar>
          <w:top w:w="0" w:type="dxa"/>
          <w:left w:w="108" w:type="dxa"/>
          <w:bottom w:w="0" w:type="dxa"/>
          <w:right w:w="108" w:type="dxa"/>
        </w:tblCellMar>
      </w:tblPr>
      <w:tblGrid>
        <w:gridCol w:w="5220"/>
        <w:gridCol w:w="4579"/>
      </w:tblGrid>
      <w:tr>
        <w:trPr/>
        <w:tc>
          <w:tcPr>
            <w:tcW w:w="5220" w:type="dxa"/>
            <w:tcBorders/>
          </w:tcPr>
          <w:p>
            <w:pPr>
              <w:pStyle w:val="normal1"/>
              <w:tabs>
                <w:tab w:val="clear" w:pos="720"/>
                <w:tab w:val="left" w:pos="-5130" w:leader="none"/>
              </w:tabs>
              <w:spacing w:lineRule="auto" w:line="252" w:before="120" w:after="0"/>
              <w:jc w:val="center"/>
              <w:rPr>
                <w:rFonts w:ascii="Times New Roman" w:hAnsi="Times New Roman" w:eastAsia="Times New Roman" w:cs="Times New Roman"/>
              </w:rPr>
            </w:pPr>
            <w:r>
              <w:rPr>
                <w:rFonts w:eastAsia="Times New Roman" w:cs="Times New Roman"/>
                <w:b/>
              </w:rPr>
              <w:t>BÊN MUA BẢO HIỂM</w:t>
            </w:r>
          </w:p>
        </w:tc>
        <w:tc>
          <w:tcPr>
            <w:tcW w:w="4579" w:type="dxa"/>
            <w:tcBorders/>
          </w:tcPr>
          <w:p>
            <w:pPr>
              <w:pStyle w:val="normal1"/>
              <w:tabs>
                <w:tab w:val="clear" w:pos="720"/>
                <w:tab w:val="left" w:pos="-5130" w:leader="none"/>
              </w:tabs>
              <w:spacing w:lineRule="auto" w:line="252" w:before="120" w:after="0"/>
              <w:jc w:val="center"/>
              <w:rPr>
                <w:rFonts w:ascii="Times New Roman" w:hAnsi="Times New Roman" w:eastAsia="Times New Roman" w:cs="Times New Roman"/>
              </w:rPr>
            </w:pPr>
            <w:r>
              <w:rPr>
                <w:rFonts w:eastAsia="Times New Roman" w:cs="Times New Roman"/>
                <w:b/>
              </w:rPr>
              <w:t>BÊN BẢO HIỂM</w:t>
            </w:r>
          </w:p>
        </w:tc>
      </w:tr>
    </w:tbl>
    <w:p>
      <w:pPr>
        <w:pStyle w:val="normal1"/>
        <w:tabs>
          <w:tab w:val="left" w:pos="720" w:leader="none"/>
        </w:tabs>
        <w:spacing w:lineRule="auto" w:line="252" w:before="120" w:after="0"/>
        <w:rPr/>
      </w:pPr>
      <w:r>
        <w:rPr/>
      </w:r>
    </w:p>
    <w:p>
      <w:pPr>
        <w:pStyle w:val="normal1"/>
        <w:tabs>
          <w:tab w:val="left" w:pos="720" w:leader="none"/>
        </w:tabs>
        <w:spacing w:lineRule="auto" w:line="252" w:before="120" w:after="0"/>
        <w:rPr/>
      </w:pPr>
      <w:r>
        <w:rPr/>
      </w:r>
    </w:p>
    <w:p>
      <w:pPr>
        <w:pStyle w:val="normal1"/>
        <w:tabs>
          <w:tab w:val="left" w:pos="720" w:leader="none"/>
        </w:tabs>
        <w:spacing w:lineRule="auto" w:line="252" w:before="840" w:after="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080" w:right="1019" w:gutter="0" w:header="720" w:top="900" w:footer="508" w:bottom="117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ahoma">
    <w:charset w:val="01"/>
    <w:family w:val="roman"/>
    <w:pitch w:val="variable"/>
  </w:font>
  <w:font w:name="VNI-Helve-Condense">
    <w:charset w:val="01"/>
    <w:family w:val="roman"/>
    <w:pitch w:val="variable"/>
  </w:font>
  <w:font w:name="Calibri">
    <w:charset w:val="01"/>
    <w:family w:val="roman"/>
    <w:pitch w:val="variable"/>
  </w:font>
  <w:font w:name="Liberation Sans">
    <w:altName w:val="Arial"/>
    <w:charset w:val="01"/>
    <w:family w:val="roman"/>
    <w:pitch w:val="variable"/>
  </w:font>
  <w:font w:name="Georgia">
    <w:charset w:val="01"/>
    <w:family w:val="roman"/>
    <w:pitch w:val="variable"/>
  </w:font>
  <w:font w:name="Times New Roman">
    <w:charset w:val="01"/>
    <w:family w:val="roman"/>
    <w:pitch w:val="default"/>
  </w:font>
  <w:font w:name="Courier New">
    <w:charset w:val="01"/>
    <w:family w:val="modern"/>
    <w:pitch w:val="fixed"/>
  </w:font>
  <w:font w:name="Noto Sans Symbols">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left" w:pos="8460" w:leader="none"/>
      </w:tabs>
      <w:rPr>
        <w:sz w:val="20"/>
        <w:szCs w:val="20"/>
      </w:rPr>
    </w:pPr>
    <w:r>
      <w:rPr>
        <w:b/>
        <w:sz w:val="20"/>
        <w:szCs w:val="20"/>
      </w:rPr>
      <w:t>BM-15-XCG-01-07</w:t>
    </w:r>
    <w:r>
      <w:rPr>
        <w:sz w:val="20"/>
        <w:szCs w:val="20"/>
      </w:rPr>
      <w:tab/>
      <w:t xml:space="preserve">         Trang </w:t>
    </w:r>
    <w:r>
      <w:rPr/>
      <w:fldChar w:fldCharType="begin"/>
    </w:r>
    <w:r>
      <w:rPr/>
      <w:instrText xml:space="preserve"> PAGE </w:instrText>
    </w:r>
    <w:r>
      <w:rPr/>
      <w:fldChar w:fldCharType="separate"/>
    </w:r>
    <w:r>
      <w:rPr/>
      <w:t>7</w:t>
    </w:r>
    <w:r>
      <w:rPr/>
      <w:fldChar w:fldCharType="end"/>
    </w:r>
    <w:r>
      <w:rPr>
        <w:sz w:val="20"/>
        <w:szCs w:val="20"/>
      </w:rPr>
      <w:t xml:space="preserve"> / </w:t>
    </w:r>
    <w:r>
      <w:rPr/>
      <w:fldChar w:fldCharType="begin"/>
    </w:r>
    <w:r>
      <w:rPr/>
      <w:instrText xml:space="preserve"> NUMPAGES </w:instrText>
    </w:r>
    <w:r>
      <w:rPr/>
      <w:fldChar w:fldCharType="separate"/>
    </w:r>
    <w:r>
      <w:rPr/>
      <w:t>7</w:t>
    </w:r>
    <w:r>
      <w:rPr/>
      <w:fldChar w:fldCharType="end"/>
    </w:r>
  </w:p>
  <w:p>
    <w:pPr>
      <w:pStyle w:val="normal1"/>
      <w:rPr>
        <w:sz w:val="20"/>
        <w:szCs w:val="20"/>
      </w:rPr>
    </w:pPr>
    <w:r>
      <w:rPr>
        <w:sz w:val="20"/>
        <w:szCs w:val="2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left" w:pos="8460" w:leader="none"/>
      </w:tabs>
      <w:rPr>
        <w:sz w:val="20"/>
        <w:szCs w:val="20"/>
      </w:rPr>
    </w:pPr>
    <w:r>
      <w:rPr>
        <w:b/>
        <w:sz w:val="20"/>
        <w:szCs w:val="20"/>
      </w:rPr>
      <w:t>BM-15-XCG-01-07</w:t>
    </w:r>
    <w:r>
      <w:rPr>
        <w:sz w:val="20"/>
        <w:szCs w:val="20"/>
      </w:rPr>
      <w:tab/>
      <w:t xml:space="preserve">         Trang </w:t>
    </w:r>
    <w:r>
      <w:rPr/>
      <w:fldChar w:fldCharType="begin"/>
    </w:r>
    <w:r>
      <w:rPr/>
      <w:instrText xml:space="preserve"> PAGE </w:instrText>
    </w:r>
    <w:r>
      <w:rPr/>
      <w:fldChar w:fldCharType="separate"/>
    </w:r>
    <w:r>
      <w:rPr/>
      <w:t>7</w:t>
    </w:r>
    <w:r>
      <w:rPr/>
      <w:fldChar w:fldCharType="end"/>
    </w:r>
    <w:r>
      <w:rPr>
        <w:sz w:val="20"/>
        <w:szCs w:val="20"/>
      </w:rPr>
      <w:t xml:space="preserve"> / </w:t>
    </w:r>
    <w:r>
      <w:rPr/>
      <w:fldChar w:fldCharType="begin"/>
    </w:r>
    <w:r>
      <w:rPr/>
      <w:instrText xml:space="preserve"> NUMPAGES </w:instrText>
    </w:r>
    <w:r>
      <w:rPr/>
      <w:fldChar w:fldCharType="separate"/>
    </w:r>
    <w:r>
      <w:rPr/>
      <w:t>7</w:t>
    </w:r>
    <w:r>
      <w:rPr/>
      <w:fldChar w:fldCharType="end"/>
    </w:r>
  </w:p>
  <w:p>
    <w:pPr>
      <w:pStyle w:val="normal1"/>
      <w:rPr>
        <w:sz w:val="20"/>
        <w:szCs w:val="20"/>
      </w:rPr>
    </w:pPr>
    <w:r>
      <w:rPr>
        <w:sz w:val="20"/>
        <w:szCs w:val="2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680" w:leader="none"/>
        <w:tab w:val="right" w:pos="9360" w:leader="none"/>
      </w:tabs>
      <w:spacing w:lineRule="auto" w:line="240" w:before="0" w:after="0"/>
      <w:ind w:hanging="0" w:left="0" w:right="0"/>
      <w:jc w:val="righ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680" w:leader="none"/>
        <w:tab w:val="right" w:pos="9360" w:leader="none"/>
      </w:tabs>
      <w:spacing w:lineRule="auto" w:line="240" w:before="0" w:after="0"/>
      <w:ind w:hanging="0" w:left="0" w:right="0"/>
      <w:jc w:val="righ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Điều %1."/>
      <w:lvlJc w:val="left"/>
      <w:pPr>
        <w:tabs>
          <w:tab w:val="num" w:pos="0"/>
        </w:tabs>
        <w:ind w:left="1080" w:hanging="360"/>
      </w:pPr>
      <w:rPr>
        <w:u w:val="single"/>
        <w:b/>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2">
    <w:lvl w:ilvl="0">
      <w:numFmt w:val="bullet"/>
      <w:lvlText w:val="-"/>
      <w:lvlJc w:val="left"/>
      <w:pPr>
        <w:tabs>
          <w:tab w:val="num" w:pos="0"/>
        </w:tabs>
        <w:ind w:left="1440" w:hanging="360"/>
      </w:pPr>
      <w:rPr>
        <w:rFonts w:ascii="Times New Roman" w:hAnsi="Times New Roman" w:cs="Times New Roman" w:hint="default"/>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3">
    <w:lvl w:ilvl="0">
      <w:start w:val="3"/>
      <w:numFmt w:val="decimal"/>
      <w:lvlText w:val="%1"/>
      <w:lvlJc w:val="left"/>
      <w:pPr>
        <w:tabs>
          <w:tab w:val="num" w:pos="0"/>
        </w:tabs>
        <w:ind w:left="360" w:hanging="360"/>
      </w:pPr>
      <w:rPr/>
    </w:lvl>
    <w:lvl w:ilvl="1">
      <w:start w:val="1"/>
      <w:numFmt w:val="decimal"/>
      <w:lvlText w:val="%1.%2"/>
      <w:lvlJc w:val="left"/>
      <w:pPr>
        <w:tabs>
          <w:tab w:val="num" w:pos="0"/>
        </w:tabs>
        <w:ind w:left="1152" w:hanging="360"/>
      </w:pPr>
      <w:rPr>
        <w:b/>
      </w:rPr>
    </w:lvl>
    <w:lvl w:ilvl="2">
      <w:start w:val="1"/>
      <w:numFmt w:val="decimal"/>
      <w:lvlText w:val="%1.%2.%3"/>
      <w:lvlJc w:val="left"/>
      <w:pPr>
        <w:tabs>
          <w:tab w:val="num" w:pos="0"/>
        </w:tabs>
        <w:ind w:left="2304" w:hanging="720"/>
      </w:pPr>
      <w:rPr/>
    </w:lvl>
    <w:lvl w:ilvl="3">
      <w:start w:val="1"/>
      <w:numFmt w:val="decimal"/>
      <w:lvlText w:val="%1.%2.%3.%4"/>
      <w:lvlJc w:val="left"/>
      <w:pPr>
        <w:tabs>
          <w:tab w:val="num" w:pos="0"/>
        </w:tabs>
        <w:ind w:left="3096" w:hanging="720"/>
      </w:pPr>
      <w:rPr/>
    </w:lvl>
    <w:lvl w:ilvl="4">
      <w:start w:val="1"/>
      <w:numFmt w:val="decimal"/>
      <w:lvlText w:val="%1.%2.%3.%4.%5"/>
      <w:lvlJc w:val="left"/>
      <w:pPr>
        <w:tabs>
          <w:tab w:val="num" w:pos="0"/>
        </w:tabs>
        <w:ind w:left="4248" w:hanging="1080"/>
      </w:pPr>
      <w:rPr/>
    </w:lvl>
    <w:lvl w:ilvl="5">
      <w:start w:val="1"/>
      <w:numFmt w:val="decimal"/>
      <w:lvlText w:val="%1.%2.%3.%4.%5.%6"/>
      <w:lvlJc w:val="left"/>
      <w:pPr>
        <w:tabs>
          <w:tab w:val="num" w:pos="0"/>
        </w:tabs>
        <w:ind w:left="5040" w:hanging="1080"/>
      </w:pPr>
      <w:rPr/>
    </w:lvl>
    <w:lvl w:ilvl="6">
      <w:start w:val="1"/>
      <w:numFmt w:val="decimal"/>
      <w:lvlText w:val="%1.%2.%3.%4.%5.%6.%7"/>
      <w:lvlJc w:val="left"/>
      <w:pPr>
        <w:tabs>
          <w:tab w:val="num" w:pos="0"/>
        </w:tabs>
        <w:ind w:left="6192" w:hanging="1440"/>
      </w:pPr>
      <w:rPr/>
    </w:lvl>
    <w:lvl w:ilvl="7">
      <w:start w:val="1"/>
      <w:numFmt w:val="decimal"/>
      <w:lvlText w:val="%1.%2.%3.%4.%5.%6.%7.%8"/>
      <w:lvlJc w:val="left"/>
      <w:pPr>
        <w:tabs>
          <w:tab w:val="num" w:pos="0"/>
        </w:tabs>
        <w:ind w:left="6984" w:hanging="1440"/>
      </w:pPr>
      <w:rPr/>
    </w:lvl>
    <w:lvl w:ilvl="8">
      <w:start w:val="1"/>
      <w:numFmt w:val="decimal"/>
      <w:lvlText w:val="%1.%2.%3.%4.%5.%6.%7.%8.%9"/>
      <w:lvlJc w:val="left"/>
      <w:pPr>
        <w:tabs>
          <w:tab w:val="num" w:pos="0"/>
        </w:tabs>
        <w:ind w:left="8136" w:hanging="1800"/>
      </w:pPr>
      <w:rPr/>
    </w:lvl>
  </w:abstractNum>
  <w:abstractNum w:abstractNumId="4">
    <w:lvl w:ilvl="0">
      <w:start w:val="4"/>
      <w:numFmt w:val="decimal"/>
      <w:lvlText w:val="%1"/>
      <w:lvlJc w:val="left"/>
      <w:pPr>
        <w:tabs>
          <w:tab w:val="num" w:pos="0"/>
        </w:tabs>
        <w:ind w:left="360" w:hanging="360"/>
      </w:pPr>
      <w:rPr/>
    </w:lvl>
    <w:lvl w:ilvl="1">
      <w:start w:val="1"/>
      <w:numFmt w:val="decimal"/>
      <w:lvlText w:val="%1.%2"/>
      <w:lvlJc w:val="left"/>
      <w:pPr>
        <w:tabs>
          <w:tab w:val="num" w:pos="0"/>
        </w:tabs>
        <w:ind w:left="720" w:hanging="360"/>
      </w:pPr>
      <w:rPr/>
    </w:lvl>
    <w:lvl w:ilvl="2">
      <w:start w:val="1"/>
      <w:numFmt w:val="decimal"/>
      <w:lvlText w:val="%1.%2.%3"/>
      <w:lvlJc w:val="left"/>
      <w:pPr>
        <w:tabs>
          <w:tab w:val="num" w:pos="0"/>
        </w:tabs>
        <w:ind w:left="1440" w:hanging="720"/>
      </w:pPr>
      <w:rPr/>
    </w:lvl>
    <w:lvl w:ilvl="3">
      <w:start w:val="1"/>
      <w:numFmt w:val="decimal"/>
      <w:lvlText w:val="%1.%2.%3.%4"/>
      <w:lvlJc w:val="left"/>
      <w:pPr>
        <w:tabs>
          <w:tab w:val="num" w:pos="0"/>
        </w:tabs>
        <w:ind w:left="1800" w:hanging="720"/>
      </w:pPr>
      <w:rPr/>
    </w:lvl>
    <w:lvl w:ilvl="4">
      <w:start w:val="1"/>
      <w:numFmt w:val="decimal"/>
      <w:lvlText w:val="%1.%2.%3.%4.%5"/>
      <w:lvlJc w:val="left"/>
      <w:pPr>
        <w:tabs>
          <w:tab w:val="num" w:pos="0"/>
        </w:tabs>
        <w:ind w:left="2520" w:hanging="1080"/>
      </w:pPr>
      <w:rPr/>
    </w:lvl>
    <w:lvl w:ilvl="5">
      <w:start w:val="1"/>
      <w:numFmt w:val="decimal"/>
      <w:lvlText w:val="%1.%2.%3.%4.%5.%6"/>
      <w:lvlJc w:val="left"/>
      <w:pPr>
        <w:tabs>
          <w:tab w:val="num" w:pos="0"/>
        </w:tabs>
        <w:ind w:left="2880" w:hanging="1080"/>
      </w:pPr>
      <w:rPr/>
    </w:lvl>
    <w:lvl w:ilvl="6">
      <w:start w:val="1"/>
      <w:numFmt w:val="decimal"/>
      <w:lvlText w:val="%1.%2.%3.%4.%5.%6.%7"/>
      <w:lvlJc w:val="left"/>
      <w:pPr>
        <w:tabs>
          <w:tab w:val="num" w:pos="0"/>
        </w:tabs>
        <w:ind w:left="3600" w:hanging="1440"/>
      </w:pPr>
      <w:rPr/>
    </w:lvl>
    <w:lvl w:ilvl="7">
      <w:start w:val="1"/>
      <w:numFmt w:val="decimal"/>
      <w:lvlText w:val="%1.%2.%3.%4.%5.%6.%7.%8"/>
      <w:lvlJc w:val="left"/>
      <w:pPr>
        <w:tabs>
          <w:tab w:val="num" w:pos="0"/>
        </w:tabs>
        <w:ind w:left="3960" w:hanging="1440"/>
      </w:pPr>
      <w:rPr/>
    </w:lvl>
    <w:lvl w:ilvl="8">
      <w:start w:val="1"/>
      <w:numFmt w:val="decimal"/>
      <w:lvlText w:val="%1.%2.%3.%4.%5.%6.%7.%8.%9"/>
      <w:lvlJc w:val="left"/>
      <w:pPr>
        <w:tabs>
          <w:tab w:val="num" w:pos="0"/>
        </w:tabs>
        <w:ind w:left="4680" w:hanging="1800"/>
      </w:pPr>
      <w:rPr/>
    </w:lvl>
  </w:abstractNum>
  <w:abstractNum w:abstractNumId="5">
    <w:lvl w:ilvl="0">
      <w:numFmt w:val="bullet"/>
      <w:lvlText w:val="-"/>
      <w:lvlJc w:val="left"/>
      <w:pPr>
        <w:tabs>
          <w:tab w:val="num" w:pos="0"/>
        </w:tabs>
        <w:ind w:left="1440" w:hanging="360"/>
      </w:pPr>
      <w:rPr>
        <w:rFonts w:ascii="Times New Roman" w:hAnsi="Times New Roman" w:cs="Times New Roman" w:hint="default"/>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6">
    <w:lvl w:ilvl="0">
      <w:start w:val="6"/>
      <w:numFmt w:val="decimal"/>
      <w:lvlText w:val="%1"/>
      <w:lvlJc w:val="left"/>
      <w:pPr>
        <w:tabs>
          <w:tab w:val="num" w:pos="0"/>
        </w:tabs>
        <w:ind w:left="360" w:hanging="360"/>
      </w:pPr>
      <w:rPr/>
    </w:lvl>
    <w:lvl w:ilvl="1">
      <w:start w:val="1"/>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720" w:hanging="72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080" w:hanging="108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800" w:hanging="1800"/>
      </w:pPr>
      <w:rPr/>
    </w:lvl>
  </w:abstractNum>
  <w:abstractNum w:abstractNumId="7">
    <w:lvl w:ilvl="0">
      <w:start w:val="7"/>
      <w:numFmt w:val="decimal"/>
      <w:lvlText w:val="%1."/>
      <w:lvlJc w:val="left"/>
      <w:pPr>
        <w:tabs>
          <w:tab w:val="num" w:pos="0"/>
        </w:tabs>
        <w:ind w:left="360" w:hanging="360"/>
      </w:pPr>
      <w:rPr/>
    </w:lvl>
    <w:lvl w:ilvl="1">
      <w:start w:val="1"/>
      <w:numFmt w:val="decimal"/>
      <w:lvlText w:val="%1.%2."/>
      <w:lvlJc w:val="left"/>
      <w:pPr>
        <w:tabs>
          <w:tab w:val="num" w:pos="0"/>
        </w:tabs>
        <w:ind w:left="1800" w:hanging="360"/>
      </w:pPr>
      <w:rPr>
        <w:b/>
      </w:rPr>
    </w:lvl>
    <w:lvl w:ilvl="2">
      <w:start w:val="1"/>
      <w:numFmt w:val="decimal"/>
      <w:lvlText w:val="%1.%2.%3."/>
      <w:lvlJc w:val="left"/>
      <w:pPr>
        <w:tabs>
          <w:tab w:val="num" w:pos="0"/>
        </w:tabs>
        <w:ind w:left="3600" w:hanging="720"/>
      </w:pPr>
      <w:rPr/>
    </w:lvl>
    <w:lvl w:ilvl="3">
      <w:start w:val="1"/>
      <w:numFmt w:val="decimal"/>
      <w:lvlText w:val="%1.%2.%3.%4."/>
      <w:lvlJc w:val="left"/>
      <w:pPr>
        <w:tabs>
          <w:tab w:val="num" w:pos="0"/>
        </w:tabs>
        <w:ind w:left="5040" w:hanging="720"/>
      </w:pPr>
      <w:rPr/>
    </w:lvl>
    <w:lvl w:ilvl="4">
      <w:start w:val="1"/>
      <w:numFmt w:val="decimal"/>
      <w:lvlText w:val="%1.%2.%3.%4.%5."/>
      <w:lvlJc w:val="left"/>
      <w:pPr>
        <w:tabs>
          <w:tab w:val="num" w:pos="0"/>
        </w:tabs>
        <w:ind w:left="6840" w:hanging="1080"/>
      </w:pPr>
      <w:rPr/>
    </w:lvl>
    <w:lvl w:ilvl="5">
      <w:start w:val="1"/>
      <w:numFmt w:val="decimal"/>
      <w:lvlText w:val="%1.%2.%3.%4.%5.%6."/>
      <w:lvlJc w:val="left"/>
      <w:pPr>
        <w:tabs>
          <w:tab w:val="num" w:pos="0"/>
        </w:tabs>
        <w:ind w:left="8280" w:hanging="1080"/>
      </w:pPr>
      <w:rPr/>
    </w:lvl>
    <w:lvl w:ilvl="6">
      <w:start w:val="1"/>
      <w:numFmt w:val="decimal"/>
      <w:lvlText w:val="%1.%2.%3.%4.%5.%6.%7."/>
      <w:lvlJc w:val="left"/>
      <w:pPr>
        <w:tabs>
          <w:tab w:val="num" w:pos="0"/>
        </w:tabs>
        <w:ind w:left="10080" w:hanging="1440"/>
      </w:pPr>
      <w:rPr/>
    </w:lvl>
    <w:lvl w:ilvl="7">
      <w:start w:val="1"/>
      <w:numFmt w:val="decimal"/>
      <w:lvlText w:val="%1.%2.%3.%4.%5.%6.%7.%8."/>
      <w:lvlJc w:val="left"/>
      <w:pPr>
        <w:tabs>
          <w:tab w:val="num" w:pos="0"/>
        </w:tabs>
        <w:ind w:left="11520" w:hanging="1440"/>
      </w:pPr>
      <w:rPr/>
    </w:lvl>
    <w:lvl w:ilvl="8">
      <w:start w:val="1"/>
      <w:numFmt w:val="decimal"/>
      <w:lvlText w:val="%1.%2.%3.%4.%5.%6.%7.%8.%9."/>
      <w:lvlJc w:val="left"/>
      <w:pPr>
        <w:tabs>
          <w:tab w:val="num" w:pos="0"/>
        </w:tabs>
        <w:ind w:left="13320" w:hanging="1800"/>
      </w:pPr>
      <w:rPr/>
    </w:lvl>
  </w:abstractNum>
  <w:abstractNum w:abstractNumId="8">
    <w:lvl w:ilvl="0">
      <w:start w:val="1"/>
      <w:numFmt w:val="lowerLetter"/>
      <w:lvlText w:val="%1)"/>
      <w:lvlJc w:val="left"/>
      <w:pPr>
        <w:tabs>
          <w:tab w:val="num" w:pos="0"/>
        </w:tabs>
        <w:ind w:left="900" w:hanging="360"/>
      </w:pPr>
      <w:rPr/>
    </w:lvl>
    <w:lvl w:ilvl="1">
      <w:start w:val="1"/>
      <w:numFmt w:val="lowerLetter"/>
      <w:lvlText w:val="%2."/>
      <w:lvlJc w:val="left"/>
      <w:pPr>
        <w:tabs>
          <w:tab w:val="num" w:pos="0"/>
        </w:tabs>
        <w:ind w:left="1620" w:hanging="360"/>
      </w:pPr>
      <w:rPr/>
    </w:lvl>
    <w:lvl w:ilvl="2">
      <w:start w:val="1"/>
      <w:numFmt w:val="lowerRoman"/>
      <w:lvlText w:val="%3."/>
      <w:lvlJc w:val="right"/>
      <w:pPr>
        <w:tabs>
          <w:tab w:val="num" w:pos="0"/>
        </w:tabs>
        <w:ind w:left="2340" w:hanging="180"/>
      </w:pPr>
      <w:rPr/>
    </w:lvl>
    <w:lvl w:ilvl="3">
      <w:start w:val="1"/>
      <w:numFmt w:val="decimal"/>
      <w:lvlText w:val="%4."/>
      <w:lvlJc w:val="left"/>
      <w:pPr>
        <w:tabs>
          <w:tab w:val="num" w:pos="0"/>
        </w:tabs>
        <w:ind w:left="3060" w:hanging="360"/>
      </w:pPr>
      <w:rPr/>
    </w:lvl>
    <w:lvl w:ilvl="4">
      <w:start w:val="1"/>
      <w:numFmt w:val="lowerLetter"/>
      <w:lvlText w:val="%5."/>
      <w:lvlJc w:val="left"/>
      <w:pPr>
        <w:tabs>
          <w:tab w:val="num" w:pos="0"/>
        </w:tabs>
        <w:ind w:left="3780" w:hanging="360"/>
      </w:pPr>
      <w:rPr/>
    </w:lvl>
    <w:lvl w:ilvl="5">
      <w:start w:val="1"/>
      <w:numFmt w:val="lowerRoman"/>
      <w:lvlText w:val="%6."/>
      <w:lvlJc w:val="right"/>
      <w:pPr>
        <w:tabs>
          <w:tab w:val="num" w:pos="0"/>
        </w:tabs>
        <w:ind w:left="4500" w:hanging="180"/>
      </w:pPr>
      <w:rPr/>
    </w:lvl>
    <w:lvl w:ilvl="6">
      <w:start w:val="1"/>
      <w:numFmt w:val="decimal"/>
      <w:lvlText w:val="%7."/>
      <w:lvlJc w:val="left"/>
      <w:pPr>
        <w:tabs>
          <w:tab w:val="num" w:pos="0"/>
        </w:tabs>
        <w:ind w:left="5220" w:hanging="360"/>
      </w:pPr>
      <w:rPr/>
    </w:lvl>
    <w:lvl w:ilvl="7">
      <w:start w:val="1"/>
      <w:numFmt w:val="lowerLetter"/>
      <w:lvlText w:val="%8."/>
      <w:lvlJc w:val="left"/>
      <w:pPr>
        <w:tabs>
          <w:tab w:val="num" w:pos="0"/>
        </w:tabs>
        <w:ind w:left="5940" w:hanging="360"/>
      </w:pPr>
      <w:rPr/>
    </w:lvl>
    <w:lvl w:ilvl="8">
      <w:start w:val="1"/>
      <w:numFmt w:val="lowerRoman"/>
      <w:lvlText w:val="%9."/>
      <w:lvlJc w:val="right"/>
      <w:pPr>
        <w:tabs>
          <w:tab w:val="num" w:pos="0"/>
        </w:tabs>
        <w:ind w:left="6660" w:hanging="180"/>
      </w:pPr>
      <w:rPr/>
    </w:lvl>
  </w:abstractNum>
  <w:abstractNum w:abstractNumId="9">
    <w:lvl w:ilvl="0">
      <w:start w:val="1"/>
      <w:numFmt w:val="bullet"/>
      <w:lvlText w:val="-"/>
      <w:lvlJc w:val="left"/>
      <w:pPr>
        <w:tabs>
          <w:tab w:val="num" w:pos="0"/>
        </w:tabs>
        <w:ind w:left="1080" w:hanging="360"/>
      </w:pPr>
      <w:rPr>
        <w:rFonts w:ascii="Times New Roman" w:hAnsi="Times New Roman" w:cs="Times New Roman"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Noto Sans Symbols" w:hAnsi="Noto Sans Symbols" w:cs="Noto Sans Symbols" w:hint="default"/>
      </w:rPr>
    </w:lvl>
    <w:lvl w:ilvl="3">
      <w:start w:val="1"/>
      <w:numFmt w:val="bullet"/>
      <w:lvlText w:val="●"/>
      <w:lvlJc w:val="left"/>
      <w:pPr>
        <w:tabs>
          <w:tab w:val="num" w:pos="0"/>
        </w:tabs>
        <w:ind w:left="3240" w:hanging="360"/>
      </w:pPr>
      <w:rPr>
        <w:rFonts w:ascii="Noto Sans Symbols" w:hAnsi="Noto Sans Symbols" w:cs="Noto Sans Symbols"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Noto Sans Symbols" w:hAnsi="Noto Sans Symbols" w:cs="Noto Sans Symbols" w:hint="default"/>
      </w:rPr>
    </w:lvl>
    <w:lvl w:ilvl="6">
      <w:start w:val="1"/>
      <w:numFmt w:val="bullet"/>
      <w:lvlText w:val="●"/>
      <w:lvlJc w:val="left"/>
      <w:pPr>
        <w:tabs>
          <w:tab w:val="num" w:pos="0"/>
        </w:tabs>
        <w:ind w:left="5400" w:hanging="360"/>
      </w:pPr>
      <w:rPr>
        <w:rFonts w:ascii="Noto Sans Symbols" w:hAnsi="Noto Sans Symbols" w:cs="Noto Sans Symbols"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Noto Sans Symbols" w:hAnsi="Noto Sans Symbols" w:cs="Noto Sans Symbols" w:hint="default"/>
      </w:rPr>
    </w:lvl>
  </w:abstractNum>
  <w:abstractNum w:abstractNumId="10">
    <w:lvl w:ilvl="0">
      <w:start w:val="1"/>
      <w:numFmt w:val="lowerLetter"/>
      <w:lvlText w:val="%1)"/>
      <w:lvlJc w:val="left"/>
      <w:pPr>
        <w:tabs>
          <w:tab w:val="num" w:pos="0"/>
        </w:tabs>
        <w:ind w:left="1260" w:hanging="360"/>
      </w:pPr>
      <w:rPr/>
    </w:lvl>
    <w:lvl w:ilvl="1">
      <w:start w:val="1"/>
      <w:numFmt w:val="lowerLetter"/>
      <w:lvlText w:val="%2)"/>
      <w:lvlJc w:val="left"/>
      <w:pPr>
        <w:tabs>
          <w:tab w:val="num" w:pos="0"/>
        </w:tabs>
        <w:ind w:left="1980" w:hanging="360"/>
      </w:pPr>
      <w:rPr/>
    </w:lvl>
    <w:lvl w:ilvl="2">
      <w:start w:val="1"/>
      <w:numFmt w:val="lowerRoman"/>
      <w:lvlText w:val="%3."/>
      <w:lvlJc w:val="right"/>
      <w:pPr>
        <w:tabs>
          <w:tab w:val="num" w:pos="0"/>
        </w:tabs>
        <w:ind w:left="2700" w:hanging="180"/>
      </w:pPr>
      <w:rPr/>
    </w:lvl>
    <w:lvl w:ilvl="3">
      <w:start w:val="1"/>
      <w:numFmt w:val="decimal"/>
      <w:lvlText w:val="%4."/>
      <w:lvlJc w:val="left"/>
      <w:pPr>
        <w:tabs>
          <w:tab w:val="num" w:pos="0"/>
        </w:tabs>
        <w:ind w:left="3420" w:hanging="360"/>
      </w:pPr>
      <w:rPr/>
    </w:lvl>
    <w:lvl w:ilvl="4">
      <w:start w:val="1"/>
      <w:numFmt w:val="lowerLetter"/>
      <w:lvlText w:val="%5."/>
      <w:lvlJc w:val="left"/>
      <w:pPr>
        <w:tabs>
          <w:tab w:val="num" w:pos="0"/>
        </w:tabs>
        <w:ind w:left="4140" w:hanging="360"/>
      </w:pPr>
      <w:rPr/>
    </w:lvl>
    <w:lvl w:ilvl="5">
      <w:start w:val="1"/>
      <w:numFmt w:val="lowerRoman"/>
      <w:lvlText w:val="%6."/>
      <w:lvlJc w:val="right"/>
      <w:pPr>
        <w:tabs>
          <w:tab w:val="num" w:pos="0"/>
        </w:tabs>
        <w:ind w:left="4860" w:hanging="180"/>
      </w:pPr>
      <w:rPr/>
    </w:lvl>
    <w:lvl w:ilvl="6">
      <w:start w:val="1"/>
      <w:numFmt w:val="decimal"/>
      <w:lvlText w:val="%7."/>
      <w:lvlJc w:val="left"/>
      <w:pPr>
        <w:tabs>
          <w:tab w:val="num" w:pos="0"/>
        </w:tabs>
        <w:ind w:left="5580" w:hanging="360"/>
      </w:pPr>
      <w:rPr/>
    </w:lvl>
    <w:lvl w:ilvl="7">
      <w:start w:val="1"/>
      <w:numFmt w:val="lowerLetter"/>
      <w:lvlText w:val="%8."/>
      <w:lvlJc w:val="left"/>
      <w:pPr>
        <w:tabs>
          <w:tab w:val="num" w:pos="0"/>
        </w:tabs>
        <w:ind w:left="6300" w:hanging="360"/>
      </w:pPr>
      <w:rPr/>
    </w:lvl>
    <w:lvl w:ilvl="8">
      <w:start w:val="1"/>
      <w:numFmt w:val="lowerRoman"/>
      <w:lvlText w:val="%9."/>
      <w:lvlJc w:val="right"/>
      <w:pPr>
        <w:tabs>
          <w:tab w:val="num" w:pos="0"/>
        </w:tabs>
        <w:ind w:left="7020" w:hanging="180"/>
      </w:pPr>
      <w:rPr/>
    </w:lvl>
  </w:abstractNum>
  <w:abstractNum w:abstractNumId="11">
    <w:lvl w:ilvl="0">
      <w:start w:val="11"/>
      <w:numFmt w:val="decimal"/>
      <w:lvlText w:val="%1."/>
      <w:lvlJc w:val="left"/>
      <w:pPr>
        <w:tabs>
          <w:tab w:val="num" w:pos="0"/>
        </w:tabs>
        <w:ind w:left="480" w:hanging="480"/>
      </w:pPr>
      <w:rPr/>
    </w:lvl>
    <w:lvl w:ilvl="1">
      <w:start w:val="1"/>
      <w:numFmt w:val="decimal"/>
      <w:lvlText w:val="%1.%2."/>
      <w:lvlJc w:val="left"/>
      <w:pPr>
        <w:tabs>
          <w:tab w:val="num" w:pos="0"/>
        </w:tabs>
        <w:ind w:left="1027" w:hanging="480"/>
      </w:pPr>
      <w:rPr>
        <w:b/>
      </w:rPr>
    </w:lvl>
    <w:lvl w:ilvl="2">
      <w:start w:val="1"/>
      <w:numFmt w:val="decimal"/>
      <w:lvlText w:val="%1.%2.%3."/>
      <w:lvlJc w:val="left"/>
      <w:pPr>
        <w:tabs>
          <w:tab w:val="num" w:pos="0"/>
        </w:tabs>
        <w:ind w:left="1814" w:hanging="720"/>
      </w:pPr>
      <w:rPr/>
    </w:lvl>
    <w:lvl w:ilvl="3">
      <w:start w:val="1"/>
      <w:numFmt w:val="decimal"/>
      <w:lvlText w:val="%1.%2.%3.%4."/>
      <w:lvlJc w:val="left"/>
      <w:pPr>
        <w:tabs>
          <w:tab w:val="num" w:pos="0"/>
        </w:tabs>
        <w:ind w:left="2361" w:hanging="720"/>
      </w:pPr>
      <w:rPr/>
    </w:lvl>
    <w:lvl w:ilvl="4">
      <w:start w:val="1"/>
      <w:numFmt w:val="decimal"/>
      <w:lvlText w:val="%1.%2.%3.%4.%5."/>
      <w:lvlJc w:val="left"/>
      <w:pPr>
        <w:tabs>
          <w:tab w:val="num" w:pos="0"/>
        </w:tabs>
        <w:ind w:left="3268" w:hanging="1080"/>
      </w:pPr>
      <w:rPr/>
    </w:lvl>
    <w:lvl w:ilvl="5">
      <w:start w:val="1"/>
      <w:numFmt w:val="decimal"/>
      <w:lvlText w:val="%1.%2.%3.%4.%5.%6."/>
      <w:lvlJc w:val="left"/>
      <w:pPr>
        <w:tabs>
          <w:tab w:val="num" w:pos="0"/>
        </w:tabs>
        <w:ind w:left="3815" w:hanging="1080"/>
      </w:pPr>
      <w:rPr/>
    </w:lvl>
    <w:lvl w:ilvl="6">
      <w:start w:val="1"/>
      <w:numFmt w:val="decimal"/>
      <w:lvlText w:val="%1.%2.%3.%4.%5.%6.%7."/>
      <w:lvlJc w:val="left"/>
      <w:pPr>
        <w:tabs>
          <w:tab w:val="num" w:pos="0"/>
        </w:tabs>
        <w:ind w:left="4722" w:hanging="1440"/>
      </w:pPr>
      <w:rPr/>
    </w:lvl>
    <w:lvl w:ilvl="7">
      <w:start w:val="1"/>
      <w:numFmt w:val="decimal"/>
      <w:lvlText w:val="%1.%2.%3.%4.%5.%6.%7.%8."/>
      <w:lvlJc w:val="left"/>
      <w:pPr>
        <w:tabs>
          <w:tab w:val="num" w:pos="0"/>
        </w:tabs>
        <w:ind w:left="5269" w:hanging="1440"/>
      </w:pPr>
      <w:rPr/>
    </w:lvl>
    <w:lvl w:ilvl="8">
      <w:start w:val="1"/>
      <w:numFmt w:val="decimal"/>
      <w:lvlText w:val="%1.%2.%3.%4.%5.%6.%7.%8.%9."/>
      <w:lvlJc w:val="left"/>
      <w:pPr>
        <w:tabs>
          <w:tab w:val="num" w:pos="0"/>
        </w:tabs>
        <w:ind w:left="6176" w:hanging="1800"/>
      </w:pPr>
      <w:rPr/>
    </w:lvl>
  </w:abstractNum>
  <w:abstractNum w:abstractNumId="12">
    <w:lvl w:ilvl="0">
      <w:start w:val="1"/>
      <w:numFmt w:val="lowerLetter"/>
      <w:lvlText w:val="%1)"/>
      <w:lvlJc w:val="left"/>
      <w:pPr>
        <w:tabs>
          <w:tab w:val="num" w:pos="0"/>
        </w:tabs>
        <w:ind w:left="360" w:hanging="360"/>
      </w:pPr>
      <w:rPr>
        <w:sz w:val="24"/>
        <w:szCs w:val="24"/>
        <w:rFonts w:ascii="Times New Roman" w:hAnsi="Times New Roman" w:eastAsia="Times New Roman" w:cs="Times New Roman"/>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3">
    <w:lvl w:ilvl="0">
      <w:start w:val="1"/>
      <w:numFmt w:val="lowerLetter"/>
      <w:lvlText w:val="%1)"/>
      <w:lvlJc w:val="left"/>
      <w:pPr>
        <w:tabs>
          <w:tab w:val="num" w:pos="0"/>
        </w:tabs>
        <w:ind w:left="360" w:hanging="360"/>
      </w:pPr>
      <w:rPr>
        <w:sz w:val="24"/>
        <w:szCs w:val="24"/>
        <w:rFonts w:ascii="Times New Roman" w:hAnsi="Times New Roman" w:eastAsia="Times New Roman" w:cs="Times New Roman"/>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
  <w:themeFontLang w:val="zh-CN" w:eastAsia="zh-CN"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semiHidden="0" w:unhideWhenUsed="0" w:qFormat="1"/>
    <w:lsdException w:name="heading 3" w:uiPriority="0" w:semiHidden="0" w:unhideWhenUsed="0" w:qFormat="1"/>
    <w:lsdException w:name="heading 4" w:uiPriority="0" w:semiHidden="0" w:unhideWhenUsed="0" w:qFormat="1"/>
    <w:lsdException w:name="heading 5" w:uiPriority="0" w:semiHidden="0" w:unhideWhenUsed="0" w:qFormat="1"/>
    <w:lsdException w:name="heading 6" w:uiPriority="0" w:semiHidden="0" w:unhideWhenUsed="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lsdException w:name="toc 2" w:uiPriority="0" w:semiHidden="0" w:unhideWhenUsed="0"/>
    <w:lsdException w:name="toc 3" w:uiPriority="0" w:semiHidden="0" w:unhideWhenUsed="0"/>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lsdException w:name="annotation text" w:uiPriority="0" w:semiHidden="0" w:unhideWhenUsed="0" w:qFormat="1"/>
    <w:lsdException w:name="header" w:uiPriority="0" w:semiHidden="0" w:unhideWhenUsed="0" w:qFormat="1"/>
    <w:lsdException w:name="footer" w:uiPriority="99" w:semiHidden="0" w:unhideWhenUsed="0" w:qFormat="1"/>
    <w:lsdException w:name="index heading" w:uiPriority="0" w:semiHidden="0" w:unhideWhenUsed="0"/>
    <w:lsdException w:name="caption" w:uiPriority="0" w:semiHidden="0" w:unhideWhenUsed="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qFormat="1"/>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qFormat="1"/>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1" w:qFormat="1"/>
    <w:lsdException w:name="Body Text" w:uiPriority="0" w:semiHidden="0" w:unhideWhenUsed="0" w:qFormat="1"/>
    <w:lsdException w:name="Body Text Indent" w:uiPriority="0" w:semiHidden="0" w:unhideWhenUsed="0" w:qFormat="1"/>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0" w:semiHidden="0" w:unhideWhenUsed="0" w:qFormat="1"/>
    <w:lsdException w:name="FollowedHyperlink" w:uiPriority="0" w:semiHidden="0" w:unhideWhenUsed="0" w:qFormat="1"/>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99" w:qFormat="1"/>
    <w:lsdException w:name="annotation subject" w:uiPriority="0" w:qFormat="1"/>
    <w:lsdException w:name="Table Simple 1" w:uiPriority="0" w:semiHidden="0" w:unhideWhenUsed="0"/>
    <w:lsdException w:name="Table Simple 2" w:uiPriority="0" w:semiHidden="0" w:unhideWhenUsed="0"/>
    <w:lsdException w:name="Table Simple 3" w:uiPriority="0" w:semiHidden="0" w:unhideWhenUsed="0"/>
    <w:lsdException w:name="Table Classic 1" w:uiPriority="0" w:semiHidden="0" w:unhideWhenUsed="0"/>
    <w:lsdException w:name="Table Classic 2" w:uiPriority="0" w:semiHidden="0" w:unhideWhenUsed="0"/>
    <w:lsdException w:name="Table Classic 3" w:uiPriority="0" w:semiHidden="0" w:unhideWhenUsed="0"/>
    <w:lsdException w:name="Table Classic 4" w:uiPriority="0" w:semiHidden="0" w:unhideWhenUsed="0"/>
    <w:lsdException w:name="Table Colorful 1" w:uiPriority="0" w:semiHidden="0" w:unhideWhenUsed="0"/>
    <w:lsdException w:name="Table Colorful 2" w:uiPriority="0" w:semiHidden="0" w:unhideWhenUsed="0"/>
    <w:lsdException w:name="Table Colorful 3" w:uiPriority="0" w:semiHidden="0" w:unhideWhenUsed="0"/>
    <w:lsdException w:name="Table Columns 1" w:uiPriority="0" w:semiHidden="0" w:unhideWhenUsed="0"/>
    <w:lsdException w:name="Table Columns 2" w:uiPriority="0" w:semiHidden="0" w:unhideWhenUsed="0"/>
    <w:lsdException w:name="Table Columns 3" w:uiPriority="0" w:semiHidden="0" w:unhideWhenUsed="0"/>
    <w:lsdException w:name="Table Columns 4" w:uiPriority="0" w:semiHidden="0" w:unhideWhenUsed="0"/>
    <w:lsdException w:name="Table Columns 5" w:uiPriority="0" w:semiHidden="0" w:unhideWhenUsed="0"/>
    <w:lsdException w:name="Table Grid 1" w:uiPriority="0" w:semiHidden="0" w:unhideWhenUsed="0"/>
    <w:lsdException w:name="Table Grid 2" w:uiPriority="0" w:semiHidden="0" w:unhideWhenUsed="0"/>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lsdException w:name="Table Grid 8" w:uiPriority="0" w:semiHidden="0" w:unhideWhenUsed="0"/>
    <w:lsdException w:name="Table List 1" w:uiPriority="0" w:semiHidden="0" w:unhideWhenUsed="0"/>
    <w:lsdException w:name="Table List 2" w:uiPriority="0" w:semiHidden="0" w:unhideWhenUsed="0"/>
    <w:lsdException w:name="Table List 3" w:uiPriority="0" w:semiHidden="0" w:unhideWhenUsed="0"/>
    <w:lsdException w:name="Table List 4" w:uiPriority="0" w:semiHidden="0" w:unhideWhenUsed="0"/>
    <w:lsdException w:name="Table List 5" w:uiPriority="0" w:semiHidden="0" w:unhideWhenUsed="0"/>
    <w:lsdException w:name="Table List 6" w:uiPriority="0" w:semiHidden="0" w:unhideWhenUsed="0"/>
    <w:lsdException w:name="Table List 7" w:uiPriority="0" w:semiHidden="0" w:unhideWhenUsed="0"/>
    <w:lsdException w:name="Table List 8" w:uiPriority="0" w:semiHidden="0" w:unhideWhenUsed="0"/>
    <w:lsdException w:name="Table 3D effects 1" w:uiPriority="0" w:semiHidden="0" w:unhideWhenUsed="0"/>
    <w:lsdException w:name="Table 3D effects 2" w:uiPriority="0" w:semiHidden="0" w:unhideWhenUsed="0"/>
    <w:lsdException w:name="Table 3D effects 3" w:uiPriority="0" w:semiHidden="0" w:unhideWhenUsed="0"/>
    <w:lsdException w:name="Table Contemporary" w:uiPriority="0" w:semiHidden="0" w:unhideWhenUsed="0"/>
    <w:lsdException w:name="Table Elegant" w:uiPriority="0" w:semiHidden="0" w:unhideWhenUsed="0"/>
    <w:lsdException w:name="Table Professional" w:uiPriority="0" w:semiHidden="0" w:unhideWhenUsed="0"/>
    <w:lsdException w:name="Table Subtle 1" w:uiPriority="0" w:semiHidden="0" w:unhideWhenUsed="0"/>
    <w:lsdException w:name="Table Subtle 2" w:uiPriority="0" w:semiHidden="0" w:unhideWhenUsed="0"/>
    <w:lsdException w:name="Table Web 1" w:uiPriority="0" w:semiHidden="0" w:unhideWhenUsed="0"/>
    <w:lsdException w:name="Table Web 2" w:uiPriority="0" w:semiHidden="0" w:unhideWhenUsed="0"/>
    <w:lsdException w:name="Table Web 3" w:uiPriority="0" w:semiHidden="0" w:unhideWhenUsed="0"/>
    <w:lsdException w:name="Balloon Text" w:uiPriority="0" w:semiHidden="0" w:unhideWhenUsed="0" w:qFormat="1"/>
    <w:lsdException w:name="Table Grid" w:uiPriority="59" w:semiHidden="0" w:unhideWhenUsed="0" w:qFormat="1"/>
    <w:lsdException w:name="Table Theme" w:uiPriority="0" w:semiHidden="0" w:unhideWhenUsed="0"/>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34"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before="0" w:after="0"/>
      <w:jc w:val="left"/>
    </w:pPr>
    <w:rPr>
      <w:rFonts w:ascii="Times New Roman" w:hAnsi="Times New Roman" w:eastAsia="Noto Serif CJK SC" w:cs="Noto Sans Devanagari"/>
      <w:color w:val="auto"/>
      <w:kern w:val="0"/>
      <w:sz w:val="24"/>
      <w:szCs w:val="24"/>
      <w:lang w:val="sv-SE" w:eastAsia="zh-CN" w:bidi="hi-IN"/>
    </w:rPr>
  </w:style>
  <w:style w:type="paragraph" w:styleId="Heading1">
    <w:name w:val="Heading 1"/>
    <w:basedOn w:val="normal1"/>
    <w:next w:val="normal1"/>
    <w:uiPriority w:val="0"/>
    <w:qFormat/>
    <w:pPr>
      <w:keepNext w:val="true"/>
      <w:keepLines/>
      <w:pageBreakBefore w:val="false"/>
      <w:spacing w:lineRule="auto" w:line="240" w:before="480" w:after="120"/>
    </w:pPr>
    <w:rPr>
      <w:b/>
      <w:sz w:val="48"/>
      <w:szCs w:val="48"/>
    </w:rPr>
  </w:style>
  <w:style w:type="paragraph" w:styleId="Heading2">
    <w:name w:val="Heading 2"/>
    <w:basedOn w:val="normal1"/>
    <w:next w:val="normal1"/>
    <w:uiPriority w:val="0"/>
    <w:qFormat/>
    <w:pPr>
      <w:keepNext w:val="true"/>
      <w:keepLines/>
      <w:pageBreakBefore w:val="false"/>
      <w:spacing w:lineRule="auto" w:line="240" w:before="360" w:after="80"/>
    </w:pPr>
    <w:rPr>
      <w:b/>
      <w:sz w:val="36"/>
      <w:szCs w:val="36"/>
    </w:rPr>
  </w:style>
  <w:style w:type="paragraph" w:styleId="Heading3">
    <w:name w:val="Heading 3"/>
    <w:basedOn w:val="normal1"/>
    <w:next w:val="normal1"/>
    <w:link w:val="Heading3Char"/>
    <w:uiPriority w:val="0"/>
    <w:qFormat/>
    <w:pPr>
      <w:keepNext w:val="true"/>
      <w:tabs>
        <w:tab w:val="left" w:pos="720" w:leader="none"/>
      </w:tabs>
      <w:spacing w:lineRule="auto" w:line="240" w:before="300" w:after="60"/>
      <w:jc w:val="center"/>
    </w:pPr>
    <w:rPr>
      <w:b/>
      <w:sz w:val="33"/>
      <w:szCs w:val="33"/>
    </w:rPr>
  </w:style>
  <w:style w:type="paragraph" w:styleId="Heading4">
    <w:name w:val="Heading 4"/>
    <w:basedOn w:val="normal1"/>
    <w:next w:val="normal1"/>
    <w:uiPriority w:val="0"/>
    <w:qFormat/>
    <w:pPr>
      <w:keepNext w:val="true"/>
      <w:keepLines/>
      <w:pageBreakBefore w:val="false"/>
      <w:spacing w:lineRule="auto" w:line="240" w:before="240" w:after="40"/>
    </w:pPr>
    <w:rPr>
      <w:b/>
      <w:sz w:val="24"/>
      <w:szCs w:val="24"/>
    </w:rPr>
  </w:style>
  <w:style w:type="paragraph" w:styleId="Heading5">
    <w:name w:val="Heading 5"/>
    <w:basedOn w:val="normal1"/>
    <w:next w:val="normal1"/>
    <w:uiPriority w:val="0"/>
    <w:qFormat/>
    <w:pPr>
      <w:keepNext w:val="true"/>
      <w:keepLines/>
      <w:pageBreakBefore w:val="false"/>
      <w:spacing w:lineRule="auto" w:line="240" w:before="220" w:after="40"/>
    </w:pPr>
    <w:rPr>
      <w:b/>
      <w:sz w:val="22"/>
      <w:szCs w:val="22"/>
    </w:rPr>
  </w:style>
  <w:style w:type="paragraph" w:styleId="Heading6">
    <w:name w:val="Heading 6"/>
    <w:basedOn w:val="normal1"/>
    <w:next w:val="normal1"/>
    <w:uiPriority w:val="0"/>
    <w:qFormat/>
    <w:pPr>
      <w:keepNext w:val="true"/>
      <w:keepLines/>
      <w:pageBreakBefore w:val="false"/>
      <w:spacing w:lineRule="auto" w:line="240" w:before="200" w:after="40"/>
    </w:pPr>
    <w:rPr>
      <w:b/>
      <w:sz w:val="20"/>
      <w:szCs w:val="20"/>
    </w:rPr>
  </w:style>
  <w:style w:type="character" w:styleId="DefaultParagraphFont" w:default="1">
    <w:name w:val="Default Paragraph Font"/>
    <w:uiPriority w:val="1"/>
    <w:semiHidden/>
    <w:unhideWhenUsed/>
    <w:qFormat/>
    <w:rPr/>
  </w:style>
  <w:style w:type="character" w:styleId="annotationreference">
    <w:name w:val="annotation reference"/>
    <w:uiPriority w:val="0"/>
    <w:qFormat/>
    <w:rPr>
      <w:sz w:val="16"/>
      <w:szCs w:val="16"/>
    </w:rPr>
  </w:style>
  <w:style w:type="character" w:styleId="FollowedHyperlink">
    <w:name w:val="FollowedHyperlink"/>
    <w:uiPriority w:val="0"/>
    <w:qFormat/>
    <w:rPr>
      <w:color w:val="800080"/>
      <w:u w:val="single"/>
    </w:rPr>
  </w:style>
  <w:style w:type="character" w:styleId="Hyperlink">
    <w:name w:val="Hyperlink"/>
    <w:uiPriority w:val="0"/>
    <w:qFormat/>
    <w:rPr>
      <w:color w:val="0000FF"/>
      <w:u w:val="single"/>
    </w:rPr>
  </w:style>
  <w:style w:type="character" w:styleId="Heading3Char" w:customStyle="1">
    <w:name w:val="Heading 3 Char"/>
    <w:link w:val="Heading3"/>
    <w:uiPriority w:val="0"/>
    <w:qFormat/>
    <w:locked/>
    <w:rPr>
      <w:b/>
      <w:iCs/>
      <w:sz w:val="33"/>
      <w:szCs w:val="33"/>
      <w:lang w:eastAsia="en-US"/>
    </w:rPr>
  </w:style>
  <w:style w:type="character" w:styleId="HeaderChar" w:customStyle="1">
    <w:name w:val="Header Char"/>
    <w:link w:val="Header"/>
    <w:uiPriority w:val="0"/>
    <w:qFormat/>
    <w:rPr>
      <w:sz w:val="24"/>
      <w:szCs w:val="24"/>
    </w:rPr>
  </w:style>
  <w:style w:type="character" w:styleId="FooterChar" w:customStyle="1">
    <w:name w:val="Footer Char"/>
    <w:link w:val="Footer"/>
    <w:uiPriority w:val="99"/>
    <w:qFormat/>
    <w:rPr>
      <w:sz w:val="24"/>
      <w:szCs w:val="24"/>
    </w:rPr>
  </w:style>
  <w:style w:type="character" w:styleId="BalloonTextChar" w:customStyle="1">
    <w:name w:val="Balloon Text Char"/>
    <w:link w:val="BalloonText"/>
    <w:uiPriority w:val="0"/>
    <w:qFormat/>
    <w:rPr>
      <w:rFonts w:ascii="Tahoma" w:hAnsi="Tahoma" w:cs="Tahoma"/>
      <w:sz w:val="16"/>
      <w:szCs w:val="16"/>
    </w:rPr>
  </w:style>
  <w:style w:type="character" w:styleId="BodyTextChar" w:customStyle="1">
    <w:name w:val="Body Text Char"/>
    <w:uiPriority w:val="0"/>
    <w:qFormat/>
    <w:rPr>
      <w:rFonts w:ascii="VNI-Helve-Condense" w:hAnsi="VNI-Helve-Condense"/>
      <w:sz w:val="24"/>
      <w:lang w:val="en-GB" w:eastAsia="ar-SA"/>
    </w:rPr>
  </w:style>
  <w:style w:type="character" w:styleId="CommentTextChar" w:customStyle="1">
    <w:name w:val="Comment Text Char"/>
    <w:link w:val="AnnotationText"/>
    <w:uiPriority w:val="0"/>
    <w:qFormat/>
    <w:rPr>
      <w:rFonts w:ascii="Calibri" w:hAnsi="Calibri"/>
    </w:rPr>
  </w:style>
  <w:style w:type="character" w:styleId="BodyTextIndentChar" w:customStyle="1">
    <w:name w:val="Body Text Indent Char"/>
    <w:uiPriority w:val="0"/>
    <w:qFormat/>
    <w:rPr>
      <w:sz w:val="24"/>
      <w:szCs w:val="24"/>
      <w:lang w:eastAsia="en-US"/>
    </w:rPr>
  </w:style>
  <w:style w:type="character" w:styleId="CommentSubjectChar" w:customStyle="1">
    <w:name w:val="Comment Subject Char"/>
    <w:basedOn w:val="CommentTextChar"/>
    <w:link w:val="annotationsubject"/>
    <w:uiPriority w:val="0"/>
    <w:semiHidden/>
    <w:qFormat/>
    <w:rPr>
      <w:rFonts w:ascii="Calibri" w:hAnsi="Calibri"/>
      <w:b/>
      <w:bCs/>
      <w:lang w:eastAsia="en-US"/>
    </w:rPr>
  </w:style>
  <w:style w:type="paragraph" w:styleId="Heading" w:customStyle="1">
    <w:name w:val="Heading"/>
    <w:basedOn w:val="Normal"/>
    <w:next w:val="BodyText"/>
    <w:uiPriority w:val="0"/>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1"/>
    <w:link w:val="BodyTextChar"/>
    <w:uiPriority w:val="0"/>
    <w:qFormat/>
    <w:pPr>
      <w:suppressAutoHyphens w:val="true"/>
      <w:jc w:val="both"/>
    </w:pPr>
    <w:rPr>
      <w:rFonts w:ascii="VNI-Helve-Condense" w:hAnsi="VNI-Helve-Condense"/>
      <w:szCs w:val="20"/>
      <w:lang w:val="en-GB" w:eastAsia="ar-SA"/>
    </w:rPr>
  </w:style>
  <w:style w:type="paragraph" w:styleId="List">
    <w:name w:val="List"/>
    <w:basedOn w:val="BodyText"/>
    <w:uiPriority w:val="0"/>
    <w:qFormat/>
    <w:pPr/>
    <w:rPr>
      <w:rFonts w:cs="Noto Sans Devanagari"/>
    </w:rPr>
  </w:style>
  <w:style w:type="paragraph" w:styleId="Caption">
    <w:name w:val="Caption"/>
    <w:basedOn w:val="Normal"/>
    <w:next w:val="Normal"/>
    <w:uiPriority w:val="0"/>
    <w:qFormat/>
    <w:pPr>
      <w:suppressLineNumbers/>
      <w:spacing w:before="120" w:after="120"/>
    </w:pPr>
    <w:rPr>
      <w:rFonts w:cs="Noto Sans Devanagari"/>
      <w:i/>
      <w:iCs/>
      <w:sz w:val="24"/>
      <w:szCs w:val="24"/>
    </w:rPr>
  </w:style>
  <w:style w:type="paragraph" w:styleId="Index" w:customStyle="1">
    <w:name w:val="Index"/>
    <w:basedOn w:val="Normal"/>
    <w:uiPriority w:val="0"/>
    <w:qFormat/>
    <w:pPr>
      <w:suppressLineNumbers/>
    </w:pPr>
    <w:rPr>
      <w:rFonts w:cs="Noto Sans Devanagari"/>
    </w:rPr>
  </w:style>
  <w:style w:type="paragraph" w:styleId="normal1" w:customStyle="1">
    <w:name w:val="normal1"/>
    <w:uiPriority w:val="0"/>
    <w:qFormat/>
    <w:pPr>
      <w:widowControl/>
      <w:suppressAutoHyphens w:val="true"/>
      <w:bidi w:val="0"/>
      <w:spacing w:before="0" w:after="0"/>
      <w:jc w:val="left"/>
    </w:pPr>
    <w:rPr>
      <w:rFonts w:ascii="Times New Roman" w:hAnsi="Times New Roman" w:eastAsia="Noto Serif CJK SC" w:cs="Noto Sans Devanagari"/>
      <w:color w:val="auto"/>
      <w:kern w:val="0"/>
      <w:sz w:val="24"/>
      <w:szCs w:val="24"/>
      <w:lang w:val="sv-SE" w:eastAsia="zh-CN" w:bidi="hi-IN"/>
    </w:rPr>
  </w:style>
  <w:style w:type="paragraph" w:styleId="BalloonText">
    <w:name w:val="Balloon Text"/>
    <w:basedOn w:val="normal1"/>
    <w:link w:val="BalloonTextChar"/>
    <w:uiPriority w:val="0"/>
    <w:qFormat/>
    <w:pPr/>
    <w:rPr>
      <w:rFonts w:ascii="Tahoma" w:hAnsi="Tahoma"/>
      <w:sz w:val="16"/>
      <w:szCs w:val="16"/>
    </w:rPr>
  </w:style>
  <w:style w:type="paragraph" w:styleId="BodyTextIndent">
    <w:name w:val="Body Text Indent"/>
    <w:basedOn w:val="normal1"/>
    <w:link w:val="BodyTextIndentChar"/>
    <w:uiPriority w:val="0"/>
    <w:qFormat/>
    <w:pPr>
      <w:spacing w:before="0" w:after="120"/>
      <w:ind w:left="360"/>
    </w:pPr>
    <w:rPr/>
  </w:style>
  <w:style w:type="paragraph" w:styleId="AnnotationText">
    <w:name w:val="Annotation Text"/>
    <w:basedOn w:val="normal1"/>
    <w:link w:val="CommentTextChar"/>
    <w:uiPriority w:val="0"/>
    <w:qFormat/>
    <w:pPr>
      <w:spacing w:lineRule="auto" w:line="276" w:before="0" w:after="200"/>
    </w:pPr>
    <w:rPr>
      <w:rFonts w:ascii="Calibri" w:hAnsi="Calibri"/>
      <w:sz w:val="20"/>
      <w:szCs w:val="20"/>
    </w:rPr>
  </w:style>
  <w:style w:type="paragraph" w:styleId="annotationsubject">
    <w:name w:val="annotation subject"/>
    <w:basedOn w:val="AnnotationText"/>
    <w:next w:val="AnnotationText"/>
    <w:link w:val="CommentSubjectChar"/>
    <w:uiPriority w:val="0"/>
    <w:semiHidden/>
    <w:unhideWhenUsed/>
    <w:qFormat/>
    <w:pPr>
      <w:spacing w:lineRule="auto" w:line="240" w:before="0" w:after="0"/>
    </w:pPr>
    <w:rPr>
      <w:rFonts w:ascii="Times New Roman" w:hAnsi="Times New Roman"/>
      <w:b/>
      <w:bCs/>
    </w:rPr>
  </w:style>
  <w:style w:type="paragraph" w:styleId="HeaderandFooter" w:customStyle="1">
    <w:name w:val="Header and Footer"/>
    <w:basedOn w:val="Normal"/>
    <w:uiPriority w:val="0"/>
    <w:qFormat/>
    <w:pPr/>
    <w:rPr/>
  </w:style>
  <w:style w:type="paragraph" w:styleId="Footer">
    <w:name w:val="Footer"/>
    <w:basedOn w:val="normal1"/>
    <w:link w:val="FooterChar"/>
    <w:uiPriority w:val="99"/>
    <w:qFormat/>
    <w:pPr>
      <w:tabs>
        <w:tab w:val="clear" w:pos="720"/>
        <w:tab w:val="center" w:pos="4680" w:leader="none"/>
        <w:tab w:val="right" w:pos="9360" w:leader="none"/>
      </w:tabs>
    </w:pPr>
    <w:rPr/>
  </w:style>
  <w:style w:type="paragraph" w:styleId="Header">
    <w:name w:val="Header"/>
    <w:basedOn w:val="normal1"/>
    <w:link w:val="HeaderChar"/>
    <w:uiPriority w:val="0"/>
    <w:qFormat/>
    <w:pPr>
      <w:tabs>
        <w:tab w:val="clear" w:pos="720"/>
        <w:tab w:val="center" w:pos="4680" w:leader="none"/>
        <w:tab w:val="right" w:pos="9360" w:leader="none"/>
      </w:tabs>
    </w:pPr>
    <w:rPr/>
  </w:style>
  <w:style w:type="paragraph" w:styleId="Subtitle">
    <w:name w:val="Subtitle"/>
    <w:basedOn w:val="normal1"/>
    <w:next w:val="normal1"/>
    <w:uiPriority w:val="0"/>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Title">
    <w:name w:val="Title"/>
    <w:basedOn w:val="normal1"/>
    <w:next w:val="normal1"/>
    <w:uiPriority w:val="0"/>
    <w:qFormat/>
    <w:pPr>
      <w:keepNext w:val="true"/>
      <w:keepLines/>
      <w:pageBreakBefore w:val="false"/>
      <w:spacing w:lineRule="auto" w:line="240" w:before="480" w:after="120"/>
    </w:pPr>
    <w:rPr>
      <w:b/>
      <w:sz w:val="72"/>
      <w:szCs w:val="72"/>
    </w:rPr>
  </w:style>
  <w:style w:type="paragraph" w:styleId="ListParagraph">
    <w:name w:val="List Paragraph"/>
    <w:basedOn w:val="normal1"/>
    <w:uiPriority w:val="34"/>
    <w:qFormat/>
    <w:pPr>
      <w:spacing w:before="0" w:after="0"/>
      <w:ind w:left="720"/>
      <w:contextualSpacing/>
    </w:pPr>
    <w:rPr/>
  </w:style>
  <w:style w:type="paragraph" w:styleId="Revision" w:customStyle="1">
    <w:name w:val="Revision"/>
    <w:uiPriority w:val="99"/>
    <w:semiHidden/>
    <w:qFormat/>
    <w:pPr>
      <w:widowControl/>
      <w:suppressAutoHyphens w:val="true"/>
      <w:bidi w:val="0"/>
      <w:spacing w:before="0" w:after="0"/>
      <w:jc w:val="left"/>
    </w:pPr>
    <w:rPr>
      <w:rFonts w:ascii="Times New Roman" w:hAnsi="Times New Roman" w:eastAsia="Noto Serif CJK SC" w:cs="Noto Sans Devanagari"/>
      <w:color w:val="auto"/>
      <w:kern w:val="0"/>
      <w:sz w:val="24"/>
      <w:szCs w:val="24"/>
      <w:lang w:val="sv-SE" w:eastAsia="en-US" w:bidi="hi-IN"/>
    </w:rPr>
  </w:style>
  <w:style w:type="table" w:default="1" w:styleId="10">
    <w:name w:val="Normal Table"/>
    <w:uiPriority w:val="99"/>
    <w:semiHidden/>
    <w:unhideWhenUsed/>
    <w:qFormat/>
    <w:tblPr>
      <w:tblCellMar>
        <w:top w:w="0" w:type="dxa"/>
        <w:left w:w="108" w:type="dxa"/>
        <w:bottom w:w="0" w:type="dxa"/>
        <w:right w:w="108" w:type="dxa"/>
      </w:tblCellMar>
    </w:tblPr>
  </w:style>
  <w:style w:type="table" w:styleId="24">
    <w:name w:val="Table Grid"/>
    <w:basedOn w:val="25"/>
    <w:uiPriority w:val="59"/>
    <w:qFormat/>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5">
    <w:name w:val="TableNormal"/>
    <w:uiPriority w:val="0"/>
    <w:qFormat/>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
  <TotalTime>11</TotalTime>
  <Application>LibreOffice/24.2.7.2$Linux_X86_64 LibreOffice_project/420$Build-2</Application>
  <AppVersion>15.0000</AppVersion>
  <Pages>7</Pages>
  <Words>3416</Words>
  <Characters>12416</Characters>
  <CharactersWithSpaces>15644</CharactersWithSpaces>
  <Paragraphs>164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2025-08-29T13:43:00Z</dcterms:created>
  <dc:creator>letruongnghi</dc:creator>
  <dc:description/>
  <dc:language>en-US</dc:language>
  <cp:lastModifiedBy/>
  <dcterms:modified xsi:type="dcterms:W3CDTF">2025-11-04T15:19:31Z</dcterms:modified>
  <cp:revision>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1033-11.1.0.10702</vt:lpwstr>
  </property>
</Properties>
</file>