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rPr>
          <w:rFonts w:ascii="Times New Roman" w:hAnsi="Times New Roman"/>
          <w:rFonts w:ascii="Times New Roman" w:hAnsi="Times New Roman"/>
          <w:b/>
          <w:i w:val="0"/>
          <w:color w:val="1A56DB"/>
          <w:sz w:val="32"/>
        </w:rPr>
        <w:t>GIẢI THÍCH LUỒNG HOẠT ĐỘNG (PIPELINE) CỦA HỆ THỐNG</w:t>
      </w:r>
    </w:p>
    <w:p>
      <w:pPr>
        <w:spacing w:before="240" w:after="120"/>
      </w:pPr>
      <w:r>
        <w:rPr>
          <w:rFonts w:ascii="Times New Roman" w:hAnsi="Times New Roman"/>
          <w:rFonts w:ascii="Times New Roman" w:hAnsi="Times New Roman"/>
          <w:b/>
          <w:i w:val="0"/>
          <w:color w:val="1A56DB"/>
          <w:sz w:val="30"/>
        </w:rPr>
        <w:t>🔧 OFFLINE PHASE — Xây kho tri thức (chạy 1 lần duy nhất)</w:t>
      </w:r>
    </w:p>
    <w:p>
      <w:pPr>
        <w:spacing w:before="0" w:after="120"/>
      </w:pPr>
      <w:r>
        <w:rPr>
          <w:rFonts w:ascii="Times New Roman" w:hAnsi="Times New Roman"/>
          <w:rFonts w:ascii="Times New Roman" w:hAnsi="Times New Roman"/>
          <w:b w:val="0"/>
          <w:i w:val="0"/>
          <w:sz w:val="26"/>
        </w:rPr>
        <w:t>Trước khi hệ thống có thể phân tích bất kỳ hợp đồng nào, cần phải chuẩn bị kho tri thức pháp lý trước. Quá trình này chỉ làm một lần và lưu lại vĩnh viễn.</w:t>
      </w:r>
    </w:p>
    <w:p>
      <w:pPr>
        <w:spacing w:before="0" w:after="120"/>
      </w:pPr>
      <w:r>
        <w:rPr>
          <w:rFonts w:ascii="Times New Roman" w:hAnsi="Times New Roman"/>
          <w:rFonts w:ascii="Times New Roman" w:hAnsi="Times New Roman"/>
          <w:b w:val="0"/>
          <w:i w:val="0"/>
          <w:sz w:val="26"/>
        </w:rPr>
        <w:t>Cụ thể từng bước:</w:t>
      </w:r>
    </w:p>
    <w:p>
      <w:pPr>
        <w:spacing w:before="0" w:after="120"/>
      </w:pPr>
      <w:r>
        <w:rPr>
          <w:rFonts w:ascii="Times New Roman" w:hAnsi="Times New Roman"/>
          <w:rFonts w:ascii="Times New Roman" w:hAnsi="Times New Roman"/>
          <w:b/>
          <w:i w:val="0"/>
          <w:sz w:val="26"/>
        </w:rPr>
        <w:t xml:space="preserve">PDF Luật → pdfplumber: </w:t>
      </w:r>
      <w:r>
        <w:rPr>
          <w:rFonts w:ascii="Times New Roman" w:hAnsi="Times New Roman"/>
          <w:rFonts w:ascii="Times New Roman" w:hAnsi="Times New Roman"/>
          <w:b w:val="0"/>
          <w:i w:val="0"/>
          <w:sz w:val="26"/>
        </w:rPr>
        <w:t>Tải các văn bản pháp lý dưới dạng PDF (Bộ luật Lao động, Luật Thương mại, Bộ luật Dân sự…) và dùng thư viện pdfplumber để trích xuất toàn bộ nội dung văn bản thô ra.</w:t>
      </w:r>
    </w:p>
    <w:p>
      <w:pPr>
        <w:spacing w:before="0" w:after="120"/>
      </w:pPr>
      <w:r>
        <w:rPr>
          <w:rFonts w:ascii="Times New Roman" w:hAnsi="Times New Roman"/>
          <w:rFonts w:ascii="Times New Roman" w:hAnsi="Times New Roman"/>
          <w:b/>
          <w:i w:val="0"/>
          <w:sz w:val="26"/>
        </w:rPr>
        <w:t xml:space="preserve">→ Chunking: </w:t>
      </w:r>
      <w:r>
        <w:rPr>
          <w:rFonts w:ascii="Times New Roman" w:hAnsi="Times New Roman"/>
          <w:rFonts w:ascii="Times New Roman" w:hAnsi="Times New Roman"/>
          <w:b w:val="0"/>
          <w:i w:val="0"/>
          <w:sz w:val="26"/>
        </w:rPr>
        <w:t>Văn bản luật rất dài, không thể đưa nguyên vào AI được. Vì vậy phải cắt nhỏ thành các đoạn khoảng 500 từ, mỗi đoạn tương đương khoảng 1–2 điều luật. Việc cắt theo ranh giới "Điều/Khoản" để mỗi chunk vẫn giữ nguyên nghĩa trọn vẹn.</w:t>
      </w:r>
    </w:p>
    <w:p>
      <w:pPr>
        <w:spacing w:before="0" w:after="120"/>
      </w:pPr>
      <w:r>
        <w:rPr>
          <w:rFonts w:ascii="Times New Roman" w:hAnsi="Times New Roman"/>
          <w:rFonts w:ascii="Times New Roman" w:hAnsi="Times New Roman"/>
          <w:b/>
          <w:i w:val="0"/>
          <w:sz w:val="26"/>
        </w:rPr>
        <w:t xml:space="preserve">→ bkai vietnamese-bi-encoder → ChromaDB: </w:t>
      </w:r>
      <w:r>
        <w:rPr>
          <w:rFonts w:ascii="Times New Roman" w:hAnsi="Times New Roman"/>
          <w:rFonts w:ascii="Times New Roman" w:hAnsi="Times New Roman"/>
          <w:b w:val="0"/>
          <w:i w:val="0"/>
          <w:sz w:val="26"/>
        </w:rPr>
        <w:t>Mỗi đoạn văn bản luật được chuyển thành một vector số học 768 chiều bằng model embedding tiếng Việt. Vector này nắm bắt được ngữ nghĩa của đoạn luật đó. Toàn bộ vector được lưu vào ChromaDB — một cơ sở dữ liệu chuyên lưu vector, cho phép tìm kiếm theo ngữ nghĩa rất nhanh.</w:t>
      </w:r>
    </w:p>
    <w:p>
      <w:pPr>
        <w:spacing w:before="120" w:after="240"/>
        <w:ind w:left="567" w:right="567"/>
        <w:pBdr>
          <w:left w:val="single" w:sz="12" w:space="4" w:color="9CA3AF"/>
        </w:pBdr>
      </w:pPr>
      <w:r>
        <w:rPr>
          <w:rFonts w:ascii="Times New Roman" w:hAnsi="Times New Roman"/>
          <w:rFonts w:ascii="Times New Roman" w:hAnsi="Times New Roman"/>
          <w:b w:val="0"/>
          <w:i/>
          <w:color w:val="4B5563"/>
          <w:sz w:val="24"/>
        </w:rPr>
        <w:t>Hình dung như việc xây một thư viện pháp lý thông minh: mỗi điều luật được "dịch" sang ngôn ngữ toán học, sau đó xếp vào kệ sao cho những điều luật có nội dung tương tự sẽ nằm gần nhau.</w:t>
      </w:r>
    </w:p>
    <w:p>
      <w:pPr>
        <w:spacing w:before="240" w:after="120"/>
      </w:pPr>
      <w:r>
        <w:rPr>
          <w:rFonts w:ascii="Times New Roman" w:hAnsi="Times New Roman"/>
          <w:rFonts w:ascii="Times New Roman" w:hAnsi="Times New Roman"/>
          <w:b/>
          <w:i w:val="0"/>
          <w:color w:val="1A56DB"/>
          <w:sz w:val="30"/>
        </w:rPr>
        <w:t>⚡ ONLINE PHASE — Phân tích hợp đồng (chạy mỗi khi có yêu cầu)</w:t>
      </w:r>
    </w:p>
    <w:p>
      <w:pPr>
        <w:spacing w:before="0" w:after="120"/>
      </w:pPr>
      <w:r>
        <w:rPr>
          <w:rFonts w:ascii="Times New Roman" w:hAnsi="Times New Roman"/>
          <w:rFonts w:ascii="Times New Roman" w:hAnsi="Times New Roman"/>
          <w:b w:val="0"/>
          <w:i w:val="0"/>
          <w:sz w:val="26"/>
        </w:rPr>
        <w:t>Khi người dùng upload một hợp đồng lên, hệ thống thực hiện toàn bộ quy trình dưới đây tự động.</w:t>
      </w:r>
    </w:p>
    <w:p>
      <w:pPr>
        <w:spacing w:before="240" w:after="120"/>
      </w:pPr>
      <w:r>
        <w:rPr>
          <w:rFonts w:ascii="Times New Roman" w:hAnsi="Times New Roman"/>
          <w:rFonts w:ascii="Times New Roman" w:hAnsi="Times New Roman"/>
          <w:b/>
          <w:i w:val="0"/>
          <w:color w:val="1E3A8A"/>
          <w:sz w:val="28"/>
        </w:rPr>
        <w:t>Upload HĐ → Extract → Segmenter</w:t>
      </w:r>
    </w:p>
    <w:p>
      <w:pPr>
        <w:spacing w:before="0" w:after="120"/>
      </w:pPr>
      <w:r>
        <w:rPr>
          <w:rFonts w:ascii="Times New Roman" w:hAnsi="Times New Roman"/>
          <w:rFonts w:ascii="Times New Roman" w:hAnsi="Times New Roman"/>
          <w:b w:val="0"/>
          <w:i w:val="0"/>
          <w:sz w:val="26"/>
        </w:rPr>
        <w:t>Người dùng tải file PDF hợp đồng lên. pdfplumber trích xuất toàn bộ nội dung văn bản. Tiếp theo, Clause Segmenter dùng quy tắc đơn giản (nhận diện pattern "Điều 1:", "Điều 2:"…) để tách hợp đồng thành danh sách từng điều khoản riêng biệt.</w:t>
      </w:r>
    </w:p>
    <w:p>
      <w:pPr>
        <w:spacing w:before="120" w:after="240"/>
        <w:ind w:left="567" w:right="567"/>
        <w:pBdr>
          <w:left w:val="single" w:sz="12" w:space="4" w:color="9CA3AF"/>
        </w:pBdr>
      </w:pPr>
      <w:r>
        <w:rPr>
          <w:rFonts w:ascii="Times New Roman" w:hAnsi="Times New Roman"/>
          <w:rFonts w:ascii="Times New Roman" w:hAnsi="Times New Roman"/>
          <w:b w:val="0"/>
          <w:i/>
          <w:color w:val="4B5563"/>
          <w:sz w:val="24"/>
        </w:rPr>
        <w:t>Ví dụ: một hợp đồng lao động 8 trang sẽ được tách thành 6–8 điều khoản độc lập, mỗi điều khoản sẽ được xử lý lần lượt.</w:t>
      </w:r>
    </w:p>
    <w:p>
      <w:pPr>
        <w:spacing w:before="240" w:after="120"/>
      </w:pPr>
      <w:r>
        <w:rPr>
          <w:rFonts w:ascii="Times New Roman" w:hAnsi="Times New Roman"/>
          <w:rFonts w:ascii="Times New Roman" w:hAnsi="Times New Roman"/>
          <w:b/>
          <w:i w:val="0"/>
          <w:color w:val="1E3A8A"/>
          <w:sz w:val="28"/>
        </w:rPr>
        <w:t>Embed Query → ChromaDB → Legal Context (Đây là bước RAG)</w:t>
      </w:r>
    </w:p>
    <w:p>
      <w:pPr>
        <w:spacing w:before="0" w:after="120"/>
      </w:pPr>
      <w:r>
        <w:rPr>
          <w:rFonts w:ascii="Times New Roman" w:hAnsi="Times New Roman"/>
          <w:rFonts w:ascii="Times New Roman" w:hAnsi="Times New Roman"/>
          <w:b w:val="0"/>
          <w:i w:val="0"/>
          <w:sz w:val="26"/>
        </w:rPr>
        <w:t>Với mỗi điều khoản, hệ thống dùng cùng model embedding để chuyển nó thành vector 768 chiều. Sau đó truy vấn ChromaDB bằng cách tính độ tương đồng cosine — tìm ra 3 đoạn luật trong kho có nội dung gần với điều khoản đang phân tích nhất.</w:t>
      </w:r>
    </w:p>
    <w:p>
      <w:pPr>
        <w:spacing w:before="120" w:after="240"/>
        <w:ind w:left="567" w:right="567"/>
        <w:pBdr>
          <w:left w:val="single" w:sz="12" w:space="4" w:color="9CA3AF"/>
        </w:pBdr>
      </w:pPr>
      <w:r>
        <w:rPr>
          <w:rFonts w:ascii="Times New Roman" w:hAnsi="Times New Roman"/>
          <w:rFonts w:ascii="Times New Roman" w:hAnsi="Times New Roman"/>
          <w:b w:val="0"/>
          <w:i/>
          <w:color w:val="4B5563"/>
          <w:sz w:val="24"/>
        </w:rPr>
        <w:t>Ví dụ: điều khoản về "phạt vi phạm 50%" sẽ kéo ra đúng Điều 301 Luật Thương mại 2005 quy định về mức phạt tối đa 8%.</w:t>
      </w:r>
    </w:p>
    <w:p>
      <w:pPr>
        <w:spacing w:before="0" w:after="120"/>
      </w:pPr>
      <w:r>
        <w:rPr>
          <w:rFonts w:ascii="Times New Roman" w:hAnsi="Times New Roman"/>
          <w:rFonts w:ascii="Times New Roman" w:hAnsi="Times New Roman"/>
          <w:b w:val="0"/>
          <w:i w:val="0"/>
          <w:sz w:val="26"/>
        </w:rPr>
        <w:t>Kết quả là Legal Context — 3 đoạn luật thật kèm metadata (tên luật, số điều) sẽ được đưa vào bước tiếp theo.</w:t>
      </w:r>
    </w:p>
    <w:p>
      <w:pPr>
        <w:spacing w:before="240" w:after="120"/>
      </w:pPr>
      <w:r>
        <w:rPr>
          <w:rFonts w:ascii="Times New Roman" w:hAnsi="Times New Roman"/>
          <w:rFonts w:ascii="Times New Roman" w:hAnsi="Times New Roman"/>
          <w:b/>
          <w:i w:val="0"/>
          <w:color w:val="1E3A8A"/>
          <w:sz w:val="28"/>
        </w:rPr>
        <w:t>Prompt Builder (CoT 4 bước + luật) → Gemini API</w:t>
      </w:r>
    </w:p>
    <w:p>
      <w:pPr>
        <w:spacing w:before="0" w:after="120"/>
      </w:pPr>
      <w:r>
        <w:rPr>
          <w:rFonts w:ascii="Times New Roman" w:hAnsi="Times New Roman"/>
          <w:rFonts w:ascii="Times New Roman" w:hAnsi="Times New Roman"/>
          <w:b w:val="0"/>
          <w:i w:val="0"/>
          <w:sz w:val="26"/>
        </w:rPr>
        <w:t>Hệ thống ghép điều khoản hợp đồng + 3 đoạn luật liên quan + hướng dẫn phân tích 4 bước thành một prompt hoàn chỉnh, rồi gửi cho Gemini 2.5 Flash.</w:t>
      </w:r>
    </w:p>
    <w:p>
      <w:pPr>
        <w:spacing w:before="240" w:after="120"/>
      </w:pPr>
      <w:r>
        <w:rPr>
          <w:rFonts w:ascii="Times New Roman" w:hAnsi="Times New Roman"/>
          <w:rFonts w:ascii="Times New Roman" w:hAnsi="Times New Roman"/>
          <w:b/>
          <w:i w:val="0"/>
          <w:color w:val="1E3A8A"/>
          <w:sz w:val="28"/>
        </w:rPr>
        <w:t>Gemini API → Step 1 → Step 2 → Step 3 → Step 4 (Đây là bước CoT)</w:t>
      </w:r>
    </w:p>
    <w:p>
      <w:pPr>
        <w:spacing w:before="0" w:after="120"/>
      </w:pPr>
      <w:r>
        <w:rPr>
          <w:rFonts w:ascii="Times New Roman" w:hAnsi="Times New Roman"/>
          <w:rFonts w:ascii="Times New Roman" w:hAnsi="Times New Roman"/>
          <w:b w:val="0"/>
          <w:i w:val="0"/>
          <w:sz w:val="26"/>
        </w:rPr>
        <w:t>Gemini không được phép trả lời thẳng ngay — phải suy luận tuần tự qua 4 bước:</w:t>
      </w:r>
    </w:p>
    <w:p>
      <w:pPr>
        <w:pStyle w:val="ListBullet"/>
        <w:spacing w:before="0" w:after="60"/>
        <w:ind w:left="283"/>
      </w:pPr>
      <w:r>
        <w:rPr>
          <w:rFonts w:ascii="Times New Roman" w:hAnsi="Times New Roman"/>
          <w:rFonts w:ascii="Times New Roman" w:hAnsi="Times New Roman"/>
          <w:b w:val="0"/>
          <w:i w:val="0"/>
          <w:sz w:val="26"/>
        </w:rPr>
        <w:t>Step 1 — Nhận diện: Điều khoản này nói về cái gì? Quyền và nghĩa vụ mỗi bên là gì?</w:t>
      </w:r>
    </w:p>
    <w:p>
      <w:pPr>
        <w:pStyle w:val="ListBullet"/>
        <w:spacing w:before="0" w:after="60"/>
        <w:ind w:left="283"/>
      </w:pPr>
      <w:r>
        <w:rPr>
          <w:rFonts w:ascii="Times New Roman" w:hAnsi="Times New Roman"/>
          <w:rFonts w:ascii="Times New Roman" w:hAnsi="Times New Roman"/>
          <w:b w:val="0"/>
          <w:i w:val="0"/>
          <w:sz w:val="26"/>
        </w:rPr>
        <w:t>Step 2 — Đối chiếu luật: Có điểm nào mâu thuẫn hoặc vi phạm các điều luật vừa cung cấp không?</w:t>
      </w:r>
    </w:p>
    <w:p>
      <w:pPr>
        <w:pStyle w:val="ListBullet"/>
        <w:spacing w:before="0" w:after="60"/>
        <w:ind w:left="283"/>
      </w:pPr>
      <w:r>
        <w:rPr>
          <w:rFonts w:ascii="Times New Roman" w:hAnsi="Times New Roman"/>
          <w:rFonts w:ascii="Times New Roman" w:hAnsi="Times New Roman"/>
          <w:b w:val="0"/>
          <w:i w:val="0"/>
          <w:sz w:val="26"/>
        </w:rPr>
        <w:t>Step 3 — Đánh giá rủi ro: Dựa trên phân tích trên, mức độ rủi ro là Thấp/Trung bình/Cao? Điểm từ 1–10? Tại sao?</w:t>
      </w:r>
    </w:p>
    <w:p>
      <w:pPr>
        <w:pStyle w:val="ListBullet"/>
        <w:spacing w:before="0" w:after="60"/>
        <w:ind w:left="283"/>
      </w:pPr>
      <w:r>
        <w:rPr>
          <w:rFonts w:ascii="Times New Roman" w:hAnsi="Times New Roman"/>
          <w:rFonts w:ascii="Times New Roman" w:hAnsi="Times New Roman"/>
          <w:b w:val="0"/>
          <w:i w:val="0"/>
          <w:sz w:val="26"/>
        </w:rPr>
        <w:t>Step 4 — Đề xuất: Cần sửa hoặc bổ sung gì cụ thể để điều khoản này phù hợp pháp luật?</w:t>
      </w:r>
    </w:p>
    <w:p>
      <w:pPr>
        <w:spacing w:before="0" w:after="120"/>
      </w:pPr>
      <w:r>
        <w:rPr>
          <w:rFonts w:ascii="Times New Roman" w:hAnsi="Times New Roman"/>
          <w:rFonts w:ascii="Times New Roman" w:hAnsi="Times New Roman"/>
          <w:b w:val="0"/>
          <w:i w:val="0"/>
          <w:sz w:val="26"/>
        </w:rPr>
        <w:t>Toàn bộ kết quả được trả về dạng JSON chuẩn hóa để hệ thống dễ xử lý.</w:t>
      </w:r>
    </w:p>
    <w:p>
      <w:pPr>
        <w:spacing w:before="240" w:after="120"/>
      </w:pPr>
      <w:r>
        <w:rPr>
          <w:rFonts w:ascii="Times New Roman" w:hAnsi="Times New Roman"/>
          <w:rFonts w:ascii="Times New Roman" w:hAnsi="Times New Roman"/>
          <w:b/>
          <w:i w:val="0"/>
          <w:color w:val="1E3A8A"/>
          <w:sz w:val="28"/>
        </w:rPr>
        <w:t>Score Check → Self-Reflection (nếu cần) (Đây là bước Reflect)</w:t>
      </w:r>
    </w:p>
    <w:p>
      <w:pPr>
        <w:spacing w:before="0" w:after="120"/>
      </w:pPr>
      <w:r>
        <w:rPr>
          <w:rFonts w:ascii="Times New Roman" w:hAnsi="Times New Roman"/>
          <w:rFonts w:ascii="Times New Roman" w:hAnsi="Times New Roman"/>
          <w:b w:val="0"/>
          <w:i w:val="0"/>
          <w:sz w:val="26"/>
        </w:rPr>
        <w:t>Hệ thống kiểm tra điểm rủi ro vừa nhận được:</w:t>
      </w:r>
    </w:p>
    <w:p>
      <w:pPr>
        <w:pStyle w:val="ListBullet"/>
        <w:spacing w:before="0" w:after="60"/>
        <w:ind w:left="283"/>
      </w:pPr>
      <w:r>
        <w:rPr>
          <w:rFonts w:ascii="Times New Roman" w:hAnsi="Times New Roman"/>
          <w:rFonts w:ascii="Times New Roman" w:hAnsi="Times New Roman"/>
          <w:b w:val="0"/>
          <w:i w:val="0"/>
          <w:sz w:val="26"/>
        </w:rPr>
        <w:t>Nếu điểm rõ ràng (1–2 hoặc 8–10): tin tưởng kết quả, đi thẳng xuống bước tiếp theo.</w:t>
      </w:r>
    </w:p>
    <w:p>
      <w:pPr>
        <w:pStyle w:val="ListBullet"/>
        <w:spacing w:before="0" w:after="60"/>
        <w:ind w:left="283"/>
      </w:pPr>
      <w:r>
        <w:rPr>
          <w:rFonts w:ascii="Times New Roman" w:hAnsi="Times New Roman"/>
          <w:rFonts w:ascii="Times New Roman" w:hAnsi="Times New Roman"/>
          <w:b w:val="0"/>
          <w:i w:val="0"/>
          <w:sz w:val="26"/>
        </w:rPr>
        <w:t>Nếu điểm gần ngưỡng (3–4 hoặc 6–7 — vùng mờ giữa các mức): gọi Gemini lần thứ hai với prompt đặc biệt yêu cầu tự kiểm tra lại — "Trích dẫn điều luật có đúng không? Mức rủi ro có nhất quán không? Có bỏ sót gì không?"</w:t>
      </w:r>
    </w:p>
    <w:p>
      <w:pPr>
        <w:spacing w:before="0" w:after="120"/>
      </w:pPr>
      <w:r>
        <w:rPr>
          <w:rFonts w:ascii="Times New Roman" w:hAnsi="Times New Roman"/>
          <w:rFonts w:ascii="Times New Roman" w:hAnsi="Times New Roman"/>
          <w:b w:val="0"/>
          <w:i w:val="0"/>
          <w:sz w:val="26"/>
        </w:rPr>
        <w:t>Tại sao không chạy Self-Reflection cho mọi điều khoản? Vì mỗi lần gọi Gemini tốn chi phí API. Chỉ bỏ thêm chi phí khi thực sự cần thiết.</w:t>
      </w:r>
    </w:p>
    <w:p>
      <w:pPr>
        <w:spacing w:before="240" w:after="120"/>
      </w:pPr>
      <w:r>
        <w:rPr>
          <w:rFonts w:ascii="Times New Roman" w:hAnsi="Times New Roman"/>
          <w:rFonts w:ascii="Times New Roman" w:hAnsi="Times New Roman"/>
          <w:b/>
          <w:i w:val="0"/>
          <w:color w:val="1E3A8A"/>
          <w:sz w:val="28"/>
        </w:rPr>
        <w:t>Risk Classifier → Final Report → Web App</w:t>
      </w:r>
    </w:p>
    <w:p>
      <w:pPr>
        <w:spacing w:before="0" w:after="120"/>
      </w:pPr>
      <w:r>
        <w:rPr>
          <w:rFonts w:ascii="Times New Roman" w:hAnsi="Times New Roman"/>
          <w:rFonts w:ascii="Times New Roman" w:hAnsi="Times New Roman"/>
          <w:b w:val="0"/>
          <w:i w:val="0"/>
          <w:sz w:val="26"/>
        </w:rPr>
        <w:t>Điểm rủi ro cuối cùng được phân loại:</w:t>
      </w:r>
    </w:p>
    <w:p>
      <w:pPr>
        <w:pStyle w:val="ListBullet"/>
        <w:spacing w:before="0" w:after="60"/>
        <w:ind w:left="283"/>
      </w:pPr>
      <w:r>
        <w:rPr>
          <w:rFonts w:ascii="Times New Roman" w:hAnsi="Times New Roman"/>
          <w:rFonts w:ascii="Times New Roman" w:hAnsi="Times New Roman"/>
          <w:b w:val="0"/>
          <w:i w:val="0"/>
          <w:sz w:val="26"/>
        </w:rPr>
        <w:t>1–3 → 🟢 Thấp</w:t>
      </w:r>
    </w:p>
    <w:p>
      <w:pPr>
        <w:pStyle w:val="ListBullet"/>
        <w:spacing w:before="0" w:after="60"/>
        <w:ind w:left="283"/>
      </w:pPr>
      <w:r>
        <w:rPr>
          <w:rFonts w:ascii="Times New Roman" w:hAnsi="Times New Roman"/>
          <w:rFonts w:ascii="Times New Roman" w:hAnsi="Times New Roman"/>
          <w:b w:val="0"/>
          <w:i w:val="0"/>
          <w:sz w:val="26"/>
        </w:rPr>
        <w:t>4–6 → 🟡 Trung bình</w:t>
      </w:r>
    </w:p>
    <w:p>
      <w:pPr>
        <w:pStyle w:val="ListBullet"/>
        <w:spacing w:before="0" w:after="60"/>
        <w:ind w:left="283"/>
      </w:pPr>
      <w:r>
        <w:rPr>
          <w:rFonts w:ascii="Times New Roman" w:hAnsi="Times New Roman"/>
          <w:rFonts w:ascii="Times New Roman" w:hAnsi="Times New Roman"/>
          <w:b w:val="0"/>
          <w:i w:val="0"/>
          <w:sz w:val="26"/>
        </w:rPr>
        <w:t>7–10 → 🔴 Cao</w:t>
      </w:r>
    </w:p>
    <w:p>
      <w:pPr>
        <w:spacing w:before="0" w:after="120"/>
      </w:pPr>
      <w:r>
        <w:rPr>
          <w:rFonts w:ascii="Times New Roman" w:hAnsi="Times New Roman"/>
          <w:rFonts w:ascii="Times New Roman" w:hAnsi="Times New Roman"/>
          <w:b w:val="0"/>
          <w:i w:val="0"/>
          <w:sz w:val="26"/>
        </w:rPr>
        <w:t>Kết quả đóng gói thành Final Report JSON đầy đủ gồm: mức rủi ro, điểm số, lý do phân tích, điều luật được trích dẫn, và đề xuất chỉnh sửa. Web App đọc JSON này để highlight màu từng điều khoản và hiển thị panel phân tích chi tiết khi người dùng click vào.</w:t>
      </w:r>
    </w:p>
    <w:p>
      <w:pPr>
        <w:spacing w:before="240" w:after="120"/>
      </w:pPr>
      <w:r>
        <w:rPr>
          <w:rFonts w:ascii="Times New Roman" w:hAnsi="Times New Roman"/>
          <w:rFonts w:ascii="Times New Roman" w:hAnsi="Times New Roman"/>
          <w:b/>
          <w:i w:val="0"/>
          <w:color w:val="1A56DB"/>
          <w:sz w:val="30"/>
        </w:rPr>
        <w:t>Tóm gọn toàn bộ luồng</w:t>
      </w:r>
    </w:p>
    <w:p>
      <w:pPr>
        <w:spacing w:before="120" w:after="240"/>
        <w:ind w:left="567"/>
      </w:pPr>
      <w:r>
        <w:rPr>
          <w:rFonts w:ascii="Courier New" w:hAnsi="Courier New"/>
          <w:rFonts w:ascii="Courier New" w:hAnsi="Courier New"/>
          <w:b/>
          <w:i w:val="0"/>
          <w:sz w:val="22"/>
        </w:rPr>
        <w:t>Offline: Đọc luật → Cắt nhỏ → Chuyển thành số → Lưu vào kho</w:t>
        <w:br/>
        <w:br/>
        <w:t>Online:  Nhận hợp đồng → Tách điều khoản → Tìm luật liên quan</w:t>
        <w:br/>
        <w:t xml:space="preserve">         → Phân tích 4 bước → Kiểm tra lại nếu cần</w:t>
        <w:br/>
        <w:t xml:space="preserve">         → Phân loại rủi ro → Hiển thị</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