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2A" w:rsidRDefault="0061742A"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r>
        <w:rPr>
          <w:b/>
          <w:u w:val="single"/>
          <w:lang w:val="en-US"/>
        </w:rPr>
        <w:t>Basic economic documentation of BOARD</w:t>
      </w:r>
    </w:p>
    <w:p w:rsidR="0067625D" w:rsidRDefault="0067625D" w:rsidP="005F583C">
      <w:pPr>
        <w:jc w:val="both"/>
        <w:rPr>
          <w:b/>
          <w:u w:val="single"/>
          <w:lang w:val="en-US"/>
        </w:rPr>
      </w:pPr>
    </w:p>
    <w:sdt>
      <w:sdtPr>
        <w:rPr>
          <w:rFonts w:asciiTheme="minorHAnsi" w:eastAsiaTheme="minorHAnsi" w:hAnsiTheme="minorHAnsi" w:cstheme="minorBidi"/>
          <w:b w:val="0"/>
          <w:bCs w:val="0"/>
          <w:color w:val="auto"/>
          <w:sz w:val="22"/>
          <w:szCs w:val="22"/>
          <w:lang w:val="de-DE" w:eastAsia="en-US"/>
        </w:rPr>
        <w:id w:val="-1300066466"/>
        <w:docPartObj>
          <w:docPartGallery w:val="Table of Contents"/>
          <w:docPartUnique/>
        </w:docPartObj>
      </w:sdtPr>
      <w:sdtEndPr>
        <w:rPr>
          <w:noProof/>
        </w:rPr>
      </w:sdtEndPr>
      <w:sdtContent>
        <w:p w:rsidR="0067625D" w:rsidRPr="0067625D" w:rsidRDefault="0067625D">
          <w:pPr>
            <w:pStyle w:val="TOCHeading"/>
            <w:rPr>
              <w:color w:val="000000" w:themeColor="text1"/>
            </w:rPr>
          </w:pPr>
          <w:r w:rsidRPr="0067625D">
            <w:rPr>
              <w:color w:val="000000" w:themeColor="text1"/>
            </w:rPr>
            <w:t>Table of Contents</w:t>
          </w:r>
        </w:p>
        <w:p w:rsidR="00466415" w:rsidRDefault="0067625D">
          <w:pPr>
            <w:pStyle w:val="TOC1"/>
            <w:tabs>
              <w:tab w:val="left" w:pos="440"/>
              <w:tab w:val="right" w:leader="dot" w:pos="9062"/>
            </w:tabs>
            <w:rPr>
              <w:rFonts w:eastAsiaTheme="minorEastAsia"/>
              <w:noProof/>
              <w:lang w:eastAsia="de-DE"/>
            </w:rPr>
          </w:pPr>
          <w:r>
            <w:fldChar w:fldCharType="begin"/>
          </w:r>
          <w:r w:rsidRPr="0067625D">
            <w:rPr>
              <w:lang w:val="en-US"/>
            </w:rPr>
            <w:instrText xml:space="preserve"> TOC \o "1-3" \h \z \u </w:instrText>
          </w:r>
          <w:r>
            <w:fldChar w:fldCharType="separate"/>
          </w:r>
          <w:hyperlink w:anchor="_Toc389741487" w:history="1">
            <w:r w:rsidR="00466415" w:rsidRPr="005D4FDE">
              <w:rPr>
                <w:rStyle w:val="Hyperlink"/>
                <w:noProof/>
                <w:lang w:val="en-US"/>
              </w:rPr>
              <w:t>1</w:t>
            </w:r>
            <w:r w:rsidR="00466415">
              <w:rPr>
                <w:rFonts w:eastAsiaTheme="minorEastAsia"/>
                <w:noProof/>
                <w:lang w:eastAsia="de-DE"/>
              </w:rPr>
              <w:tab/>
            </w:r>
            <w:r w:rsidR="00466415" w:rsidRPr="005D4FDE">
              <w:rPr>
                <w:rStyle w:val="Hyperlink"/>
                <w:noProof/>
                <w:lang w:val="en-US"/>
              </w:rPr>
              <w:t>Connected systems and databases</w:t>
            </w:r>
            <w:r w:rsidR="00466415">
              <w:rPr>
                <w:noProof/>
                <w:webHidden/>
              </w:rPr>
              <w:tab/>
            </w:r>
            <w:r w:rsidR="00466415">
              <w:rPr>
                <w:noProof/>
                <w:webHidden/>
              </w:rPr>
              <w:fldChar w:fldCharType="begin"/>
            </w:r>
            <w:r w:rsidR="00466415">
              <w:rPr>
                <w:noProof/>
                <w:webHidden/>
              </w:rPr>
              <w:instrText xml:space="preserve"> PAGEREF _Toc389741487 \h </w:instrText>
            </w:r>
            <w:r w:rsidR="00466415">
              <w:rPr>
                <w:noProof/>
                <w:webHidden/>
              </w:rPr>
            </w:r>
            <w:r w:rsidR="00466415">
              <w:rPr>
                <w:noProof/>
                <w:webHidden/>
              </w:rPr>
              <w:fldChar w:fldCharType="separate"/>
            </w:r>
            <w:r w:rsidR="00466415">
              <w:rPr>
                <w:noProof/>
                <w:webHidden/>
              </w:rPr>
              <w:t>1</w:t>
            </w:r>
            <w:r w:rsidR="00466415">
              <w:rPr>
                <w:noProof/>
                <w:webHidden/>
              </w:rPr>
              <w:fldChar w:fldCharType="end"/>
            </w:r>
          </w:hyperlink>
        </w:p>
        <w:p w:rsidR="00466415" w:rsidRDefault="009251C2">
          <w:pPr>
            <w:pStyle w:val="TOC2"/>
            <w:tabs>
              <w:tab w:val="left" w:pos="880"/>
              <w:tab w:val="right" w:leader="dot" w:pos="9062"/>
            </w:tabs>
            <w:rPr>
              <w:rFonts w:eastAsiaTheme="minorEastAsia"/>
              <w:noProof/>
              <w:lang w:eastAsia="de-DE"/>
            </w:rPr>
          </w:pPr>
          <w:hyperlink w:anchor="_Toc389741488" w:history="1">
            <w:r w:rsidR="00466415" w:rsidRPr="005D4FDE">
              <w:rPr>
                <w:rStyle w:val="Hyperlink"/>
                <w:noProof/>
                <w:lang w:val="en-US"/>
              </w:rPr>
              <w:t>1.1</w:t>
            </w:r>
            <w:r w:rsidR="00466415">
              <w:rPr>
                <w:rFonts w:eastAsiaTheme="minorEastAsia"/>
                <w:noProof/>
                <w:lang w:eastAsia="de-DE"/>
              </w:rPr>
              <w:tab/>
            </w:r>
            <w:r w:rsidR="00466415" w:rsidRPr="005D4FDE">
              <w:rPr>
                <w:rStyle w:val="Hyperlink"/>
                <w:noProof/>
                <w:lang w:val="en-US"/>
              </w:rPr>
              <w:t>Ventas</w:t>
            </w:r>
            <w:r w:rsidR="00466415">
              <w:rPr>
                <w:noProof/>
                <w:webHidden/>
              </w:rPr>
              <w:tab/>
            </w:r>
            <w:r w:rsidR="00466415">
              <w:rPr>
                <w:noProof/>
                <w:webHidden/>
              </w:rPr>
              <w:fldChar w:fldCharType="begin"/>
            </w:r>
            <w:r w:rsidR="00466415">
              <w:rPr>
                <w:noProof/>
                <w:webHidden/>
              </w:rPr>
              <w:instrText xml:space="preserve"> PAGEREF _Toc389741488 \h </w:instrText>
            </w:r>
            <w:r w:rsidR="00466415">
              <w:rPr>
                <w:noProof/>
                <w:webHidden/>
              </w:rPr>
            </w:r>
            <w:r w:rsidR="00466415">
              <w:rPr>
                <w:noProof/>
                <w:webHidden/>
              </w:rPr>
              <w:fldChar w:fldCharType="separate"/>
            </w:r>
            <w:r w:rsidR="00466415">
              <w:rPr>
                <w:noProof/>
                <w:webHidden/>
              </w:rPr>
              <w:t>1</w:t>
            </w:r>
            <w:r w:rsidR="00466415">
              <w:rPr>
                <w:noProof/>
                <w:webHidden/>
              </w:rPr>
              <w:fldChar w:fldCharType="end"/>
            </w:r>
          </w:hyperlink>
        </w:p>
        <w:p w:rsidR="00466415" w:rsidRDefault="009251C2">
          <w:pPr>
            <w:pStyle w:val="TOC2"/>
            <w:tabs>
              <w:tab w:val="left" w:pos="880"/>
              <w:tab w:val="right" w:leader="dot" w:pos="9062"/>
            </w:tabs>
            <w:rPr>
              <w:rFonts w:eastAsiaTheme="minorEastAsia"/>
              <w:noProof/>
              <w:lang w:eastAsia="de-DE"/>
            </w:rPr>
          </w:pPr>
          <w:hyperlink w:anchor="_Toc389741489" w:history="1">
            <w:r w:rsidR="00466415" w:rsidRPr="005D4FDE">
              <w:rPr>
                <w:rStyle w:val="Hyperlink"/>
                <w:noProof/>
                <w:lang w:val="en-US"/>
              </w:rPr>
              <w:t>1.2</w:t>
            </w:r>
            <w:r w:rsidR="00466415">
              <w:rPr>
                <w:rFonts w:eastAsiaTheme="minorEastAsia"/>
                <w:noProof/>
                <w:lang w:eastAsia="de-DE"/>
              </w:rPr>
              <w:tab/>
            </w:r>
            <w:r w:rsidR="00466415" w:rsidRPr="005D4FDE">
              <w:rPr>
                <w:rStyle w:val="Hyperlink"/>
                <w:noProof/>
                <w:lang w:val="en-US"/>
              </w:rPr>
              <w:t>Foxxpro</w:t>
            </w:r>
            <w:r w:rsidR="00466415">
              <w:rPr>
                <w:noProof/>
                <w:webHidden/>
              </w:rPr>
              <w:tab/>
            </w:r>
            <w:r w:rsidR="00466415">
              <w:rPr>
                <w:noProof/>
                <w:webHidden/>
              </w:rPr>
              <w:fldChar w:fldCharType="begin"/>
            </w:r>
            <w:r w:rsidR="00466415">
              <w:rPr>
                <w:noProof/>
                <w:webHidden/>
              </w:rPr>
              <w:instrText xml:space="preserve"> PAGEREF _Toc389741489 \h </w:instrText>
            </w:r>
            <w:r w:rsidR="00466415">
              <w:rPr>
                <w:noProof/>
                <w:webHidden/>
              </w:rPr>
            </w:r>
            <w:r w:rsidR="00466415">
              <w:rPr>
                <w:noProof/>
                <w:webHidden/>
              </w:rPr>
              <w:fldChar w:fldCharType="separate"/>
            </w:r>
            <w:r w:rsidR="00466415">
              <w:rPr>
                <w:noProof/>
                <w:webHidden/>
              </w:rPr>
              <w:t>2</w:t>
            </w:r>
            <w:r w:rsidR="00466415">
              <w:rPr>
                <w:noProof/>
                <w:webHidden/>
              </w:rPr>
              <w:fldChar w:fldCharType="end"/>
            </w:r>
          </w:hyperlink>
        </w:p>
        <w:p w:rsidR="00466415" w:rsidRDefault="009251C2">
          <w:pPr>
            <w:pStyle w:val="TOC2"/>
            <w:tabs>
              <w:tab w:val="left" w:pos="880"/>
              <w:tab w:val="right" w:leader="dot" w:pos="9062"/>
            </w:tabs>
            <w:rPr>
              <w:rFonts w:eastAsiaTheme="minorEastAsia"/>
              <w:noProof/>
              <w:lang w:eastAsia="de-DE"/>
            </w:rPr>
          </w:pPr>
          <w:hyperlink w:anchor="_Toc389741490" w:history="1">
            <w:r w:rsidR="00466415" w:rsidRPr="005D4FDE">
              <w:rPr>
                <w:rStyle w:val="Hyperlink"/>
                <w:noProof/>
                <w:lang w:val="en-US"/>
              </w:rPr>
              <w:t>1.3</w:t>
            </w:r>
            <w:r w:rsidR="00466415">
              <w:rPr>
                <w:rFonts w:eastAsiaTheme="minorEastAsia"/>
                <w:noProof/>
                <w:lang w:eastAsia="de-DE"/>
              </w:rPr>
              <w:tab/>
            </w:r>
            <w:r w:rsidR="00466415" w:rsidRPr="005D4FDE">
              <w:rPr>
                <w:rStyle w:val="Hyperlink"/>
                <w:noProof/>
                <w:lang w:val="en-US"/>
              </w:rPr>
              <w:t>Solomon</w:t>
            </w:r>
            <w:r w:rsidR="00466415">
              <w:rPr>
                <w:noProof/>
                <w:webHidden/>
              </w:rPr>
              <w:tab/>
            </w:r>
            <w:r w:rsidR="00466415">
              <w:rPr>
                <w:noProof/>
                <w:webHidden/>
              </w:rPr>
              <w:fldChar w:fldCharType="begin"/>
            </w:r>
            <w:r w:rsidR="00466415">
              <w:rPr>
                <w:noProof/>
                <w:webHidden/>
              </w:rPr>
              <w:instrText xml:space="preserve"> PAGEREF _Toc389741490 \h </w:instrText>
            </w:r>
            <w:r w:rsidR="00466415">
              <w:rPr>
                <w:noProof/>
                <w:webHidden/>
              </w:rPr>
            </w:r>
            <w:r w:rsidR="00466415">
              <w:rPr>
                <w:noProof/>
                <w:webHidden/>
              </w:rPr>
              <w:fldChar w:fldCharType="separate"/>
            </w:r>
            <w:r w:rsidR="00466415">
              <w:rPr>
                <w:noProof/>
                <w:webHidden/>
              </w:rPr>
              <w:t>3</w:t>
            </w:r>
            <w:r w:rsidR="00466415">
              <w:rPr>
                <w:noProof/>
                <w:webHidden/>
              </w:rPr>
              <w:fldChar w:fldCharType="end"/>
            </w:r>
          </w:hyperlink>
        </w:p>
        <w:p w:rsidR="00466415" w:rsidRDefault="009251C2">
          <w:pPr>
            <w:pStyle w:val="TOC2"/>
            <w:tabs>
              <w:tab w:val="left" w:pos="880"/>
              <w:tab w:val="right" w:leader="dot" w:pos="9062"/>
            </w:tabs>
            <w:rPr>
              <w:rFonts w:eastAsiaTheme="minorEastAsia"/>
              <w:noProof/>
              <w:lang w:eastAsia="de-DE"/>
            </w:rPr>
          </w:pPr>
          <w:hyperlink w:anchor="_Toc389741491" w:history="1">
            <w:r w:rsidR="00466415" w:rsidRPr="005D4FDE">
              <w:rPr>
                <w:rStyle w:val="Hyperlink"/>
                <w:noProof/>
                <w:lang w:val="en-US"/>
              </w:rPr>
              <w:t>1.4</w:t>
            </w:r>
            <w:r w:rsidR="00466415">
              <w:rPr>
                <w:rFonts w:eastAsiaTheme="minorEastAsia"/>
                <w:noProof/>
                <w:lang w:eastAsia="de-DE"/>
              </w:rPr>
              <w:tab/>
            </w:r>
            <w:r w:rsidR="00466415" w:rsidRPr="005D4FDE">
              <w:rPr>
                <w:rStyle w:val="Hyperlink"/>
                <w:noProof/>
                <w:lang w:val="en-US"/>
              </w:rPr>
              <w:t>Hkg_Orders.mdb</w:t>
            </w:r>
            <w:r w:rsidR="00466415">
              <w:rPr>
                <w:noProof/>
                <w:webHidden/>
              </w:rPr>
              <w:tab/>
            </w:r>
            <w:r w:rsidR="00466415">
              <w:rPr>
                <w:noProof/>
                <w:webHidden/>
              </w:rPr>
              <w:fldChar w:fldCharType="begin"/>
            </w:r>
            <w:r w:rsidR="00466415">
              <w:rPr>
                <w:noProof/>
                <w:webHidden/>
              </w:rPr>
              <w:instrText xml:space="preserve"> PAGEREF _Toc389741491 \h </w:instrText>
            </w:r>
            <w:r w:rsidR="00466415">
              <w:rPr>
                <w:noProof/>
                <w:webHidden/>
              </w:rPr>
            </w:r>
            <w:r w:rsidR="00466415">
              <w:rPr>
                <w:noProof/>
                <w:webHidden/>
              </w:rPr>
              <w:fldChar w:fldCharType="separate"/>
            </w:r>
            <w:r w:rsidR="00466415">
              <w:rPr>
                <w:noProof/>
                <w:webHidden/>
              </w:rPr>
              <w:t>3</w:t>
            </w:r>
            <w:r w:rsidR="00466415">
              <w:rPr>
                <w:noProof/>
                <w:webHidden/>
              </w:rPr>
              <w:fldChar w:fldCharType="end"/>
            </w:r>
          </w:hyperlink>
        </w:p>
        <w:p w:rsidR="00466415" w:rsidRDefault="009251C2">
          <w:pPr>
            <w:pStyle w:val="TOC1"/>
            <w:tabs>
              <w:tab w:val="left" w:pos="440"/>
              <w:tab w:val="right" w:leader="dot" w:pos="9062"/>
            </w:tabs>
            <w:rPr>
              <w:rFonts w:eastAsiaTheme="minorEastAsia"/>
              <w:noProof/>
              <w:lang w:eastAsia="de-DE"/>
            </w:rPr>
          </w:pPr>
          <w:hyperlink w:anchor="_Toc389741492" w:history="1">
            <w:r w:rsidR="00466415" w:rsidRPr="005D4FDE">
              <w:rPr>
                <w:rStyle w:val="Hyperlink"/>
                <w:noProof/>
                <w:lang w:val="en-US"/>
              </w:rPr>
              <w:t>2</w:t>
            </w:r>
            <w:r w:rsidR="00466415">
              <w:rPr>
                <w:rFonts w:eastAsiaTheme="minorEastAsia"/>
                <w:noProof/>
                <w:lang w:eastAsia="de-DE"/>
              </w:rPr>
              <w:tab/>
            </w:r>
            <w:r w:rsidR="00466415" w:rsidRPr="005D4FDE">
              <w:rPr>
                <w:rStyle w:val="Hyperlink"/>
                <w:noProof/>
                <w:lang w:val="en-US"/>
              </w:rPr>
              <w:t>Changes of existing orders</w:t>
            </w:r>
            <w:r w:rsidR="00466415">
              <w:rPr>
                <w:noProof/>
                <w:webHidden/>
              </w:rPr>
              <w:tab/>
            </w:r>
            <w:r w:rsidR="00466415">
              <w:rPr>
                <w:noProof/>
                <w:webHidden/>
              </w:rPr>
              <w:fldChar w:fldCharType="begin"/>
            </w:r>
            <w:r w:rsidR="00466415">
              <w:rPr>
                <w:noProof/>
                <w:webHidden/>
              </w:rPr>
              <w:instrText xml:space="preserve"> PAGEREF _Toc389741492 \h </w:instrText>
            </w:r>
            <w:r w:rsidR="00466415">
              <w:rPr>
                <w:noProof/>
                <w:webHidden/>
              </w:rPr>
            </w:r>
            <w:r w:rsidR="00466415">
              <w:rPr>
                <w:noProof/>
                <w:webHidden/>
              </w:rPr>
              <w:fldChar w:fldCharType="separate"/>
            </w:r>
            <w:r w:rsidR="00466415">
              <w:rPr>
                <w:noProof/>
                <w:webHidden/>
              </w:rPr>
              <w:t>4</w:t>
            </w:r>
            <w:r w:rsidR="00466415">
              <w:rPr>
                <w:noProof/>
                <w:webHidden/>
              </w:rPr>
              <w:fldChar w:fldCharType="end"/>
            </w:r>
          </w:hyperlink>
        </w:p>
        <w:p w:rsidR="00466415" w:rsidRDefault="009251C2">
          <w:pPr>
            <w:pStyle w:val="TOC1"/>
            <w:tabs>
              <w:tab w:val="left" w:pos="440"/>
              <w:tab w:val="right" w:leader="dot" w:pos="9062"/>
            </w:tabs>
            <w:rPr>
              <w:rFonts w:eastAsiaTheme="minorEastAsia"/>
              <w:noProof/>
              <w:lang w:eastAsia="de-DE"/>
            </w:rPr>
          </w:pPr>
          <w:hyperlink w:anchor="_Toc389741493" w:history="1">
            <w:r w:rsidR="00466415" w:rsidRPr="005D4FDE">
              <w:rPr>
                <w:rStyle w:val="Hyperlink"/>
                <w:noProof/>
                <w:lang w:val="en-US"/>
              </w:rPr>
              <w:t>3</w:t>
            </w:r>
            <w:r w:rsidR="00466415">
              <w:rPr>
                <w:rFonts w:eastAsiaTheme="minorEastAsia"/>
                <w:noProof/>
                <w:lang w:eastAsia="de-DE"/>
              </w:rPr>
              <w:tab/>
            </w:r>
            <w:r w:rsidR="00466415" w:rsidRPr="005D4FDE">
              <w:rPr>
                <w:rStyle w:val="Hyperlink"/>
                <w:noProof/>
                <w:lang w:val="en-US"/>
              </w:rPr>
              <w:t>Planning in BOARD</w:t>
            </w:r>
            <w:r w:rsidR="00466415">
              <w:rPr>
                <w:noProof/>
                <w:webHidden/>
              </w:rPr>
              <w:tab/>
            </w:r>
            <w:r w:rsidR="00466415">
              <w:rPr>
                <w:noProof/>
                <w:webHidden/>
              </w:rPr>
              <w:fldChar w:fldCharType="begin"/>
            </w:r>
            <w:r w:rsidR="00466415">
              <w:rPr>
                <w:noProof/>
                <w:webHidden/>
              </w:rPr>
              <w:instrText xml:space="preserve"> PAGEREF _Toc389741493 \h </w:instrText>
            </w:r>
            <w:r w:rsidR="00466415">
              <w:rPr>
                <w:noProof/>
                <w:webHidden/>
              </w:rPr>
            </w:r>
            <w:r w:rsidR="00466415">
              <w:rPr>
                <w:noProof/>
                <w:webHidden/>
              </w:rPr>
              <w:fldChar w:fldCharType="separate"/>
            </w:r>
            <w:r w:rsidR="00466415">
              <w:rPr>
                <w:noProof/>
                <w:webHidden/>
              </w:rPr>
              <w:t>4</w:t>
            </w:r>
            <w:r w:rsidR="00466415">
              <w:rPr>
                <w:noProof/>
                <w:webHidden/>
              </w:rPr>
              <w:fldChar w:fldCharType="end"/>
            </w:r>
          </w:hyperlink>
        </w:p>
        <w:p w:rsidR="0067625D" w:rsidRPr="0067625D" w:rsidRDefault="0067625D">
          <w:pPr>
            <w:rPr>
              <w:lang w:val="en-US"/>
            </w:rPr>
          </w:pPr>
          <w:r>
            <w:rPr>
              <w:b/>
              <w:bCs/>
              <w:noProof/>
            </w:rPr>
            <w:fldChar w:fldCharType="end"/>
          </w:r>
        </w:p>
      </w:sdtContent>
    </w:sdt>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pPr>
    </w:p>
    <w:p w:rsidR="0067625D" w:rsidRDefault="0067625D" w:rsidP="005F583C">
      <w:pPr>
        <w:jc w:val="both"/>
        <w:rPr>
          <w:b/>
          <w:u w:val="single"/>
          <w:lang w:val="en-US"/>
        </w:rPr>
        <w:sectPr w:rsidR="0067625D" w:rsidSect="0061742A">
          <w:headerReference w:type="default" r:id="rId9"/>
          <w:footerReference w:type="default" r:id="rId10"/>
          <w:pgSz w:w="11906" w:h="16838"/>
          <w:pgMar w:top="1417" w:right="1417" w:bottom="1134" w:left="1417" w:header="708" w:footer="62" w:gutter="0"/>
          <w:cols w:space="708"/>
          <w:docGrid w:linePitch="360"/>
        </w:sectPr>
      </w:pPr>
    </w:p>
    <w:p w:rsidR="005A1499" w:rsidRPr="0061742A" w:rsidRDefault="00BC4F74" w:rsidP="0067625D">
      <w:pPr>
        <w:pStyle w:val="Heading1"/>
        <w:rPr>
          <w:lang w:val="en-US"/>
        </w:rPr>
      </w:pPr>
      <w:bookmarkStart w:id="0" w:name="_Toc389741487"/>
      <w:r>
        <w:rPr>
          <w:lang w:val="en-US"/>
        </w:rPr>
        <w:lastRenderedPageBreak/>
        <w:t>Connected s</w:t>
      </w:r>
      <w:r w:rsidR="0067625D">
        <w:rPr>
          <w:lang w:val="en-US"/>
        </w:rPr>
        <w:t>ystems</w:t>
      </w:r>
      <w:r>
        <w:rPr>
          <w:lang w:val="en-US"/>
        </w:rPr>
        <w:t xml:space="preserve"> and databases</w:t>
      </w:r>
      <w:bookmarkEnd w:id="0"/>
    </w:p>
    <w:p w:rsidR="00234405" w:rsidRDefault="00234405" w:rsidP="005F583C">
      <w:pPr>
        <w:spacing w:after="0"/>
        <w:jc w:val="both"/>
        <w:rPr>
          <w:lang w:val="en-US"/>
        </w:rPr>
      </w:pPr>
      <w:r>
        <w:rPr>
          <w:lang w:val="en-US"/>
        </w:rPr>
        <w:t>So far, data in BOARD i</w:t>
      </w:r>
      <w:r w:rsidR="00CE2771">
        <w:rPr>
          <w:lang w:val="en-US"/>
        </w:rPr>
        <w:t>s retrieved from several source systems</w:t>
      </w:r>
      <w:r>
        <w:rPr>
          <w:lang w:val="en-US"/>
        </w:rPr>
        <w:t>:</w:t>
      </w:r>
    </w:p>
    <w:p w:rsidR="00234405" w:rsidRDefault="00234405" w:rsidP="00AB4759">
      <w:pPr>
        <w:pStyle w:val="ListParagraph"/>
        <w:numPr>
          <w:ilvl w:val="0"/>
          <w:numId w:val="3"/>
        </w:numPr>
        <w:spacing w:after="0"/>
        <w:jc w:val="both"/>
        <w:rPr>
          <w:lang w:val="en-US"/>
        </w:rPr>
      </w:pPr>
      <w:r>
        <w:rPr>
          <w:lang w:val="en-US"/>
        </w:rPr>
        <w:t>Ventas</w:t>
      </w:r>
    </w:p>
    <w:p w:rsidR="00234405" w:rsidRDefault="00234405" w:rsidP="005F583C">
      <w:pPr>
        <w:pStyle w:val="ListParagraph"/>
        <w:numPr>
          <w:ilvl w:val="0"/>
          <w:numId w:val="3"/>
        </w:numPr>
        <w:spacing w:after="0"/>
        <w:jc w:val="both"/>
        <w:rPr>
          <w:lang w:val="en-US"/>
        </w:rPr>
      </w:pPr>
      <w:proofErr w:type="spellStart"/>
      <w:r>
        <w:rPr>
          <w:lang w:val="en-US"/>
        </w:rPr>
        <w:t>Foxxpro</w:t>
      </w:r>
      <w:proofErr w:type="spellEnd"/>
    </w:p>
    <w:p w:rsidR="00234405" w:rsidRDefault="00234405" w:rsidP="005F583C">
      <w:pPr>
        <w:pStyle w:val="ListParagraph"/>
        <w:numPr>
          <w:ilvl w:val="0"/>
          <w:numId w:val="3"/>
        </w:numPr>
        <w:spacing w:after="0"/>
        <w:jc w:val="both"/>
        <w:rPr>
          <w:lang w:val="en-US"/>
        </w:rPr>
      </w:pPr>
      <w:r>
        <w:rPr>
          <w:lang w:val="en-US"/>
        </w:rPr>
        <w:t>Solomon</w:t>
      </w:r>
    </w:p>
    <w:p w:rsidR="00234405" w:rsidRDefault="0090108D" w:rsidP="005F583C">
      <w:pPr>
        <w:pStyle w:val="ListParagraph"/>
        <w:numPr>
          <w:ilvl w:val="0"/>
          <w:numId w:val="3"/>
        </w:numPr>
        <w:spacing w:after="0"/>
        <w:jc w:val="both"/>
        <w:rPr>
          <w:lang w:val="en-US"/>
        </w:rPr>
      </w:pPr>
      <w:r>
        <w:rPr>
          <w:lang w:val="en-US"/>
        </w:rPr>
        <w:t>Hkg_Orders</w:t>
      </w:r>
      <w:r w:rsidR="00234405">
        <w:rPr>
          <w:lang w:val="en-US"/>
        </w:rPr>
        <w:t>.mdb</w:t>
      </w:r>
    </w:p>
    <w:p w:rsidR="00234405" w:rsidRDefault="00234405" w:rsidP="005F583C">
      <w:pPr>
        <w:spacing w:after="0"/>
        <w:jc w:val="both"/>
        <w:rPr>
          <w:lang w:val="en-US"/>
        </w:rPr>
      </w:pPr>
    </w:p>
    <w:p w:rsidR="00AB4759" w:rsidRDefault="00AB4759" w:rsidP="005F583C">
      <w:pPr>
        <w:spacing w:after="0"/>
        <w:jc w:val="both"/>
        <w:rPr>
          <w:lang w:val="en-US"/>
        </w:rPr>
      </w:pPr>
    </w:p>
    <w:p w:rsidR="0067625D" w:rsidRDefault="0067625D" w:rsidP="0067625D">
      <w:pPr>
        <w:pStyle w:val="Heading2"/>
        <w:rPr>
          <w:lang w:val="en-US"/>
        </w:rPr>
      </w:pPr>
      <w:bookmarkStart w:id="1" w:name="_Toc389741488"/>
      <w:r>
        <w:rPr>
          <w:lang w:val="en-US"/>
        </w:rPr>
        <w:t>Ventas</w:t>
      </w:r>
      <w:bookmarkEnd w:id="1"/>
    </w:p>
    <w:p w:rsidR="00234405" w:rsidRDefault="00760333" w:rsidP="005F583C">
      <w:pPr>
        <w:spacing w:after="0"/>
        <w:jc w:val="both"/>
        <w:rPr>
          <w:lang w:val="en-US"/>
        </w:rPr>
      </w:pPr>
      <w:r>
        <w:rPr>
          <w:lang w:val="en-US"/>
        </w:rPr>
        <w:t>Hamburg is the main procurement center location consisting of one legal entity “</w:t>
      </w:r>
      <w:proofErr w:type="spellStart"/>
      <w:r>
        <w:rPr>
          <w:lang w:val="en-US"/>
        </w:rPr>
        <w:t>Rieckermann</w:t>
      </w:r>
      <w:proofErr w:type="spellEnd"/>
      <w:r>
        <w:rPr>
          <w:lang w:val="en-US"/>
        </w:rPr>
        <w:t xml:space="preserve"> GmbH”. </w:t>
      </w:r>
      <w:r w:rsidR="00234405">
        <w:rPr>
          <w:lang w:val="en-US"/>
        </w:rPr>
        <w:t>Ventas is the combined system for order registration and accounting in Hamburg. All orders procured via</w:t>
      </w:r>
      <w:r w:rsidR="00743321">
        <w:rPr>
          <w:lang w:val="en-US"/>
        </w:rPr>
        <w:t xml:space="preserve"> Hamburg are taken from Ventas.</w:t>
      </w:r>
    </w:p>
    <w:p w:rsidR="00CE2771" w:rsidRDefault="00CE2771" w:rsidP="005F583C">
      <w:pPr>
        <w:spacing w:after="0"/>
        <w:jc w:val="both"/>
        <w:rPr>
          <w:lang w:val="en-US"/>
        </w:rPr>
      </w:pPr>
    </w:p>
    <w:p w:rsidR="00CE2771" w:rsidRPr="00CE2771" w:rsidRDefault="00CE2771" w:rsidP="005F583C">
      <w:pPr>
        <w:spacing w:after="0"/>
        <w:jc w:val="both"/>
        <w:rPr>
          <w:u w:val="single"/>
          <w:lang w:val="en-US"/>
        </w:rPr>
      </w:pPr>
      <w:proofErr w:type="spellStart"/>
      <w:r w:rsidRPr="00CE2771">
        <w:rPr>
          <w:u w:val="single"/>
          <w:lang w:val="en-US"/>
        </w:rPr>
        <w:t>Precalculation</w:t>
      </w:r>
      <w:proofErr w:type="spellEnd"/>
      <w:r w:rsidRPr="00CE2771">
        <w:rPr>
          <w:u w:val="single"/>
          <w:lang w:val="en-US"/>
        </w:rPr>
        <w:t xml:space="preserve"> stage:</w:t>
      </w:r>
    </w:p>
    <w:p w:rsidR="00CE2771" w:rsidRDefault="00CE2771" w:rsidP="005F583C">
      <w:pPr>
        <w:spacing w:after="0"/>
        <w:jc w:val="both"/>
        <w:rPr>
          <w:lang w:val="en-US"/>
        </w:rPr>
      </w:pPr>
      <w:r>
        <w:rPr>
          <w:lang w:val="en-US"/>
        </w:rPr>
        <w:t xml:space="preserve">Order values and DB2 (Order value minus prec. Cost) are directly taken from the order registration part from Ventas. No accounting figures. In BOARD such orders are displayed as “Order Intake” (OI) and “Order Backlog” (OB). </w:t>
      </w:r>
      <w:r w:rsidRPr="00C23C60">
        <w:rPr>
          <w:highlight w:val="yellow"/>
          <w:lang w:val="en-US"/>
        </w:rPr>
        <w:t>The determination of the “Order Intake” date is based on the registration date of the order in Ventas</w:t>
      </w:r>
      <w:r>
        <w:rPr>
          <w:lang w:val="en-US"/>
        </w:rPr>
        <w:t>.</w:t>
      </w:r>
      <w:r w:rsidR="00E27D32">
        <w:rPr>
          <w:lang w:val="en-US"/>
        </w:rPr>
        <w:t xml:space="preserve"> </w:t>
      </w:r>
      <w:r w:rsidR="00E27D32" w:rsidRPr="008702A9">
        <w:rPr>
          <w:b/>
          <w:lang w:val="en-US"/>
        </w:rPr>
        <w:t>From that date onwards the order will always be “Order Intake”</w:t>
      </w:r>
      <w:r w:rsidR="00E27D32">
        <w:rPr>
          <w:lang w:val="en-US"/>
        </w:rPr>
        <w:t>. The order will be in OB until shipment stage.</w:t>
      </w:r>
      <w:bookmarkStart w:id="2" w:name="_GoBack"/>
      <w:bookmarkEnd w:id="2"/>
    </w:p>
    <w:p w:rsidR="00A767ED" w:rsidRDefault="00A767ED" w:rsidP="005F583C">
      <w:pPr>
        <w:spacing w:after="0"/>
        <w:jc w:val="both"/>
        <w:rPr>
          <w:lang w:val="en-US"/>
        </w:rPr>
      </w:pPr>
      <w:r>
        <w:rPr>
          <w:lang w:val="en-US"/>
        </w:rPr>
        <w:t>The estimated delivery date in Ventas is only a reference to determine upcoming shipments.</w:t>
      </w:r>
    </w:p>
    <w:p w:rsidR="00E27D32" w:rsidRDefault="00E27D32" w:rsidP="005F583C">
      <w:pPr>
        <w:spacing w:after="0"/>
        <w:jc w:val="both"/>
        <w:rPr>
          <w:lang w:val="en-US"/>
        </w:rPr>
      </w:pPr>
    </w:p>
    <w:p w:rsidR="00E27D32" w:rsidRPr="00E27D32" w:rsidRDefault="00E27D32" w:rsidP="005F583C">
      <w:pPr>
        <w:spacing w:after="0"/>
        <w:jc w:val="both"/>
        <w:rPr>
          <w:u w:val="single"/>
          <w:lang w:val="en-US"/>
        </w:rPr>
      </w:pPr>
      <w:r w:rsidRPr="00E27D32">
        <w:rPr>
          <w:u w:val="single"/>
          <w:lang w:val="en-US"/>
        </w:rPr>
        <w:t>Shipment stage:</w:t>
      </w:r>
    </w:p>
    <w:p w:rsidR="00E27D32" w:rsidRDefault="005F583C" w:rsidP="005F583C">
      <w:pPr>
        <w:spacing w:after="0"/>
        <w:jc w:val="both"/>
        <w:rPr>
          <w:lang w:val="en-US"/>
        </w:rPr>
      </w:pPr>
      <w:r>
        <w:rPr>
          <w:lang w:val="en-US"/>
        </w:rPr>
        <w:t xml:space="preserve">Upon shipment the order appears as “Turnover” (TO) and no longer as OB. </w:t>
      </w:r>
      <w:r w:rsidR="00E27D32">
        <w:rPr>
          <w:lang w:val="en-US"/>
        </w:rPr>
        <w:t>As there is no reliable shipment date available in Ventas, shipment is deemed to have occurred on the day of revenue recognit</w:t>
      </w:r>
      <w:r w:rsidR="007173E4">
        <w:rPr>
          <w:lang w:val="en-US"/>
        </w:rPr>
        <w:t>ion, in this case</w:t>
      </w:r>
      <w:r>
        <w:rPr>
          <w:lang w:val="en-US"/>
        </w:rPr>
        <w:t xml:space="preserve"> minimum </w:t>
      </w:r>
      <w:r w:rsidR="004303A8">
        <w:rPr>
          <w:lang w:val="en-US"/>
        </w:rPr>
        <w:t>invoice date. Hence,</w:t>
      </w:r>
      <w:r w:rsidR="007173E4">
        <w:rPr>
          <w:lang w:val="en-US"/>
        </w:rPr>
        <w:t xml:space="preserve"> the accounting part from Ventas is taken into consideration only for defining the shipment date. Order values and DB2 are still taken from the order registration part. Consequently both figures are still </w:t>
      </w:r>
      <w:proofErr w:type="spellStart"/>
      <w:r w:rsidR="007173E4">
        <w:rPr>
          <w:lang w:val="en-US"/>
        </w:rPr>
        <w:t>precalculated</w:t>
      </w:r>
      <w:proofErr w:type="spellEnd"/>
      <w:r w:rsidR="007173E4">
        <w:rPr>
          <w:lang w:val="en-US"/>
        </w:rPr>
        <w:t>.</w:t>
      </w:r>
      <w:r w:rsidR="004303A8">
        <w:rPr>
          <w:lang w:val="en-US"/>
        </w:rPr>
        <w:t xml:space="preserve"> </w:t>
      </w:r>
      <w:r w:rsidR="00CE6627">
        <w:rPr>
          <w:lang w:val="en-US"/>
        </w:rPr>
        <w:t xml:space="preserve">A clear distinction between pre- and </w:t>
      </w:r>
      <w:proofErr w:type="spellStart"/>
      <w:r w:rsidR="00CE6627">
        <w:rPr>
          <w:lang w:val="en-US"/>
        </w:rPr>
        <w:t>postcalculation</w:t>
      </w:r>
      <w:proofErr w:type="spellEnd"/>
      <w:r w:rsidR="00CE6627">
        <w:rPr>
          <w:lang w:val="en-US"/>
        </w:rPr>
        <w:t xml:space="preserve"> with no automatic, intermediate extrapolation is the underlying rationale. It shall easily be reproducible for report recipients where the figures come from.</w:t>
      </w:r>
    </w:p>
    <w:p w:rsidR="00B1257C" w:rsidRDefault="00B1257C" w:rsidP="005F583C">
      <w:pPr>
        <w:spacing w:after="0"/>
        <w:jc w:val="both"/>
        <w:rPr>
          <w:lang w:val="en-US"/>
        </w:rPr>
      </w:pPr>
    </w:p>
    <w:p w:rsidR="00B1257C" w:rsidRDefault="00FD5862" w:rsidP="005F583C">
      <w:pPr>
        <w:spacing w:after="0"/>
        <w:jc w:val="both"/>
        <w:rPr>
          <w:lang w:val="en-US"/>
        </w:rPr>
      </w:pPr>
      <w:r>
        <w:rPr>
          <w:lang w:val="en-US"/>
        </w:rPr>
        <w:t xml:space="preserve">The Turnover </w:t>
      </w:r>
      <w:r w:rsidR="00B1257C">
        <w:rPr>
          <w:lang w:val="en-US"/>
        </w:rPr>
        <w:t>In this context</w:t>
      </w:r>
      <w:r>
        <w:rPr>
          <w:lang w:val="en-US"/>
        </w:rPr>
        <w:t xml:space="preserve"> does not refer the turnover in any P&amp;L, i.e. to of official accounting standards. </w:t>
      </w:r>
    </w:p>
    <w:p w:rsidR="00E27D32" w:rsidRDefault="00E27D32" w:rsidP="005F583C">
      <w:pPr>
        <w:spacing w:after="0"/>
        <w:jc w:val="both"/>
        <w:rPr>
          <w:lang w:val="en-US"/>
        </w:rPr>
      </w:pPr>
    </w:p>
    <w:p w:rsidR="00E27D32" w:rsidRDefault="00E27D32" w:rsidP="005F583C">
      <w:pPr>
        <w:spacing w:after="0"/>
        <w:jc w:val="both"/>
        <w:rPr>
          <w:lang w:val="en-US"/>
        </w:rPr>
      </w:pPr>
    </w:p>
    <w:p w:rsidR="00E27D32" w:rsidRPr="00E27D32" w:rsidRDefault="00E27D32" w:rsidP="005F583C">
      <w:pPr>
        <w:spacing w:after="0"/>
        <w:jc w:val="both"/>
        <w:rPr>
          <w:u w:val="single"/>
          <w:lang w:val="en-US"/>
        </w:rPr>
      </w:pPr>
      <w:r w:rsidRPr="00E27D32">
        <w:rPr>
          <w:u w:val="single"/>
          <w:lang w:val="en-US"/>
        </w:rPr>
        <w:t>Post calculation stage:</w:t>
      </w:r>
    </w:p>
    <w:p w:rsidR="00CE2771" w:rsidRDefault="009A0F96" w:rsidP="005F583C">
      <w:pPr>
        <w:spacing w:after="0"/>
        <w:jc w:val="both"/>
        <w:rPr>
          <w:lang w:val="en-US"/>
        </w:rPr>
      </w:pPr>
      <w:r>
        <w:rPr>
          <w:lang w:val="en-US"/>
        </w:rPr>
        <w:t>After shipment</w:t>
      </w:r>
      <w:r w:rsidR="005F583C">
        <w:rPr>
          <w:lang w:val="en-US"/>
        </w:rPr>
        <w:t xml:space="preserve"> revenue and cost </w:t>
      </w:r>
      <w:r>
        <w:rPr>
          <w:lang w:val="en-US"/>
        </w:rPr>
        <w:t xml:space="preserve">may not </w:t>
      </w:r>
      <w:r w:rsidR="005F583C">
        <w:rPr>
          <w:lang w:val="en-US"/>
        </w:rPr>
        <w:t>have yet occurred</w:t>
      </w:r>
      <w:r>
        <w:rPr>
          <w:lang w:val="en-US"/>
        </w:rPr>
        <w:t xml:space="preserve"> fully</w:t>
      </w:r>
      <w:r w:rsidR="005F583C">
        <w:rPr>
          <w:lang w:val="en-US"/>
        </w:rPr>
        <w:t xml:space="preserve">. </w:t>
      </w:r>
      <w:r w:rsidR="008F610C">
        <w:rPr>
          <w:lang w:val="en-US"/>
        </w:rPr>
        <w:t>Once</w:t>
      </w:r>
      <w:r w:rsidR="005F583C">
        <w:rPr>
          <w:lang w:val="en-US"/>
        </w:rPr>
        <w:t xml:space="preserve"> all revenue and cost have been booked in the accounting, the accounting closes the order in Ventas “order closure”. From that point on BOARD retrieves the order value and DB2 d</w:t>
      </w:r>
      <w:r>
        <w:rPr>
          <w:lang w:val="en-US"/>
        </w:rPr>
        <w:t xml:space="preserve">irectly from Ventas Accounting. The orders still appear in TO, but figures are post calculated, i.e. actuals. </w:t>
      </w:r>
    </w:p>
    <w:p w:rsidR="009A0F96" w:rsidRPr="000F493A" w:rsidRDefault="009A0F96" w:rsidP="005F583C">
      <w:pPr>
        <w:spacing w:after="0"/>
        <w:jc w:val="both"/>
        <w:rPr>
          <w:b/>
          <w:lang w:val="en-US"/>
        </w:rPr>
      </w:pPr>
      <w:r>
        <w:rPr>
          <w:lang w:val="en-US"/>
        </w:rPr>
        <w:t>Apart from this logic, there is one exception for “commission”</w:t>
      </w:r>
      <w:r w:rsidR="0000418C">
        <w:rPr>
          <w:lang w:val="en-US"/>
        </w:rPr>
        <w:t xml:space="preserve"> orders. </w:t>
      </w:r>
      <w:r w:rsidR="0000418C" w:rsidRPr="000F493A">
        <w:rPr>
          <w:b/>
          <w:lang w:val="en-US"/>
        </w:rPr>
        <w:t>For commission</w:t>
      </w:r>
      <w:r w:rsidRPr="000F493A">
        <w:rPr>
          <w:b/>
          <w:lang w:val="en-US"/>
        </w:rPr>
        <w:t xml:space="preserve"> order</w:t>
      </w:r>
      <w:r w:rsidR="0000418C" w:rsidRPr="000F493A">
        <w:rPr>
          <w:b/>
          <w:lang w:val="en-US"/>
        </w:rPr>
        <w:t>s</w:t>
      </w:r>
      <w:r w:rsidRPr="000F493A">
        <w:rPr>
          <w:b/>
          <w:lang w:val="en-US"/>
        </w:rPr>
        <w:t xml:space="preserve"> the order value is always taken from Ventas Order Processing, as </w:t>
      </w:r>
      <w:r w:rsidR="008F610C" w:rsidRPr="000F493A">
        <w:rPr>
          <w:b/>
          <w:lang w:val="en-US"/>
        </w:rPr>
        <w:t xml:space="preserve">for this figure </w:t>
      </w:r>
      <w:r w:rsidRPr="000F493A">
        <w:rPr>
          <w:b/>
          <w:lang w:val="en-US"/>
        </w:rPr>
        <w:t>no a</w:t>
      </w:r>
      <w:r w:rsidR="0000418C" w:rsidRPr="000F493A">
        <w:rPr>
          <w:b/>
          <w:lang w:val="en-US"/>
        </w:rPr>
        <w:t>ctual accounting revenue exists.</w:t>
      </w:r>
    </w:p>
    <w:p w:rsidR="00FB6D78" w:rsidRDefault="00FB6D78" w:rsidP="005F583C">
      <w:pPr>
        <w:spacing w:after="0"/>
        <w:jc w:val="both"/>
        <w:rPr>
          <w:lang w:val="en-US"/>
        </w:rPr>
      </w:pPr>
    </w:p>
    <w:p w:rsidR="00FB6D78" w:rsidRDefault="00FB6D78" w:rsidP="005F583C">
      <w:pPr>
        <w:spacing w:after="0"/>
        <w:jc w:val="both"/>
        <w:rPr>
          <w:lang w:val="en-US"/>
        </w:rPr>
      </w:pPr>
      <w:r>
        <w:rPr>
          <w:lang w:val="en-US"/>
        </w:rPr>
        <w:lastRenderedPageBreak/>
        <w:t xml:space="preserve">Short term target is to enable a reporting with pre- and </w:t>
      </w:r>
      <w:proofErr w:type="spellStart"/>
      <w:r>
        <w:rPr>
          <w:lang w:val="en-US"/>
        </w:rPr>
        <w:t>postcalculation</w:t>
      </w:r>
      <w:proofErr w:type="spellEnd"/>
      <w:r>
        <w:rPr>
          <w:lang w:val="en-US"/>
        </w:rPr>
        <w:t>.</w:t>
      </w:r>
      <w:r w:rsidR="00907144">
        <w:rPr>
          <w:lang w:val="en-US"/>
        </w:rPr>
        <w:t xml:space="preserve"> A report recipient shall be able to clearly distinguish which figures he or she is confronted with. </w:t>
      </w:r>
    </w:p>
    <w:p w:rsidR="00760333" w:rsidRDefault="00760333" w:rsidP="005F583C">
      <w:pPr>
        <w:spacing w:after="0"/>
        <w:jc w:val="both"/>
        <w:rPr>
          <w:lang w:val="en-US"/>
        </w:rPr>
      </w:pPr>
    </w:p>
    <w:p w:rsidR="0067625D" w:rsidRDefault="0067625D" w:rsidP="0067625D">
      <w:pPr>
        <w:pStyle w:val="Heading2"/>
        <w:rPr>
          <w:lang w:val="en-US"/>
        </w:rPr>
      </w:pPr>
      <w:bookmarkStart w:id="3" w:name="_Toc389741489"/>
      <w:proofErr w:type="spellStart"/>
      <w:r>
        <w:rPr>
          <w:lang w:val="en-US"/>
        </w:rPr>
        <w:t>Foxxpro</w:t>
      </w:r>
      <w:bookmarkEnd w:id="3"/>
      <w:proofErr w:type="spellEnd"/>
    </w:p>
    <w:p w:rsidR="009A0F96" w:rsidRDefault="00760333" w:rsidP="005F583C">
      <w:pPr>
        <w:spacing w:after="0"/>
        <w:jc w:val="both"/>
        <w:rPr>
          <w:lang w:val="en-US"/>
        </w:rPr>
      </w:pPr>
      <w:r>
        <w:rPr>
          <w:lang w:val="en-US"/>
        </w:rPr>
        <w:t>Next to Hamburg Hong Kong is another procurement center location. One major difference to Hamburg is that in Hong Kong several legal entities are listed and these entities have a double function. An entity might be procurement center and Business Unit at the same time. Another difference is the existence of two separate systems for order processing and accounting.</w:t>
      </w:r>
    </w:p>
    <w:p w:rsidR="00760333" w:rsidRDefault="00760333" w:rsidP="005F583C">
      <w:pPr>
        <w:spacing w:after="0"/>
        <w:jc w:val="both"/>
        <w:rPr>
          <w:lang w:val="en-US"/>
        </w:rPr>
      </w:pPr>
    </w:p>
    <w:p w:rsidR="00A1639E" w:rsidRDefault="00A1639E" w:rsidP="005F583C">
      <w:pPr>
        <w:spacing w:after="0"/>
        <w:jc w:val="both"/>
        <w:rPr>
          <w:lang w:val="en-US"/>
        </w:rPr>
      </w:pPr>
      <w:r>
        <w:rPr>
          <w:lang w:val="en-US"/>
        </w:rPr>
        <w:t xml:space="preserve">Whereby, </w:t>
      </w:r>
      <w:proofErr w:type="spellStart"/>
      <w:r w:rsidR="00760333">
        <w:rPr>
          <w:lang w:val="en-US"/>
        </w:rPr>
        <w:t>Foxxpro</w:t>
      </w:r>
      <w:proofErr w:type="spellEnd"/>
      <w:r w:rsidR="00760333">
        <w:rPr>
          <w:lang w:val="en-US"/>
        </w:rPr>
        <w:t xml:space="preserve"> is the </w:t>
      </w:r>
      <w:r w:rsidR="005B510D">
        <w:rPr>
          <w:lang w:val="en-US"/>
        </w:rPr>
        <w:t xml:space="preserve">order registration system in Hong Kong. Although the system does not allow the distinction of legal entities, all entities register their orders in </w:t>
      </w:r>
      <w:r>
        <w:rPr>
          <w:lang w:val="en-US"/>
        </w:rPr>
        <w:t>this</w:t>
      </w:r>
      <w:r w:rsidR="005B510D">
        <w:rPr>
          <w:lang w:val="en-US"/>
        </w:rPr>
        <w:t xml:space="preserve"> system by using some kind of internal coding. As the legal entities may have a double function, all orders, even when procured via Ham</w:t>
      </w:r>
      <w:r w:rsidR="00DB3D44">
        <w:rPr>
          <w:lang w:val="en-US"/>
        </w:rPr>
        <w:t xml:space="preserve">burg, are registered in </w:t>
      </w:r>
      <w:proofErr w:type="spellStart"/>
      <w:r w:rsidR="00DB3D44">
        <w:rPr>
          <w:lang w:val="en-US"/>
        </w:rPr>
        <w:t>Foxxpro</w:t>
      </w:r>
      <w:proofErr w:type="spellEnd"/>
      <w:r w:rsidR="00DB3D44">
        <w:rPr>
          <w:lang w:val="en-US"/>
        </w:rPr>
        <w:t xml:space="preserve">. </w:t>
      </w:r>
    </w:p>
    <w:p w:rsidR="00A1639E" w:rsidRDefault="00A1639E" w:rsidP="005F583C">
      <w:pPr>
        <w:spacing w:after="0"/>
        <w:jc w:val="both"/>
        <w:rPr>
          <w:lang w:val="en-US"/>
        </w:rPr>
      </w:pPr>
    </w:p>
    <w:p w:rsidR="00A1639E" w:rsidRPr="00A1639E" w:rsidRDefault="00A1639E" w:rsidP="005F583C">
      <w:pPr>
        <w:spacing w:after="0"/>
        <w:jc w:val="both"/>
        <w:rPr>
          <w:u w:val="single"/>
          <w:lang w:val="en-US"/>
        </w:rPr>
      </w:pPr>
      <w:proofErr w:type="spellStart"/>
      <w:r w:rsidRPr="00A1639E">
        <w:rPr>
          <w:u w:val="single"/>
          <w:lang w:val="en-US"/>
        </w:rPr>
        <w:t>Precalculation</w:t>
      </w:r>
      <w:proofErr w:type="spellEnd"/>
      <w:r w:rsidRPr="00A1639E">
        <w:rPr>
          <w:u w:val="single"/>
          <w:lang w:val="en-US"/>
        </w:rPr>
        <w:t xml:space="preserve"> stage:</w:t>
      </w:r>
    </w:p>
    <w:p w:rsidR="00760333" w:rsidRDefault="00DB3D44" w:rsidP="005F583C">
      <w:pPr>
        <w:spacing w:after="0"/>
        <w:jc w:val="both"/>
        <w:rPr>
          <w:lang w:val="en-US"/>
        </w:rPr>
      </w:pPr>
      <w:r>
        <w:rPr>
          <w:lang w:val="en-US"/>
        </w:rPr>
        <w:t xml:space="preserve">There is </w:t>
      </w:r>
      <w:r w:rsidR="00A1639E">
        <w:rPr>
          <w:lang w:val="en-US"/>
        </w:rPr>
        <w:t xml:space="preserve">a “Hamburg involved” </w:t>
      </w:r>
      <w:r>
        <w:rPr>
          <w:lang w:val="en-US"/>
        </w:rPr>
        <w:t xml:space="preserve">field in </w:t>
      </w:r>
      <w:proofErr w:type="spellStart"/>
      <w:r>
        <w:rPr>
          <w:lang w:val="en-US"/>
        </w:rPr>
        <w:t>Foxxpro</w:t>
      </w:r>
      <w:proofErr w:type="spellEnd"/>
      <w:r>
        <w:rPr>
          <w:lang w:val="en-US"/>
        </w:rPr>
        <w:t xml:space="preserve"> </w:t>
      </w:r>
      <w:r w:rsidR="009A0AE7">
        <w:rPr>
          <w:lang w:val="en-US"/>
        </w:rPr>
        <w:t>which means procured via Ham</w:t>
      </w:r>
      <w:r>
        <w:rPr>
          <w:lang w:val="en-US"/>
        </w:rPr>
        <w:t>burg YES or NO to determine the procurement center.</w:t>
      </w:r>
    </w:p>
    <w:p w:rsidR="00DB3D44" w:rsidRDefault="00DB3D44" w:rsidP="005F583C">
      <w:pPr>
        <w:spacing w:after="0"/>
        <w:jc w:val="both"/>
        <w:rPr>
          <w:lang w:val="en-US"/>
        </w:rPr>
      </w:pPr>
    </w:p>
    <w:p w:rsidR="00DB3D44" w:rsidRPr="002536F7" w:rsidRDefault="00DB3D44" w:rsidP="002536F7">
      <w:pPr>
        <w:spacing w:after="0"/>
        <w:ind w:left="142"/>
        <w:jc w:val="both"/>
        <w:rPr>
          <w:rFonts w:ascii="Batang" w:eastAsia="Batang" w:hAnsi="Batang"/>
          <w:color w:val="0070C0"/>
          <w:sz w:val="16"/>
          <w:szCs w:val="16"/>
          <w:u w:val="single"/>
          <w:lang w:val="en-US"/>
        </w:rPr>
      </w:pPr>
      <w:r w:rsidRPr="002536F7">
        <w:rPr>
          <w:rFonts w:ascii="Batang" w:eastAsia="Batang" w:hAnsi="Batang"/>
          <w:color w:val="0070C0"/>
          <w:sz w:val="16"/>
          <w:szCs w:val="16"/>
          <w:u w:val="single"/>
          <w:lang w:val="en-US"/>
        </w:rPr>
        <w:t xml:space="preserve">SQL </w:t>
      </w:r>
      <w:r w:rsidR="009D7295" w:rsidRPr="002536F7">
        <w:rPr>
          <w:rFonts w:ascii="Batang" w:eastAsia="Batang" w:hAnsi="Batang"/>
          <w:color w:val="0070C0"/>
          <w:sz w:val="16"/>
          <w:szCs w:val="16"/>
          <w:u w:val="single"/>
          <w:lang w:val="en-US"/>
        </w:rPr>
        <w:t>logic</w:t>
      </w:r>
      <w:r w:rsidRPr="002536F7">
        <w:rPr>
          <w:rFonts w:ascii="Batang" w:eastAsia="Batang" w:hAnsi="Batang"/>
          <w:color w:val="0070C0"/>
          <w:sz w:val="16"/>
          <w:szCs w:val="16"/>
          <w:u w:val="single"/>
          <w:lang w:val="en-US"/>
        </w:rPr>
        <w:t>:</w:t>
      </w:r>
    </w:p>
    <w:p w:rsidR="009A0AE7" w:rsidRPr="002536F7" w:rsidRDefault="009A0AE7" w:rsidP="002536F7">
      <w:pPr>
        <w:spacing w:after="0"/>
        <w:ind w:left="142"/>
        <w:jc w:val="both"/>
        <w:rPr>
          <w:rFonts w:ascii="Batang" w:eastAsia="Batang" w:hAnsi="Batang"/>
          <w:color w:val="0070C0"/>
          <w:sz w:val="16"/>
          <w:szCs w:val="16"/>
          <w:lang w:val="en-US"/>
        </w:rPr>
      </w:pPr>
      <w:r w:rsidRPr="002536F7">
        <w:rPr>
          <w:rFonts w:ascii="Batang" w:eastAsia="Batang" w:hAnsi="Batang"/>
          <w:color w:val="0070C0"/>
          <w:sz w:val="16"/>
          <w:szCs w:val="16"/>
          <w:lang w:val="en-US"/>
        </w:rPr>
        <w:t>All orders with Hamburg involved = YES are loaded into BOARD but retrieved from Ventas</w:t>
      </w:r>
    </w:p>
    <w:p w:rsidR="00FB6D78" w:rsidRPr="002536F7" w:rsidRDefault="00FB6D78" w:rsidP="002536F7">
      <w:pPr>
        <w:spacing w:after="0"/>
        <w:ind w:left="142"/>
        <w:jc w:val="both"/>
        <w:rPr>
          <w:rFonts w:ascii="Batang" w:eastAsia="Batang" w:hAnsi="Batang"/>
          <w:sz w:val="16"/>
          <w:szCs w:val="16"/>
          <w:lang w:val="en-US"/>
        </w:rPr>
      </w:pPr>
      <w:r w:rsidRPr="002536F7">
        <w:rPr>
          <w:rFonts w:ascii="Batang" w:eastAsia="Batang" w:hAnsi="Batang"/>
          <w:color w:val="0070C0"/>
          <w:sz w:val="16"/>
          <w:szCs w:val="16"/>
          <w:lang w:val="en-US"/>
        </w:rPr>
        <w:t xml:space="preserve">All orders with Hamburg involved = NO are retrieved from </w:t>
      </w:r>
      <w:proofErr w:type="spellStart"/>
      <w:r w:rsidRPr="002536F7">
        <w:rPr>
          <w:rFonts w:ascii="Batang" w:eastAsia="Batang" w:hAnsi="Batang"/>
          <w:color w:val="0070C0"/>
          <w:sz w:val="16"/>
          <w:szCs w:val="16"/>
          <w:lang w:val="en-US"/>
        </w:rPr>
        <w:t>Foxxpro</w:t>
      </w:r>
      <w:proofErr w:type="spellEnd"/>
      <w:r w:rsidRPr="002536F7">
        <w:rPr>
          <w:rFonts w:ascii="Batang" w:eastAsia="Batang" w:hAnsi="Batang"/>
          <w:color w:val="0070C0"/>
          <w:sz w:val="16"/>
          <w:szCs w:val="16"/>
          <w:lang w:val="en-US"/>
        </w:rPr>
        <w:t xml:space="preserve"> and loaded into BOARD</w:t>
      </w:r>
    </w:p>
    <w:p w:rsidR="009A0AE7" w:rsidRDefault="009A0AE7" w:rsidP="005F583C">
      <w:pPr>
        <w:spacing w:after="0"/>
        <w:jc w:val="both"/>
        <w:rPr>
          <w:lang w:val="en-US"/>
        </w:rPr>
      </w:pPr>
    </w:p>
    <w:p w:rsidR="00FB6D78" w:rsidRDefault="00A1639E" w:rsidP="005F583C">
      <w:pPr>
        <w:spacing w:after="0"/>
        <w:jc w:val="both"/>
        <w:rPr>
          <w:lang w:val="en-US"/>
        </w:rPr>
      </w:pPr>
      <w:r>
        <w:rPr>
          <w:lang w:val="en-US"/>
        </w:rPr>
        <w:t xml:space="preserve">The orders with Hamburg involved = </w:t>
      </w:r>
      <w:r w:rsidR="00B63EF1">
        <w:rPr>
          <w:lang w:val="en-US"/>
        </w:rPr>
        <w:t xml:space="preserve">NO appear as Order Intake </w:t>
      </w:r>
      <w:r>
        <w:rPr>
          <w:lang w:val="en-US"/>
        </w:rPr>
        <w:t xml:space="preserve">and Order Backlog in BOARD </w:t>
      </w:r>
      <w:r w:rsidR="00B63EF1">
        <w:rPr>
          <w:lang w:val="en-US"/>
        </w:rPr>
        <w:t xml:space="preserve">based on the registration date in </w:t>
      </w:r>
      <w:proofErr w:type="spellStart"/>
      <w:r w:rsidR="00B63EF1">
        <w:rPr>
          <w:lang w:val="en-US"/>
        </w:rPr>
        <w:t>Foxxpro</w:t>
      </w:r>
      <w:proofErr w:type="spellEnd"/>
      <w:r w:rsidR="00B63EF1">
        <w:rPr>
          <w:lang w:val="en-US"/>
        </w:rPr>
        <w:t xml:space="preserve">. </w:t>
      </w:r>
      <w:r>
        <w:rPr>
          <w:lang w:val="en-US"/>
        </w:rPr>
        <w:t xml:space="preserve">From that date onwards the order will always be “Order Intake”. The order will be in OB until shipment stage. The order value and DB2 are directly taken from </w:t>
      </w:r>
      <w:proofErr w:type="spellStart"/>
      <w:r>
        <w:rPr>
          <w:lang w:val="en-US"/>
        </w:rPr>
        <w:t>Foxxpro</w:t>
      </w:r>
      <w:proofErr w:type="spellEnd"/>
      <w:r>
        <w:rPr>
          <w:lang w:val="en-US"/>
        </w:rPr>
        <w:t xml:space="preserve"> and are </w:t>
      </w:r>
      <w:proofErr w:type="spellStart"/>
      <w:r>
        <w:rPr>
          <w:lang w:val="en-US"/>
        </w:rPr>
        <w:t>precalculated</w:t>
      </w:r>
      <w:proofErr w:type="spellEnd"/>
      <w:r>
        <w:rPr>
          <w:lang w:val="en-US"/>
        </w:rPr>
        <w:t xml:space="preserve">. Figures are provided in EUR by </w:t>
      </w:r>
      <w:proofErr w:type="spellStart"/>
      <w:r>
        <w:rPr>
          <w:lang w:val="en-US"/>
        </w:rPr>
        <w:t>Foxxpro</w:t>
      </w:r>
      <w:proofErr w:type="spellEnd"/>
      <w:r>
        <w:rPr>
          <w:lang w:val="en-US"/>
        </w:rPr>
        <w:t xml:space="preserve">. </w:t>
      </w:r>
    </w:p>
    <w:p w:rsidR="00A767ED" w:rsidRDefault="00A767ED" w:rsidP="00A767ED">
      <w:pPr>
        <w:spacing w:after="0"/>
        <w:jc w:val="both"/>
        <w:rPr>
          <w:lang w:val="en-US"/>
        </w:rPr>
      </w:pPr>
      <w:r>
        <w:rPr>
          <w:lang w:val="en-US"/>
        </w:rPr>
        <w:t xml:space="preserve">The estimated delivery date in </w:t>
      </w:r>
      <w:proofErr w:type="spellStart"/>
      <w:r>
        <w:rPr>
          <w:lang w:val="en-US"/>
        </w:rPr>
        <w:t>Foxxpro</w:t>
      </w:r>
      <w:proofErr w:type="spellEnd"/>
      <w:r>
        <w:rPr>
          <w:lang w:val="en-US"/>
        </w:rPr>
        <w:t xml:space="preserve"> is only a reference to determine upcoming shipments.</w:t>
      </w:r>
    </w:p>
    <w:p w:rsidR="00A767ED" w:rsidRDefault="00A767ED" w:rsidP="005F583C">
      <w:pPr>
        <w:spacing w:after="0"/>
        <w:jc w:val="both"/>
        <w:rPr>
          <w:lang w:val="en-US"/>
        </w:rPr>
      </w:pPr>
    </w:p>
    <w:p w:rsidR="00202628" w:rsidRDefault="00202628" w:rsidP="00202628">
      <w:pPr>
        <w:spacing w:after="0"/>
        <w:jc w:val="both"/>
        <w:rPr>
          <w:lang w:val="en-US"/>
        </w:rPr>
      </w:pPr>
      <w:r w:rsidRPr="00114182">
        <w:rPr>
          <w:i/>
          <w:u w:val="single"/>
          <w:lang w:val="en-US"/>
        </w:rPr>
        <w:t>Industry:</w:t>
      </w:r>
      <w:r>
        <w:rPr>
          <w:lang w:val="en-US"/>
        </w:rPr>
        <w:t xml:space="preserve"> in many cases the division code can be mapped to an Industry. Otherwise, the 4 digit Industry code has to be recorded under “remarks” in </w:t>
      </w:r>
      <w:proofErr w:type="spellStart"/>
      <w:r>
        <w:rPr>
          <w:lang w:val="en-US"/>
        </w:rPr>
        <w:t>Foxxpro</w:t>
      </w:r>
      <w:proofErr w:type="spellEnd"/>
      <w:r>
        <w:rPr>
          <w:lang w:val="en-US"/>
        </w:rPr>
        <w:t>.</w:t>
      </w:r>
      <w:r w:rsidRPr="00A12329">
        <w:rPr>
          <w:lang w:val="en-US"/>
        </w:rPr>
        <w:t xml:space="preserve"> </w:t>
      </w:r>
      <w:r>
        <w:rPr>
          <w:lang w:val="en-US"/>
        </w:rPr>
        <w:t>D</w:t>
      </w:r>
      <w:r w:rsidRPr="00A12329">
        <w:rPr>
          <w:lang w:val="en-US"/>
        </w:rPr>
        <w:t>ivision</w:t>
      </w:r>
      <w:r>
        <w:rPr>
          <w:lang w:val="en-US"/>
        </w:rPr>
        <w:t xml:space="preserve"> codes 00, 11, 12, 13, 14</w:t>
      </w:r>
      <w:proofErr w:type="gramStart"/>
      <w:r w:rsidR="00CE37EC">
        <w:rPr>
          <w:lang w:val="en-US"/>
        </w:rPr>
        <w:t>,15</w:t>
      </w:r>
      <w:proofErr w:type="gramEnd"/>
      <w:r>
        <w:rPr>
          <w:lang w:val="en-US"/>
        </w:rPr>
        <w:t xml:space="preserve"> and</w:t>
      </w:r>
      <w:r w:rsidRPr="00A12329">
        <w:rPr>
          <w:lang w:val="en-US"/>
        </w:rPr>
        <w:t xml:space="preserve"> 1</w:t>
      </w:r>
      <w:r w:rsidR="00CE37EC">
        <w:rPr>
          <w:lang w:val="en-US"/>
        </w:rPr>
        <w:t>S</w:t>
      </w:r>
      <w:r>
        <w:rPr>
          <w:lang w:val="en-US"/>
        </w:rPr>
        <w:t xml:space="preserve"> are left out of consideration. Those are not imported into BOARD</w:t>
      </w:r>
      <w:r w:rsidR="0006031B">
        <w:rPr>
          <w:lang w:val="en-US"/>
        </w:rPr>
        <w:t xml:space="preserve"> as they belong to </w:t>
      </w:r>
      <w:proofErr w:type="spellStart"/>
      <w:r w:rsidR="0006031B">
        <w:rPr>
          <w:lang w:val="en-US"/>
        </w:rPr>
        <w:t>Steeltech</w:t>
      </w:r>
      <w:proofErr w:type="spellEnd"/>
      <w:r w:rsidR="0006031B">
        <w:rPr>
          <w:lang w:val="en-US"/>
        </w:rPr>
        <w:t>, which is being liquidated</w:t>
      </w:r>
      <w:r>
        <w:rPr>
          <w:lang w:val="en-US"/>
        </w:rPr>
        <w:t>.</w:t>
      </w:r>
    </w:p>
    <w:p w:rsidR="00202628" w:rsidRDefault="00202628" w:rsidP="00202628">
      <w:pPr>
        <w:spacing w:after="0"/>
        <w:jc w:val="both"/>
        <w:rPr>
          <w:lang w:val="en-US"/>
        </w:rPr>
      </w:pPr>
    </w:p>
    <w:p w:rsidR="00202628" w:rsidRDefault="00202628" w:rsidP="00202628">
      <w:pPr>
        <w:spacing w:after="0"/>
        <w:jc w:val="both"/>
        <w:rPr>
          <w:lang w:val="en-US"/>
        </w:rPr>
      </w:pPr>
      <w:r w:rsidRPr="00114182">
        <w:rPr>
          <w:i/>
          <w:u w:val="single"/>
          <w:lang w:val="en-US"/>
        </w:rPr>
        <w:t>Business unit:</w:t>
      </w:r>
      <w:r>
        <w:rPr>
          <w:lang w:val="en-US"/>
        </w:rPr>
        <w:t xml:space="preserve"> in some cases the business unit is directly available in the “province” field. Otherwise, the “province” is mapped to a country and the country is mapped to an industry (Country</w:t>
      </w:r>
      <w:r w:rsidR="00ED310C">
        <w:rPr>
          <w:lang w:val="en-US"/>
        </w:rPr>
        <w:t xml:space="preserve"> </w:t>
      </w:r>
      <w:r>
        <w:rPr>
          <w:lang w:val="en-US"/>
        </w:rPr>
        <w:t>+</w:t>
      </w:r>
      <w:r w:rsidR="00ED310C">
        <w:rPr>
          <w:lang w:val="en-US"/>
        </w:rPr>
        <w:t xml:space="preserve"> </w:t>
      </w:r>
      <w:r>
        <w:rPr>
          <w:lang w:val="en-US"/>
        </w:rPr>
        <w:t>Industry=Business Unit)</w:t>
      </w:r>
    </w:p>
    <w:p w:rsidR="00202628" w:rsidRDefault="00202628" w:rsidP="00202628">
      <w:pPr>
        <w:spacing w:after="0"/>
        <w:jc w:val="both"/>
        <w:rPr>
          <w:lang w:val="en-US"/>
        </w:rPr>
      </w:pPr>
      <w:r>
        <w:rPr>
          <w:lang w:val="en-US"/>
        </w:rPr>
        <w:t xml:space="preserve"> </w:t>
      </w:r>
    </w:p>
    <w:p w:rsidR="00202628" w:rsidRPr="00A12329" w:rsidRDefault="00202628" w:rsidP="00202628">
      <w:pPr>
        <w:spacing w:after="0"/>
        <w:jc w:val="both"/>
        <w:rPr>
          <w:lang w:val="en-US"/>
        </w:rPr>
      </w:pPr>
      <w:r w:rsidRPr="00A12329">
        <w:rPr>
          <w:i/>
          <w:u w:val="single"/>
          <w:lang w:val="en-US"/>
        </w:rPr>
        <w:t>Merchandise:</w:t>
      </w:r>
      <w:r>
        <w:rPr>
          <w:i/>
          <w:u w:val="single"/>
          <w:lang w:val="en-US"/>
        </w:rPr>
        <w:t xml:space="preserve"> </w:t>
      </w:r>
      <w:r w:rsidRPr="00A12329">
        <w:rPr>
          <w:lang w:val="en-US"/>
        </w:rPr>
        <w:t>the merchandise is derived via the product group</w:t>
      </w:r>
      <w:r>
        <w:rPr>
          <w:lang w:val="en-US"/>
        </w:rPr>
        <w:t xml:space="preserve">, i.e. the product group is mapped to </w:t>
      </w:r>
      <w:proofErr w:type="gramStart"/>
      <w:r>
        <w:rPr>
          <w:lang w:val="en-US"/>
        </w:rPr>
        <w:t>a merchandise</w:t>
      </w:r>
      <w:proofErr w:type="gramEnd"/>
      <w:r>
        <w:rPr>
          <w:lang w:val="en-US"/>
        </w:rPr>
        <w:t>. Product groups 14</w:t>
      </w:r>
      <w:r w:rsidR="0006031B">
        <w:rPr>
          <w:lang w:val="en-US"/>
        </w:rPr>
        <w:t xml:space="preserve"> (training equipment)</w:t>
      </w:r>
      <w:r>
        <w:rPr>
          <w:lang w:val="en-US"/>
        </w:rPr>
        <w:t xml:space="preserve"> and 99</w:t>
      </w:r>
      <w:r w:rsidR="0006031B">
        <w:rPr>
          <w:lang w:val="en-US"/>
        </w:rPr>
        <w:t xml:space="preserve"> (onward charges – no product revenue)</w:t>
      </w:r>
      <w:r>
        <w:rPr>
          <w:lang w:val="en-US"/>
        </w:rPr>
        <w:t xml:space="preserve"> are left out of consideration. Those are not imported into BOARD.</w:t>
      </w:r>
    </w:p>
    <w:p w:rsidR="00202628" w:rsidRDefault="00202628" w:rsidP="005F583C">
      <w:pPr>
        <w:spacing w:after="0"/>
        <w:jc w:val="both"/>
        <w:rPr>
          <w:lang w:val="en-US"/>
        </w:rPr>
      </w:pPr>
    </w:p>
    <w:p w:rsidR="00A1639E" w:rsidRDefault="00A1639E" w:rsidP="005F583C">
      <w:pPr>
        <w:spacing w:after="0"/>
        <w:jc w:val="both"/>
        <w:rPr>
          <w:lang w:val="en-US"/>
        </w:rPr>
      </w:pPr>
    </w:p>
    <w:p w:rsidR="00A1639E" w:rsidRPr="00A1639E" w:rsidRDefault="00A1639E" w:rsidP="005F583C">
      <w:pPr>
        <w:spacing w:after="0"/>
        <w:jc w:val="both"/>
        <w:rPr>
          <w:u w:val="single"/>
          <w:lang w:val="en-US"/>
        </w:rPr>
      </w:pPr>
      <w:r w:rsidRPr="00A1639E">
        <w:rPr>
          <w:u w:val="single"/>
          <w:lang w:val="en-US"/>
        </w:rPr>
        <w:t>Shipment stage:</w:t>
      </w:r>
    </w:p>
    <w:p w:rsidR="00A1639E" w:rsidRDefault="00A1639E" w:rsidP="00A1639E">
      <w:pPr>
        <w:spacing w:after="0"/>
        <w:jc w:val="both"/>
        <w:rPr>
          <w:lang w:val="en-US"/>
        </w:rPr>
      </w:pPr>
      <w:r>
        <w:rPr>
          <w:lang w:val="en-US"/>
        </w:rPr>
        <w:t xml:space="preserve">Upon shipment the order appears as </w:t>
      </w:r>
      <w:r w:rsidR="009D7295">
        <w:rPr>
          <w:lang w:val="en-US"/>
        </w:rPr>
        <w:t>TO</w:t>
      </w:r>
      <w:r>
        <w:rPr>
          <w:lang w:val="en-US"/>
        </w:rPr>
        <w:t xml:space="preserve"> and no longer as OB. </w:t>
      </w:r>
      <w:r w:rsidR="00A767ED">
        <w:rPr>
          <w:lang w:val="en-US"/>
        </w:rPr>
        <w:t xml:space="preserve">Important: </w:t>
      </w:r>
      <w:proofErr w:type="spellStart"/>
      <w:r w:rsidR="00A767ED">
        <w:rPr>
          <w:lang w:val="en-US"/>
        </w:rPr>
        <w:t>Foxxpro</w:t>
      </w:r>
      <w:proofErr w:type="spellEnd"/>
      <w:r w:rsidR="00A767ED">
        <w:rPr>
          <w:lang w:val="en-US"/>
        </w:rPr>
        <w:t xml:space="preserve"> is the leading system – if there are orders in Solomon which are not contained in </w:t>
      </w:r>
      <w:proofErr w:type="spellStart"/>
      <w:r w:rsidR="00A767ED">
        <w:rPr>
          <w:lang w:val="en-US"/>
        </w:rPr>
        <w:t>Foxxpro</w:t>
      </w:r>
      <w:proofErr w:type="spellEnd"/>
      <w:r w:rsidR="00A767ED">
        <w:rPr>
          <w:lang w:val="en-US"/>
        </w:rPr>
        <w:t xml:space="preserve">, BOARD would not retrieve </w:t>
      </w:r>
      <w:r w:rsidR="00202628">
        <w:rPr>
          <w:lang w:val="en-US"/>
        </w:rPr>
        <w:t xml:space="preserve">information of </w:t>
      </w:r>
      <w:r w:rsidR="00A767ED">
        <w:rPr>
          <w:lang w:val="en-US"/>
        </w:rPr>
        <w:t>those orders</w:t>
      </w:r>
      <w:r w:rsidR="00202628">
        <w:rPr>
          <w:lang w:val="en-US"/>
        </w:rPr>
        <w:t xml:space="preserve"> out of Solomon</w:t>
      </w:r>
      <w:r w:rsidR="00A767ED">
        <w:rPr>
          <w:lang w:val="en-US"/>
        </w:rPr>
        <w:t xml:space="preserve">! </w:t>
      </w:r>
      <w:r>
        <w:rPr>
          <w:lang w:val="en-US"/>
        </w:rPr>
        <w:t xml:space="preserve">As there is no reliable shipment date available </w:t>
      </w:r>
      <w:r>
        <w:rPr>
          <w:lang w:val="en-US"/>
        </w:rPr>
        <w:lastRenderedPageBreak/>
        <w:t xml:space="preserve">in </w:t>
      </w:r>
      <w:proofErr w:type="spellStart"/>
      <w:r>
        <w:rPr>
          <w:lang w:val="en-US"/>
        </w:rPr>
        <w:t>Foxxpro</w:t>
      </w:r>
      <w:proofErr w:type="spellEnd"/>
      <w:r>
        <w:rPr>
          <w:lang w:val="en-US"/>
        </w:rPr>
        <w:t xml:space="preserve">, shipment is deemed to have occurred on the day of revenue recognition, in this case </w:t>
      </w:r>
      <w:r w:rsidR="00810849">
        <w:rPr>
          <w:lang w:val="en-US"/>
        </w:rPr>
        <w:t xml:space="preserve">the </w:t>
      </w:r>
      <w:r w:rsidR="0047575D">
        <w:rPr>
          <w:lang w:val="en-US"/>
        </w:rPr>
        <w:t xml:space="preserve">minimum </w:t>
      </w:r>
      <w:r w:rsidR="00810849">
        <w:rPr>
          <w:lang w:val="en-US"/>
        </w:rPr>
        <w:t>transaction date</w:t>
      </w:r>
      <w:r>
        <w:rPr>
          <w:lang w:val="en-US"/>
        </w:rPr>
        <w:t xml:space="preserve">. Hence, Solomon, the accounting system is taken into consideration only for defining the shipment date. Order values and DB2 are still taken from the order registration part. Consequently both figures are still </w:t>
      </w:r>
      <w:proofErr w:type="spellStart"/>
      <w:r>
        <w:rPr>
          <w:lang w:val="en-US"/>
        </w:rPr>
        <w:t>precalculated</w:t>
      </w:r>
      <w:proofErr w:type="spellEnd"/>
      <w:r>
        <w:rPr>
          <w:lang w:val="en-US"/>
        </w:rPr>
        <w:t xml:space="preserve">. </w:t>
      </w:r>
    </w:p>
    <w:p w:rsidR="00A1639E" w:rsidRDefault="00A1639E" w:rsidP="005F583C">
      <w:pPr>
        <w:spacing w:after="0"/>
        <w:jc w:val="both"/>
        <w:rPr>
          <w:lang w:val="en-US"/>
        </w:rPr>
      </w:pPr>
    </w:p>
    <w:p w:rsidR="00E64DEF" w:rsidRPr="002536F7" w:rsidRDefault="009D7295" w:rsidP="002536F7">
      <w:pPr>
        <w:spacing w:after="0"/>
        <w:ind w:left="142"/>
        <w:jc w:val="both"/>
        <w:rPr>
          <w:rFonts w:ascii="Batang" w:eastAsia="Batang" w:hAnsi="Batang"/>
          <w:color w:val="0070C0"/>
          <w:sz w:val="16"/>
          <w:szCs w:val="16"/>
          <w:u w:val="single"/>
          <w:lang w:val="en-US"/>
        </w:rPr>
      </w:pPr>
      <w:r w:rsidRPr="002536F7">
        <w:rPr>
          <w:rFonts w:ascii="Batang" w:eastAsia="Batang" w:hAnsi="Batang"/>
          <w:color w:val="0070C0"/>
          <w:sz w:val="16"/>
          <w:szCs w:val="16"/>
          <w:u w:val="single"/>
          <w:lang w:val="en-US"/>
        </w:rPr>
        <w:t>SQL logic</w:t>
      </w:r>
      <w:r w:rsidR="00E64DEF" w:rsidRPr="002536F7">
        <w:rPr>
          <w:rFonts w:ascii="Batang" w:eastAsia="Batang" w:hAnsi="Batang"/>
          <w:color w:val="0070C0"/>
          <w:sz w:val="16"/>
          <w:szCs w:val="16"/>
          <w:u w:val="single"/>
          <w:lang w:val="en-US"/>
        </w:rPr>
        <w:t>:</w:t>
      </w:r>
    </w:p>
    <w:p w:rsidR="00E64DEF" w:rsidRPr="002536F7" w:rsidRDefault="009D7295" w:rsidP="002536F7">
      <w:pPr>
        <w:spacing w:after="0"/>
        <w:ind w:left="142"/>
        <w:jc w:val="both"/>
        <w:rPr>
          <w:rFonts w:ascii="Batang" w:eastAsia="Batang" w:hAnsi="Batang"/>
          <w:color w:val="0070C0"/>
          <w:sz w:val="16"/>
          <w:szCs w:val="16"/>
          <w:lang w:val="en-US"/>
        </w:rPr>
      </w:pPr>
      <w:r w:rsidRPr="002536F7">
        <w:rPr>
          <w:rFonts w:ascii="Batang" w:eastAsia="Batang" w:hAnsi="Batang"/>
          <w:color w:val="0070C0"/>
          <w:sz w:val="16"/>
          <w:szCs w:val="16"/>
          <w:lang w:val="en-US"/>
        </w:rPr>
        <w:t xml:space="preserve">Lookup the order number of the OI from </w:t>
      </w:r>
      <w:proofErr w:type="spellStart"/>
      <w:r w:rsidRPr="002536F7">
        <w:rPr>
          <w:rFonts w:ascii="Batang" w:eastAsia="Batang" w:hAnsi="Batang"/>
          <w:color w:val="0070C0"/>
          <w:sz w:val="16"/>
          <w:szCs w:val="16"/>
          <w:lang w:val="en-US"/>
        </w:rPr>
        <w:t>Foxxpro</w:t>
      </w:r>
      <w:proofErr w:type="spellEnd"/>
      <w:r w:rsidRPr="002536F7">
        <w:rPr>
          <w:rFonts w:ascii="Batang" w:eastAsia="Batang" w:hAnsi="Batang"/>
          <w:color w:val="0070C0"/>
          <w:sz w:val="16"/>
          <w:szCs w:val="16"/>
          <w:lang w:val="en-US"/>
        </w:rPr>
        <w:t xml:space="preserve"> in Solomon and determine as TO, when revenue booking is found.</w:t>
      </w:r>
    </w:p>
    <w:p w:rsidR="009D7295" w:rsidRDefault="009D7295" w:rsidP="00E64DEF">
      <w:pPr>
        <w:spacing w:after="0"/>
        <w:jc w:val="both"/>
        <w:rPr>
          <w:rFonts w:ascii="Batang" w:eastAsia="Batang" w:hAnsi="Batang"/>
          <w:color w:val="0070C0"/>
          <w:sz w:val="20"/>
          <w:szCs w:val="20"/>
          <w:lang w:val="en-US"/>
        </w:rPr>
      </w:pPr>
    </w:p>
    <w:p w:rsidR="009D7295" w:rsidRDefault="009D7295" w:rsidP="00E64DEF">
      <w:pPr>
        <w:spacing w:after="0"/>
        <w:jc w:val="both"/>
        <w:rPr>
          <w:rFonts w:ascii="Batang" w:eastAsia="Batang" w:hAnsi="Batang"/>
          <w:color w:val="0070C0"/>
          <w:sz w:val="20"/>
          <w:szCs w:val="20"/>
          <w:lang w:val="en-US"/>
        </w:rPr>
      </w:pPr>
    </w:p>
    <w:p w:rsidR="00343775" w:rsidRDefault="00FD5862" w:rsidP="00FD5862">
      <w:pPr>
        <w:spacing w:after="0"/>
        <w:jc w:val="both"/>
        <w:rPr>
          <w:lang w:val="en-US"/>
        </w:rPr>
      </w:pPr>
      <w:r>
        <w:rPr>
          <w:lang w:val="en-US"/>
        </w:rPr>
        <w:t>The Turnov</w:t>
      </w:r>
      <w:r w:rsidR="005E0765">
        <w:rPr>
          <w:lang w:val="en-US"/>
        </w:rPr>
        <w:t>er In this context does not reflect</w:t>
      </w:r>
      <w:r>
        <w:rPr>
          <w:lang w:val="en-US"/>
        </w:rPr>
        <w:t xml:space="preserve"> the</w:t>
      </w:r>
      <w:r w:rsidR="005E0765">
        <w:rPr>
          <w:lang w:val="en-US"/>
        </w:rPr>
        <w:t xml:space="preserve"> turnover according to P&amp;L.</w:t>
      </w:r>
    </w:p>
    <w:p w:rsidR="00343775" w:rsidRDefault="00343775" w:rsidP="00FD5862">
      <w:pPr>
        <w:spacing w:after="0"/>
        <w:jc w:val="both"/>
        <w:rPr>
          <w:lang w:val="en-US"/>
        </w:rPr>
      </w:pPr>
      <w:r>
        <w:rPr>
          <w:lang w:val="en-US"/>
        </w:rPr>
        <w:t xml:space="preserve">As within </w:t>
      </w:r>
      <w:proofErr w:type="spellStart"/>
      <w:r>
        <w:rPr>
          <w:lang w:val="en-US"/>
        </w:rPr>
        <w:t>Foxxpro</w:t>
      </w:r>
      <w:proofErr w:type="spellEnd"/>
      <w:r>
        <w:rPr>
          <w:lang w:val="en-US"/>
        </w:rPr>
        <w:t xml:space="preserve"> neither legal entities, Business Units, Countries, Merchandises nor Industries are directly available a mapping is necessary to derive such information:</w:t>
      </w:r>
      <w:r w:rsidR="00114182">
        <w:rPr>
          <w:lang w:val="en-US"/>
        </w:rPr>
        <w:t xml:space="preserve"> </w:t>
      </w:r>
    </w:p>
    <w:p w:rsidR="00114182" w:rsidRDefault="00114182" w:rsidP="00FD5862">
      <w:pPr>
        <w:spacing w:after="0"/>
        <w:jc w:val="both"/>
        <w:rPr>
          <w:lang w:val="en-US"/>
        </w:rPr>
      </w:pPr>
    </w:p>
    <w:p w:rsidR="00ED310C" w:rsidRDefault="00ED310C" w:rsidP="00FD5862">
      <w:pPr>
        <w:spacing w:after="0"/>
        <w:jc w:val="both"/>
        <w:rPr>
          <w:lang w:val="en-US"/>
        </w:rPr>
      </w:pPr>
      <w:proofErr w:type="spellStart"/>
      <w:r>
        <w:rPr>
          <w:lang w:val="en-US"/>
        </w:rPr>
        <w:t>Steeltech</w:t>
      </w:r>
      <w:proofErr w:type="spellEnd"/>
      <w:r>
        <w:rPr>
          <w:lang w:val="en-US"/>
        </w:rPr>
        <w:t xml:space="preserve"> is not considered as its activities have been phasing out!</w:t>
      </w:r>
    </w:p>
    <w:p w:rsidR="0047575D" w:rsidRDefault="0047575D" w:rsidP="00E64DEF">
      <w:pPr>
        <w:spacing w:after="0"/>
        <w:jc w:val="both"/>
        <w:rPr>
          <w:rFonts w:ascii="Batang" w:eastAsia="Batang" w:hAnsi="Batang"/>
          <w:color w:val="0070C0"/>
          <w:sz w:val="20"/>
          <w:szCs w:val="20"/>
          <w:lang w:val="en-US"/>
        </w:rPr>
      </w:pPr>
    </w:p>
    <w:p w:rsidR="002D4245" w:rsidRDefault="002D4245" w:rsidP="00E64DEF">
      <w:pPr>
        <w:spacing w:after="0"/>
        <w:jc w:val="both"/>
        <w:rPr>
          <w:rFonts w:ascii="Batang" w:eastAsia="Batang" w:hAnsi="Batang"/>
          <w:color w:val="0070C0"/>
          <w:sz w:val="20"/>
          <w:szCs w:val="20"/>
          <w:lang w:val="en-US"/>
        </w:rPr>
      </w:pPr>
    </w:p>
    <w:p w:rsidR="009D7295" w:rsidRDefault="009D7295" w:rsidP="00E64DEF">
      <w:pPr>
        <w:spacing w:after="0"/>
        <w:jc w:val="both"/>
        <w:rPr>
          <w:rFonts w:ascii="Batang" w:eastAsia="Batang" w:hAnsi="Batang"/>
          <w:color w:val="0070C0"/>
          <w:sz w:val="20"/>
          <w:szCs w:val="20"/>
          <w:lang w:val="en-US"/>
        </w:rPr>
      </w:pPr>
    </w:p>
    <w:p w:rsidR="009D7295" w:rsidRPr="00AB4759" w:rsidRDefault="009D7295" w:rsidP="0067625D">
      <w:pPr>
        <w:pStyle w:val="Heading2"/>
        <w:rPr>
          <w:lang w:val="en-US"/>
        </w:rPr>
      </w:pPr>
      <w:bookmarkStart w:id="4" w:name="_Toc389741490"/>
      <w:r w:rsidRPr="00AB4759">
        <w:rPr>
          <w:lang w:val="en-US"/>
        </w:rPr>
        <w:t>Solomon</w:t>
      </w:r>
      <w:bookmarkEnd w:id="4"/>
    </w:p>
    <w:p w:rsidR="009D7295" w:rsidRPr="00E27D32" w:rsidRDefault="009D7295" w:rsidP="009D7295">
      <w:pPr>
        <w:spacing w:after="0"/>
        <w:jc w:val="both"/>
        <w:rPr>
          <w:u w:val="single"/>
          <w:lang w:val="en-US"/>
        </w:rPr>
      </w:pPr>
      <w:r w:rsidRPr="00E27D32">
        <w:rPr>
          <w:u w:val="single"/>
          <w:lang w:val="en-US"/>
        </w:rPr>
        <w:t>Post calculation stage:</w:t>
      </w:r>
    </w:p>
    <w:p w:rsidR="009D7295" w:rsidRDefault="009D7295" w:rsidP="009D7295">
      <w:pPr>
        <w:spacing w:after="0"/>
        <w:jc w:val="both"/>
        <w:rPr>
          <w:lang w:val="en-US"/>
        </w:rPr>
      </w:pPr>
      <w:r>
        <w:rPr>
          <w:lang w:val="en-US"/>
        </w:rPr>
        <w:t xml:space="preserve">After shipment revenue and cost may not have yet occurred fully. </w:t>
      </w:r>
      <w:commentRangeStart w:id="5"/>
      <w:r w:rsidR="008F610C">
        <w:rPr>
          <w:lang w:val="en-US"/>
        </w:rPr>
        <w:t>Once</w:t>
      </w:r>
      <w:r>
        <w:rPr>
          <w:lang w:val="en-US"/>
        </w:rPr>
        <w:t xml:space="preserve"> all revenue and cost have been booked in the Solomon, the accounting closes the </w:t>
      </w:r>
      <w:r w:rsidR="008F610C">
        <w:rPr>
          <w:lang w:val="en-US"/>
        </w:rPr>
        <w:t>subaccount (order)</w:t>
      </w:r>
      <w:r>
        <w:rPr>
          <w:lang w:val="en-US"/>
        </w:rPr>
        <w:t xml:space="preserve"> in Solomon </w:t>
      </w:r>
      <w:r w:rsidR="008F610C">
        <w:rPr>
          <w:lang w:val="en-US"/>
        </w:rPr>
        <w:t>(set s</w:t>
      </w:r>
      <w:r>
        <w:rPr>
          <w:lang w:val="en-US"/>
        </w:rPr>
        <w:t>ubaccount code to “inactive”)</w:t>
      </w:r>
      <w:commentRangeEnd w:id="5"/>
      <w:r w:rsidR="00DB41A3">
        <w:rPr>
          <w:rStyle w:val="CommentReference"/>
        </w:rPr>
        <w:commentReference w:id="5"/>
      </w:r>
      <w:r>
        <w:rPr>
          <w:lang w:val="en-US"/>
        </w:rPr>
        <w:t xml:space="preserve">. From that point on BOARD retrieves the order value and DB2 directly from </w:t>
      </w:r>
      <w:r w:rsidR="008F610C">
        <w:rPr>
          <w:lang w:val="en-US"/>
        </w:rPr>
        <w:t>Solomon</w:t>
      </w:r>
      <w:r>
        <w:rPr>
          <w:lang w:val="en-US"/>
        </w:rPr>
        <w:t xml:space="preserve">. The orders still appear in TO, but figures are post calculated, i.e. actuals. </w:t>
      </w:r>
    </w:p>
    <w:p w:rsidR="009D7295" w:rsidRDefault="009D7295" w:rsidP="009D7295">
      <w:pPr>
        <w:spacing w:after="0"/>
        <w:jc w:val="both"/>
        <w:rPr>
          <w:lang w:val="en-US"/>
        </w:rPr>
      </w:pPr>
      <w:r>
        <w:rPr>
          <w:lang w:val="en-US"/>
        </w:rPr>
        <w:t xml:space="preserve">Apart from this logic, there is one exception for “commission” orders. For commission orders the order value is always taken from </w:t>
      </w:r>
      <w:proofErr w:type="spellStart"/>
      <w:r w:rsidR="008F610C">
        <w:rPr>
          <w:lang w:val="en-US"/>
        </w:rPr>
        <w:t>Foxxpro</w:t>
      </w:r>
      <w:proofErr w:type="spellEnd"/>
      <w:r>
        <w:rPr>
          <w:lang w:val="en-US"/>
        </w:rPr>
        <w:t xml:space="preserve">, as </w:t>
      </w:r>
      <w:r w:rsidR="008F610C">
        <w:rPr>
          <w:lang w:val="en-US"/>
        </w:rPr>
        <w:t xml:space="preserve">for this figure </w:t>
      </w:r>
      <w:r>
        <w:rPr>
          <w:lang w:val="en-US"/>
        </w:rPr>
        <w:t>no actual accounting revenue exists.</w:t>
      </w:r>
    </w:p>
    <w:p w:rsidR="008F610C" w:rsidRDefault="008F610C" w:rsidP="009D7295">
      <w:pPr>
        <w:spacing w:after="0"/>
        <w:jc w:val="both"/>
        <w:rPr>
          <w:lang w:val="en-US"/>
        </w:rPr>
      </w:pPr>
    </w:p>
    <w:p w:rsidR="000A735D" w:rsidRDefault="006A3001" w:rsidP="009D7295">
      <w:pPr>
        <w:spacing w:after="0"/>
        <w:jc w:val="both"/>
        <w:rPr>
          <w:lang w:val="en-US"/>
        </w:rPr>
      </w:pPr>
      <w:r>
        <w:rPr>
          <w:lang w:val="en-US"/>
        </w:rPr>
        <w:t xml:space="preserve">Despite the exception, order values and DB2 are calculated only by taking DB2 relevant account codes into consideration. The reason again lies within the double </w:t>
      </w:r>
      <w:r w:rsidR="00B1467C">
        <w:rPr>
          <w:lang w:val="en-US"/>
        </w:rPr>
        <w:t>function of the legal entities as procurement center and Business Unit.</w:t>
      </w:r>
      <w:r>
        <w:rPr>
          <w:lang w:val="en-US"/>
        </w:rPr>
        <w:t xml:space="preserve"> </w:t>
      </w:r>
      <w:r w:rsidR="00810849">
        <w:rPr>
          <w:lang w:val="en-US"/>
        </w:rPr>
        <w:t>The accounting staff in Hong Kong pointed out the DB2 relevant accounts. Only these are connected to BOARD.</w:t>
      </w:r>
      <w:r w:rsidR="00AC07B8">
        <w:rPr>
          <w:lang w:val="en-US"/>
        </w:rPr>
        <w:t xml:space="preserve"> </w:t>
      </w:r>
    </w:p>
    <w:p w:rsidR="008F610C" w:rsidRDefault="00AC07B8" w:rsidP="009D7295">
      <w:pPr>
        <w:spacing w:after="0"/>
        <w:jc w:val="both"/>
        <w:rPr>
          <w:lang w:val="en-US"/>
        </w:rPr>
      </w:pPr>
      <w:r>
        <w:rPr>
          <w:lang w:val="en-US"/>
        </w:rPr>
        <w:t>As most of the transaction in Hong Kong are not in EUR the DB2 relevant transaction are converted to EUR by taking the transaction date of every single transaction and retrieving the appropriate exchange rate from the exchange rate table available Solomon/</w:t>
      </w:r>
      <w:proofErr w:type="spellStart"/>
      <w:r>
        <w:rPr>
          <w:lang w:val="en-US"/>
        </w:rPr>
        <w:t>Rieckermann</w:t>
      </w:r>
      <w:proofErr w:type="spellEnd"/>
      <w:r>
        <w:rPr>
          <w:lang w:val="en-US"/>
        </w:rPr>
        <w:t xml:space="preserve"> Servic</w:t>
      </w:r>
      <w:r w:rsidR="000816F4">
        <w:rPr>
          <w:lang w:val="en-US"/>
        </w:rPr>
        <w:t>es L</w:t>
      </w:r>
      <w:r>
        <w:rPr>
          <w:lang w:val="en-US"/>
        </w:rPr>
        <w:t xml:space="preserve">td.. The transaction date is the only date available </w:t>
      </w:r>
      <w:r w:rsidR="00B1257C">
        <w:rPr>
          <w:lang w:val="en-US"/>
        </w:rPr>
        <w:t>for every single transaction. Moreover the month of the transaction date</w:t>
      </w:r>
      <w:r w:rsidR="00DB41A3">
        <w:rPr>
          <w:lang w:val="en-US"/>
        </w:rPr>
        <w:t xml:space="preserve"> for revenue recognition should always equal </w:t>
      </w:r>
      <w:r w:rsidR="002F1B3C">
        <w:rPr>
          <w:lang w:val="en-US"/>
        </w:rPr>
        <w:t xml:space="preserve">to </w:t>
      </w:r>
      <w:r w:rsidR="00DB41A3">
        <w:rPr>
          <w:lang w:val="en-US"/>
        </w:rPr>
        <w:t>the po</w:t>
      </w:r>
      <w:r w:rsidR="002F1B3C">
        <w:rPr>
          <w:lang w:val="en-US"/>
        </w:rPr>
        <w:t>sting month for the transaction to ensure equality to the P&amp;L.</w:t>
      </w:r>
      <w:r w:rsidR="000A735D">
        <w:rPr>
          <w:lang w:val="en-US"/>
        </w:rPr>
        <w:t xml:space="preserve"> The revenue transaction date should equal the sales invoice as well (same for credit notes).</w:t>
      </w:r>
    </w:p>
    <w:p w:rsidR="00022803" w:rsidRPr="00FB6D78" w:rsidRDefault="00022803" w:rsidP="00E64DEF">
      <w:pPr>
        <w:spacing w:after="0"/>
        <w:jc w:val="both"/>
        <w:rPr>
          <w:rFonts w:ascii="Batang" w:eastAsia="Batang" w:hAnsi="Batang"/>
          <w:color w:val="0070C0"/>
          <w:sz w:val="20"/>
          <w:szCs w:val="20"/>
          <w:lang w:val="en-US"/>
        </w:rPr>
      </w:pPr>
    </w:p>
    <w:p w:rsidR="00E64DEF" w:rsidRDefault="00E64DEF" w:rsidP="005F583C">
      <w:pPr>
        <w:spacing w:after="0"/>
        <w:jc w:val="both"/>
        <w:rPr>
          <w:lang w:val="en-US"/>
        </w:rPr>
      </w:pPr>
    </w:p>
    <w:p w:rsidR="00A1639E" w:rsidRPr="00AB4759" w:rsidRDefault="00907144" w:rsidP="0067625D">
      <w:pPr>
        <w:pStyle w:val="Heading2"/>
        <w:rPr>
          <w:lang w:val="en-US"/>
        </w:rPr>
      </w:pPr>
      <w:bookmarkStart w:id="6" w:name="_Toc389741491"/>
      <w:r w:rsidRPr="00AB4759">
        <w:rPr>
          <w:lang w:val="en-US"/>
        </w:rPr>
        <w:t>Hkg_Orders.mdb</w:t>
      </w:r>
      <w:bookmarkEnd w:id="6"/>
    </w:p>
    <w:p w:rsidR="00907144" w:rsidRDefault="00907144" w:rsidP="005F583C">
      <w:pPr>
        <w:spacing w:after="0"/>
        <w:jc w:val="both"/>
        <w:rPr>
          <w:lang w:val="en-US"/>
        </w:rPr>
      </w:pPr>
      <w:r>
        <w:rPr>
          <w:lang w:val="en-US"/>
        </w:rPr>
        <w:t xml:space="preserve">In addition to Ventas and </w:t>
      </w:r>
      <w:proofErr w:type="spellStart"/>
      <w:r>
        <w:rPr>
          <w:lang w:val="en-US"/>
        </w:rPr>
        <w:t>Foxxpro</w:t>
      </w:r>
      <w:proofErr w:type="spellEnd"/>
      <w:r>
        <w:rPr>
          <w:lang w:val="en-US"/>
        </w:rPr>
        <w:t xml:space="preserve"> there </w:t>
      </w:r>
      <w:proofErr w:type="gramStart"/>
      <w:r>
        <w:rPr>
          <w:lang w:val="en-US"/>
        </w:rPr>
        <w:t>are a</w:t>
      </w:r>
      <w:proofErr w:type="gramEnd"/>
      <w:r>
        <w:rPr>
          <w:lang w:val="en-US"/>
        </w:rPr>
        <w:t xml:space="preserve"> few local orders, neither procured via Hamburg nor via Hong Kong, which are recorded in a separate access file. This file is also hooked up to BOARD. </w:t>
      </w:r>
      <w:r w:rsidRPr="00865978">
        <w:rPr>
          <w:b/>
          <w:lang w:val="en-US"/>
        </w:rPr>
        <w:t xml:space="preserve">Although there is a distinction between OI, TO and OB all values are on </w:t>
      </w:r>
      <w:proofErr w:type="spellStart"/>
      <w:r w:rsidRPr="00865978">
        <w:rPr>
          <w:b/>
          <w:lang w:val="en-US"/>
        </w:rPr>
        <w:t>precalculated</w:t>
      </w:r>
      <w:proofErr w:type="spellEnd"/>
      <w:r w:rsidRPr="00865978">
        <w:rPr>
          <w:b/>
          <w:lang w:val="en-US"/>
        </w:rPr>
        <w:t xml:space="preserve"> basis.</w:t>
      </w:r>
      <w:r>
        <w:rPr>
          <w:lang w:val="en-US"/>
        </w:rPr>
        <w:t xml:space="preserve"> This is due to avoid too large administrative effort. All figures can be taken directly from the source. No calculation in the </w:t>
      </w:r>
      <w:proofErr w:type="spellStart"/>
      <w:r>
        <w:rPr>
          <w:lang w:val="en-US"/>
        </w:rPr>
        <w:t>dataware</w:t>
      </w:r>
      <w:proofErr w:type="spellEnd"/>
      <w:r>
        <w:rPr>
          <w:lang w:val="en-US"/>
        </w:rPr>
        <w:t xml:space="preserve"> house is needed.</w:t>
      </w:r>
      <w:r w:rsidR="00CD09B8">
        <w:rPr>
          <w:lang w:val="en-US"/>
        </w:rPr>
        <w:t xml:space="preserve"> </w:t>
      </w:r>
      <w:proofErr w:type="gramStart"/>
      <w:r w:rsidR="00CD09B8">
        <w:rPr>
          <w:lang w:val="en-US"/>
        </w:rPr>
        <w:t>Same for the distinction of OI, TO and OB.</w:t>
      </w:r>
      <w:proofErr w:type="gramEnd"/>
    </w:p>
    <w:p w:rsidR="00423EF4" w:rsidRDefault="00907144" w:rsidP="005F583C">
      <w:pPr>
        <w:spacing w:after="0"/>
        <w:jc w:val="both"/>
        <w:rPr>
          <w:lang w:val="en-US"/>
        </w:rPr>
      </w:pPr>
      <w:r w:rsidRPr="00865978">
        <w:rPr>
          <w:b/>
          <w:lang w:val="en-US"/>
        </w:rPr>
        <w:lastRenderedPageBreak/>
        <w:t xml:space="preserve">The only SQL query applied checks whether an order is already contained in </w:t>
      </w:r>
      <w:proofErr w:type="spellStart"/>
      <w:r w:rsidRPr="00865978">
        <w:rPr>
          <w:b/>
          <w:lang w:val="en-US"/>
        </w:rPr>
        <w:t>Foxxpro</w:t>
      </w:r>
      <w:proofErr w:type="spellEnd"/>
      <w:r w:rsidRPr="00865978">
        <w:rPr>
          <w:b/>
          <w:lang w:val="en-US"/>
        </w:rPr>
        <w:t xml:space="preserve"> to avoid double counting</w:t>
      </w:r>
      <w:r>
        <w:rPr>
          <w:lang w:val="en-US"/>
        </w:rPr>
        <w:t xml:space="preserve">. More precise, </w:t>
      </w:r>
      <w:r w:rsidR="00B23E00">
        <w:rPr>
          <w:lang w:val="en-US"/>
        </w:rPr>
        <w:t xml:space="preserve">the Hkg_orders.mdb is the last </w:t>
      </w:r>
      <w:proofErr w:type="spellStart"/>
      <w:r w:rsidR="00B23E00">
        <w:rPr>
          <w:lang w:val="en-US"/>
        </w:rPr>
        <w:t>datasource</w:t>
      </w:r>
      <w:proofErr w:type="spellEnd"/>
      <w:r w:rsidR="00B23E00">
        <w:rPr>
          <w:lang w:val="en-US"/>
        </w:rPr>
        <w:t xml:space="preserve"> where BOARD retrieves data as long as this data has not been found in other source systems.</w:t>
      </w:r>
    </w:p>
    <w:p w:rsidR="00423EF4" w:rsidRDefault="00423EF4" w:rsidP="005F583C">
      <w:pPr>
        <w:spacing w:after="0"/>
        <w:jc w:val="both"/>
        <w:rPr>
          <w:lang w:val="en-US"/>
        </w:rPr>
      </w:pPr>
    </w:p>
    <w:p w:rsidR="00423EF4" w:rsidRPr="00A52C29" w:rsidRDefault="00423EF4" w:rsidP="0067625D">
      <w:pPr>
        <w:pStyle w:val="Heading1"/>
        <w:rPr>
          <w:lang w:val="en-US"/>
        </w:rPr>
      </w:pPr>
      <w:bookmarkStart w:id="7" w:name="_Toc389741492"/>
      <w:r w:rsidRPr="00A52C29">
        <w:rPr>
          <w:lang w:val="en-US"/>
        </w:rPr>
        <w:t>Change</w:t>
      </w:r>
      <w:r w:rsidR="00A52C29" w:rsidRPr="00A52C29">
        <w:rPr>
          <w:lang w:val="en-US"/>
        </w:rPr>
        <w:t>s</w:t>
      </w:r>
      <w:r w:rsidRPr="00A52C29">
        <w:rPr>
          <w:lang w:val="en-US"/>
        </w:rPr>
        <w:t xml:space="preserve"> of existing order</w:t>
      </w:r>
      <w:r w:rsidR="00A52C29" w:rsidRPr="00A52C29">
        <w:rPr>
          <w:lang w:val="en-US"/>
        </w:rPr>
        <w:t>s</w:t>
      </w:r>
      <w:bookmarkEnd w:id="7"/>
    </w:p>
    <w:p w:rsidR="00423EF4" w:rsidRDefault="00423EF4" w:rsidP="005F583C">
      <w:pPr>
        <w:spacing w:after="0"/>
        <w:jc w:val="both"/>
        <w:rPr>
          <w:lang w:val="en-US"/>
        </w:rPr>
      </w:pPr>
      <w:r>
        <w:rPr>
          <w:lang w:val="en-US"/>
        </w:rPr>
        <w:t>The historical cubes trace every single change of a once registered order.</w:t>
      </w:r>
    </w:p>
    <w:p w:rsidR="00423EF4" w:rsidRDefault="00423EF4" w:rsidP="005F583C">
      <w:pPr>
        <w:spacing w:after="0"/>
        <w:jc w:val="both"/>
        <w:rPr>
          <w:lang w:val="en-US"/>
        </w:rPr>
      </w:pPr>
      <w:r>
        <w:rPr>
          <w:lang w:val="en-US"/>
        </w:rPr>
        <w:t xml:space="preserve">In the regular order intake Cube the order is displayed as it exists in the source system as long as the registration date and the change date occurred in the same year. In case the change occurs in a different year, the difference compared to the initial registration will be displayed as Order Intake (positive or negative) in the year the change occurred. </w:t>
      </w:r>
    </w:p>
    <w:p w:rsidR="00423EF4" w:rsidRDefault="00423EF4" w:rsidP="005F583C">
      <w:pPr>
        <w:spacing w:after="0"/>
        <w:jc w:val="both"/>
        <w:rPr>
          <w:lang w:val="en-US"/>
        </w:rPr>
      </w:pPr>
    </w:p>
    <w:p w:rsidR="00A52C29" w:rsidRPr="00A52C29" w:rsidRDefault="00A52C29" w:rsidP="005F583C">
      <w:pPr>
        <w:spacing w:after="0"/>
        <w:jc w:val="both"/>
        <w:rPr>
          <w:i/>
          <w:u w:val="single"/>
          <w:lang w:val="en-US"/>
        </w:rPr>
      </w:pPr>
      <w:r w:rsidRPr="00A52C29">
        <w:rPr>
          <w:i/>
          <w:u w:val="single"/>
          <w:lang w:val="en-US"/>
        </w:rPr>
        <w:t>Example:</w:t>
      </w:r>
    </w:p>
    <w:p w:rsidR="00423EF4" w:rsidRPr="00A52C29" w:rsidRDefault="00423EF4" w:rsidP="005F583C">
      <w:pPr>
        <w:spacing w:after="0"/>
        <w:jc w:val="both"/>
        <w:rPr>
          <w:i/>
          <w:lang w:val="en-US"/>
        </w:rPr>
      </w:pPr>
      <w:r w:rsidRPr="00A52C29">
        <w:rPr>
          <w:i/>
          <w:lang w:val="en-US"/>
        </w:rPr>
        <w:t xml:space="preserve">Order Intake Oct 2013 with </w:t>
      </w:r>
      <w:r w:rsidR="00A52C29">
        <w:rPr>
          <w:i/>
          <w:lang w:val="en-US"/>
        </w:rPr>
        <w:t>value = 100.000 and DB2 = 5.000</w:t>
      </w:r>
    </w:p>
    <w:p w:rsidR="006E4AB7" w:rsidRPr="00A52C29" w:rsidRDefault="006E4AB7" w:rsidP="005F583C">
      <w:pPr>
        <w:spacing w:after="0"/>
        <w:jc w:val="both"/>
        <w:rPr>
          <w:i/>
          <w:lang w:val="en-US"/>
        </w:rPr>
      </w:pPr>
      <w:r w:rsidRPr="00A52C29">
        <w:rPr>
          <w:i/>
          <w:lang w:val="en-US"/>
        </w:rPr>
        <w:t xml:space="preserve">In </w:t>
      </w:r>
      <w:proofErr w:type="spellStart"/>
      <w:r w:rsidRPr="00A52C29">
        <w:rPr>
          <w:i/>
          <w:lang w:val="en-US"/>
        </w:rPr>
        <w:t>Februar</w:t>
      </w:r>
      <w:proofErr w:type="spellEnd"/>
      <w:r w:rsidRPr="00A52C29">
        <w:rPr>
          <w:i/>
          <w:lang w:val="en-US"/>
        </w:rPr>
        <w:t xml:space="preserve"> 2014 the value is decreased to 90.000 and the DB2 to 4.000.</w:t>
      </w:r>
    </w:p>
    <w:p w:rsidR="006E4AB7" w:rsidRPr="00A52C29" w:rsidRDefault="006E4AB7" w:rsidP="005F583C">
      <w:pPr>
        <w:spacing w:after="0"/>
        <w:jc w:val="both"/>
        <w:rPr>
          <w:i/>
          <w:lang w:val="en-US"/>
        </w:rPr>
      </w:pPr>
    </w:p>
    <w:p w:rsidR="006E4AB7" w:rsidRPr="00A52C29" w:rsidRDefault="006E4AB7" w:rsidP="00A52C29">
      <w:pPr>
        <w:pStyle w:val="ListParagraph"/>
        <w:numPr>
          <w:ilvl w:val="0"/>
          <w:numId w:val="5"/>
        </w:numPr>
        <w:spacing w:after="0"/>
        <w:jc w:val="both"/>
        <w:rPr>
          <w:i/>
          <w:lang w:val="en-US"/>
        </w:rPr>
      </w:pPr>
      <w:r w:rsidRPr="00A52C29">
        <w:rPr>
          <w:i/>
          <w:lang w:val="en-US"/>
        </w:rPr>
        <w:t xml:space="preserve">New Order Intake in </w:t>
      </w:r>
      <w:proofErr w:type="spellStart"/>
      <w:r w:rsidRPr="00A52C29">
        <w:rPr>
          <w:i/>
          <w:lang w:val="en-US"/>
        </w:rPr>
        <w:t>Fe</w:t>
      </w:r>
      <w:r w:rsidR="00916C84">
        <w:rPr>
          <w:i/>
          <w:lang w:val="en-US"/>
        </w:rPr>
        <w:t>buary</w:t>
      </w:r>
      <w:proofErr w:type="spellEnd"/>
      <w:r w:rsidR="00916C84">
        <w:rPr>
          <w:i/>
          <w:lang w:val="en-US"/>
        </w:rPr>
        <w:t xml:space="preserve"> 2014: Value = -</w:t>
      </w:r>
      <w:r w:rsidRPr="00A52C29">
        <w:rPr>
          <w:i/>
          <w:lang w:val="en-US"/>
        </w:rPr>
        <w:t>10.000 and DB2 = -1.000</w:t>
      </w:r>
    </w:p>
    <w:p w:rsidR="006E4AB7" w:rsidRDefault="006E4AB7" w:rsidP="006E4AB7">
      <w:pPr>
        <w:spacing w:after="0"/>
        <w:jc w:val="both"/>
        <w:rPr>
          <w:lang w:val="en-US"/>
        </w:rPr>
      </w:pPr>
    </w:p>
    <w:p w:rsidR="006E4AB7" w:rsidRPr="006E4AB7" w:rsidRDefault="006E4AB7" w:rsidP="006E4AB7">
      <w:pPr>
        <w:spacing w:after="0"/>
        <w:jc w:val="both"/>
        <w:rPr>
          <w:lang w:val="en-US"/>
        </w:rPr>
      </w:pPr>
      <w:r>
        <w:rPr>
          <w:lang w:val="en-US"/>
        </w:rPr>
        <w:t>Intention</w:t>
      </w:r>
      <w:r w:rsidR="00A52C29">
        <w:rPr>
          <w:lang w:val="en-US"/>
        </w:rPr>
        <w:t xml:space="preserve"> is to avoid changing figures of</w:t>
      </w:r>
      <w:r>
        <w:rPr>
          <w:lang w:val="en-US"/>
        </w:rPr>
        <w:t xml:space="preserve"> past years. Additionally, from an economic perspective changes should be considered in the year the occurred. </w:t>
      </w:r>
    </w:p>
    <w:p w:rsidR="00423EF4" w:rsidRDefault="00423EF4" w:rsidP="005F583C">
      <w:pPr>
        <w:spacing w:after="0"/>
        <w:jc w:val="both"/>
        <w:rPr>
          <w:lang w:val="en-US"/>
        </w:rPr>
      </w:pPr>
    </w:p>
    <w:p w:rsidR="00A52C29" w:rsidRDefault="00A52C29" w:rsidP="005F583C">
      <w:pPr>
        <w:spacing w:after="0"/>
        <w:jc w:val="both"/>
        <w:rPr>
          <w:lang w:val="en-US"/>
        </w:rPr>
      </w:pPr>
    </w:p>
    <w:p w:rsidR="00423EF4" w:rsidRPr="0067625D" w:rsidRDefault="00423EF4" w:rsidP="0067625D">
      <w:pPr>
        <w:pStyle w:val="Heading1"/>
        <w:rPr>
          <w:lang w:val="en-US"/>
        </w:rPr>
      </w:pPr>
      <w:bookmarkStart w:id="8" w:name="_Toc389741493"/>
      <w:r w:rsidRPr="0067625D">
        <w:rPr>
          <w:lang w:val="en-US"/>
        </w:rPr>
        <w:t>Planning in BOARD</w:t>
      </w:r>
      <w:bookmarkEnd w:id="8"/>
    </w:p>
    <w:p w:rsidR="00A1639E" w:rsidRDefault="00B45F21" w:rsidP="005F583C">
      <w:pPr>
        <w:spacing w:after="0"/>
        <w:jc w:val="both"/>
        <w:rPr>
          <w:lang w:val="en-US"/>
        </w:rPr>
      </w:pPr>
      <w:r>
        <w:rPr>
          <w:lang w:val="en-US"/>
        </w:rPr>
        <w:t xml:space="preserve">With BOARD a straight forward planning process has been implemented. After the controlling department has opened the planning mask, the BU manager is able to record his/her forecast. The BU manager is the only person who can change the forecasted figures. The industry managers and or the coordination board can only refuse to approve figures. Otherwise, the possibility of overwriting figures would lead to confusion and rejection of figures by all instances involved in the process. </w:t>
      </w:r>
    </w:p>
    <w:p w:rsidR="009A0AE7" w:rsidRDefault="009A0AE7" w:rsidP="005F583C">
      <w:pPr>
        <w:spacing w:after="0"/>
        <w:jc w:val="both"/>
        <w:rPr>
          <w:lang w:val="en-US"/>
        </w:rPr>
      </w:pPr>
    </w:p>
    <w:p w:rsidR="009A0AE7" w:rsidRDefault="009A0AE7" w:rsidP="005F583C">
      <w:pPr>
        <w:spacing w:after="0"/>
        <w:jc w:val="both"/>
        <w:rPr>
          <w:lang w:val="en-US"/>
        </w:rPr>
      </w:pPr>
    </w:p>
    <w:p w:rsidR="00DB3D44" w:rsidRDefault="00DB3D44" w:rsidP="005F583C">
      <w:pPr>
        <w:spacing w:after="0"/>
        <w:jc w:val="both"/>
        <w:rPr>
          <w:lang w:val="en-US"/>
        </w:rPr>
      </w:pPr>
    </w:p>
    <w:p w:rsidR="0000418C" w:rsidRPr="00234405" w:rsidRDefault="0000418C" w:rsidP="005F583C">
      <w:pPr>
        <w:spacing w:after="0"/>
        <w:jc w:val="both"/>
        <w:rPr>
          <w:lang w:val="en-US"/>
        </w:rPr>
      </w:pPr>
    </w:p>
    <w:p w:rsidR="00234405" w:rsidRDefault="00234405" w:rsidP="005F583C">
      <w:pPr>
        <w:jc w:val="both"/>
        <w:rPr>
          <w:lang w:val="en-US"/>
        </w:rPr>
      </w:pPr>
    </w:p>
    <w:p w:rsidR="00234405" w:rsidRPr="00234405" w:rsidRDefault="00234405" w:rsidP="005F583C">
      <w:pPr>
        <w:jc w:val="both"/>
        <w:rPr>
          <w:lang w:val="en-US"/>
        </w:rPr>
      </w:pPr>
    </w:p>
    <w:p w:rsidR="00234405" w:rsidRPr="00234405" w:rsidRDefault="00234405" w:rsidP="005F583C">
      <w:pPr>
        <w:ind w:left="432"/>
        <w:jc w:val="both"/>
        <w:rPr>
          <w:lang w:val="en-US"/>
        </w:rPr>
      </w:pPr>
    </w:p>
    <w:sectPr w:rsidR="00234405" w:rsidRPr="00234405" w:rsidSect="0067625D">
      <w:headerReference w:type="default" r:id="rId12"/>
      <w:footerReference w:type="default" r:id="rId13"/>
      <w:pgSz w:w="11906" w:h="16838"/>
      <w:pgMar w:top="1417" w:right="1417" w:bottom="1134" w:left="1417" w:header="708" w:footer="62"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Christoph Panschog" w:date="2014-05-28T16:24:00Z" w:initials="CPA">
    <w:p w:rsidR="00DB41A3" w:rsidRPr="00DB41A3" w:rsidRDefault="00DB41A3">
      <w:pPr>
        <w:pStyle w:val="CommentText"/>
        <w:rPr>
          <w:lang w:val="en-US"/>
        </w:rPr>
      </w:pPr>
      <w:r>
        <w:rPr>
          <w:rStyle w:val="CommentReference"/>
        </w:rPr>
        <w:annotationRef/>
      </w:r>
      <w:r w:rsidRPr="00DB41A3">
        <w:rPr>
          <w:lang w:val="en-US"/>
        </w:rPr>
        <w:t>This is available in July 2014</w:t>
      </w:r>
      <w:r>
        <w:rPr>
          <w:lang w:val="en-US"/>
        </w:rPr>
        <w:t>, as this function has never been used in Solomon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1C2" w:rsidRDefault="009251C2" w:rsidP="0061742A">
      <w:pPr>
        <w:spacing w:after="0" w:line="240" w:lineRule="auto"/>
      </w:pPr>
      <w:r>
        <w:separator/>
      </w:r>
    </w:p>
  </w:endnote>
  <w:endnote w:type="continuationSeparator" w:id="0">
    <w:p w:rsidR="009251C2" w:rsidRDefault="009251C2" w:rsidP="0061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42A" w:rsidRDefault="0061742A" w:rsidP="0061742A">
    <w:pPr>
      <w:pStyle w:val="Footer"/>
      <w:pBdr>
        <w:bottom w:val="single" w:sz="4" w:space="1" w:color="auto"/>
      </w:pBdr>
      <w:rPr>
        <w:lang w:val="en-US"/>
      </w:rPr>
    </w:pPr>
  </w:p>
  <w:p w:rsidR="0061742A" w:rsidRPr="0061742A" w:rsidRDefault="0061742A">
    <w:pPr>
      <w:pStyle w:val="Footer"/>
      <w:rPr>
        <w:sz w:val="16"/>
        <w:szCs w:val="16"/>
        <w:lang w:val="en-US"/>
      </w:rPr>
    </w:pPr>
    <w:r>
      <w:rPr>
        <w:sz w:val="16"/>
        <w:szCs w:val="16"/>
        <w:lang w:val="en-US"/>
      </w:rPr>
      <w:t>28 May 2014 / CPA</w:t>
    </w:r>
    <w:r w:rsidRPr="0061742A">
      <w:rPr>
        <w:sz w:val="16"/>
        <w:szCs w:val="16"/>
        <w:lang w:val="en-US"/>
      </w:rPr>
      <w:tab/>
    </w:r>
    <w:r w:rsidRPr="0061742A">
      <w:rPr>
        <w:sz w:val="16"/>
        <w:szCs w:val="16"/>
        <w:lang w:val="en-US"/>
      </w:rPr>
      <w:tab/>
    </w:r>
  </w:p>
  <w:p w:rsidR="0061742A" w:rsidRPr="0061742A" w:rsidRDefault="0061742A">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25D" w:rsidRDefault="0067625D" w:rsidP="0061742A">
    <w:pPr>
      <w:pStyle w:val="Footer"/>
      <w:pBdr>
        <w:bottom w:val="single" w:sz="4" w:space="1" w:color="auto"/>
      </w:pBdr>
      <w:rPr>
        <w:lang w:val="en-US"/>
      </w:rPr>
    </w:pPr>
  </w:p>
  <w:p w:rsidR="0067625D" w:rsidRPr="0061742A" w:rsidRDefault="0067625D">
    <w:pPr>
      <w:pStyle w:val="Footer"/>
      <w:rPr>
        <w:sz w:val="16"/>
        <w:szCs w:val="16"/>
        <w:lang w:val="en-US"/>
      </w:rPr>
    </w:pPr>
    <w:r>
      <w:rPr>
        <w:sz w:val="16"/>
        <w:szCs w:val="16"/>
        <w:lang w:val="en-US"/>
      </w:rPr>
      <w:t>28 May 2014 / CPA</w:t>
    </w:r>
    <w:r w:rsidRPr="0061742A">
      <w:rPr>
        <w:sz w:val="16"/>
        <w:szCs w:val="16"/>
        <w:lang w:val="en-US"/>
      </w:rPr>
      <w:tab/>
    </w:r>
    <w:r w:rsidRPr="0061742A">
      <w:rPr>
        <w:sz w:val="16"/>
        <w:szCs w:val="16"/>
        <w:lang w:val="en-US"/>
      </w:rPr>
      <w:tab/>
    </w:r>
    <w:r w:rsidRPr="0067625D">
      <w:rPr>
        <w:sz w:val="16"/>
        <w:szCs w:val="16"/>
        <w:lang w:val="en-US"/>
      </w:rPr>
      <w:fldChar w:fldCharType="begin"/>
    </w:r>
    <w:r w:rsidRPr="0067625D">
      <w:rPr>
        <w:sz w:val="16"/>
        <w:szCs w:val="16"/>
        <w:lang w:val="en-US"/>
      </w:rPr>
      <w:instrText>PAGE   \* MERGEFORMAT</w:instrText>
    </w:r>
    <w:r w:rsidRPr="0067625D">
      <w:rPr>
        <w:sz w:val="16"/>
        <w:szCs w:val="16"/>
        <w:lang w:val="en-US"/>
      </w:rPr>
      <w:fldChar w:fldCharType="separate"/>
    </w:r>
    <w:r w:rsidR="00C23C60">
      <w:rPr>
        <w:noProof/>
        <w:sz w:val="16"/>
        <w:szCs w:val="16"/>
        <w:lang w:val="en-US"/>
      </w:rPr>
      <w:t>1</w:t>
    </w:r>
    <w:r w:rsidRPr="0067625D">
      <w:rPr>
        <w:sz w:val="16"/>
        <w:szCs w:val="16"/>
        <w:lang w:val="en-US"/>
      </w:rPr>
      <w:fldChar w:fldCharType="end"/>
    </w:r>
  </w:p>
  <w:p w:rsidR="0067625D" w:rsidRPr="0061742A" w:rsidRDefault="0067625D">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1C2" w:rsidRDefault="009251C2" w:rsidP="0061742A">
      <w:pPr>
        <w:spacing w:after="0" w:line="240" w:lineRule="auto"/>
      </w:pPr>
      <w:r>
        <w:separator/>
      </w:r>
    </w:p>
  </w:footnote>
  <w:footnote w:type="continuationSeparator" w:id="0">
    <w:p w:rsidR="009251C2" w:rsidRDefault="009251C2" w:rsidP="00617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42A" w:rsidRDefault="0061742A" w:rsidP="0061742A">
    <w:pPr>
      <w:pStyle w:val="Header"/>
      <w:pBdr>
        <w:bottom w:val="single" w:sz="4" w:space="1" w:color="auto"/>
      </w:pBdr>
    </w:pPr>
    <w:r w:rsidRPr="00DA576A">
      <w:rPr>
        <w:noProof/>
        <w:lang w:val="en-US"/>
      </w:rPr>
      <w:drawing>
        <wp:anchor distT="0" distB="0" distL="114300" distR="114300" simplePos="0" relativeHeight="251659264" behindDoc="0" locked="0" layoutInCell="1" allowOverlap="1" wp14:anchorId="17E9C7A7" wp14:editId="7E9D170C">
          <wp:simplePos x="0" y="0"/>
          <wp:positionH relativeFrom="column">
            <wp:posOffset>4068445</wp:posOffset>
          </wp:positionH>
          <wp:positionV relativeFrom="paragraph">
            <wp:posOffset>-205740</wp:posOffset>
          </wp:positionV>
          <wp:extent cx="1696720" cy="339725"/>
          <wp:effectExtent l="0" t="0" r="0" b="3175"/>
          <wp:wrapNone/>
          <wp:docPr id="1033" name="Picture 10" descr="Riecke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 descr="Rieckerman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6720" cy="3397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61742A" w:rsidRDefault="00617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25D" w:rsidRDefault="0067625D" w:rsidP="0061742A">
    <w:pPr>
      <w:pStyle w:val="Header"/>
      <w:pBdr>
        <w:bottom w:val="single" w:sz="4" w:space="1" w:color="auto"/>
      </w:pBdr>
    </w:pPr>
    <w:r w:rsidRPr="00DA576A">
      <w:rPr>
        <w:noProof/>
        <w:lang w:val="en-US"/>
      </w:rPr>
      <w:drawing>
        <wp:anchor distT="0" distB="0" distL="114300" distR="114300" simplePos="0" relativeHeight="251661312" behindDoc="0" locked="0" layoutInCell="1" allowOverlap="1" wp14:anchorId="771706C1" wp14:editId="496B0051">
          <wp:simplePos x="0" y="0"/>
          <wp:positionH relativeFrom="column">
            <wp:posOffset>4068445</wp:posOffset>
          </wp:positionH>
          <wp:positionV relativeFrom="paragraph">
            <wp:posOffset>-205740</wp:posOffset>
          </wp:positionV>
          <wp:extent cx="1696720" cy="339725"/>
          <wp:effectExtent l="0" t="0" r="0" b="3175"/>
          <wp:wrapNone/>
          <wp:docPr id="1" name="Picture 10" descr="Riecke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 descr="Rieckerman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6720" cy="339725"/>
                  </a:xfrm>
                  <a:prstGeom prst="rect">
                    <a:avLst/>
                  </a:prstGeom>
                  <a:noFill/>
                  <a:ln>
                    <a:noFill/>
                  </a:ln>
                  <a:extLst/>
                </pic:spPr>
              </pic:pic>
            </a:graphicData>
          </a:graphic>
          <wp14:sizeRelH relativeFrom="page">
            <wp14:pctWidth>0</wp14:pctWidth>
          </wp14:sizeRelH>
          <wp14:sizeRelV relativeFrom="page">
            <wp14:pctHeight>0</wp14:pctHeight>
          </wp14:sizeRelV>
        </wp:anchor>
      </w:drawing>
    </w:r>
    <w:r>
      <w:t>Economic Documentation of BOARD</w:t>
    </w:r>
  </w:p>
  <w:p w:rsidR="0067625D" w:rsidRDefault="006762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2735"/>
    <w:multiLevelType w:val="hybridMultilevel"/>
    <w:tmpl w:val="1FAC744C"/>
    <w:lvl w:ilvl="0" w:tplc="6E809DCC">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EF62043"/>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1EC7085"/>
    <w:multiLevelType w:val="hybridMultilevel"/>
    <w:tmpl w:val="4006A2B2"/>
    <w:lvl w:ilvl="0" w:tplc="F7D0AF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B27104C"/>
    <w:multiLevelType w:val="multilevel"/>
    <w:tmpl w:val="0407001D"/>
    <w:styleLink w:val="1Heading"/>
    <w:lvl w:ilvl="0">
      <w:start w:val="1"/>
      <w:numFmt w:val="decimal"/>
      <w:lvlText w:val="%1)"/>
      <w:lvlJc w:val="left"/>
      <w:pPr>
        <w:ind w:left="360" w:hanging="360"/>
      </w:pPr>
      <w:rPr>
        <w:rFonts w:ascii="Arial" w:hAnsi="Arial"/>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7361469"/>
    <w:multiLevelType w:val="hybridMultilevel"/>
    <w:tmpl w:val="BA9C93E0"/>
    <w:lvl w:ilvl="0" w:tplc="80166A34">
      <w:start w:val="1"/>
      <w:numFmt w:val="decimal"/>
      <w:lvlText w:val="%1."/>
      <w:lvlJc w:val="left"/>
      <w:pPr>
        <w:ind w:left="1065" w:hanging="360"/>
      </w:pPr>
      <w:rPr>
        <w:rFonts w:asciiTheme="minorHAnsi" w:eastAsiaTheme="minorHAnsi" w:hAnsiTheme="minorHAnsi" w:cstheme="minorBidi"/>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405"/>
    <w:rsid w:val="0000418C"/>
    <w:rsid w:val="00022803"/>
    <w:rsid w:val="0006031B"/>
    <w:rsid w:val="0006471A"/>
    <w:rsid w:val="000816F4"/>
    <w:rsid w:val="000A735D"/>
    <w:rsid w:val="000F493A"/>
    <w:rsid w:val="00114182"/>
    <w:rsid w:val="001E471E"/>
    <w:rsid w:val="00202628"/>
    <w:rsid w:val="00234405"/>
    <w:rsid w:val="00246705"/>
    <w:rsid w:val="002536F7"/>
    <w:rsid w:val="002D4245"/>
    <w:rsid w:val="002F1B3C"/>
    <w:rsid w:val="003173FF"/>
    <w:rsid w:val="00343775"/>
    <w:rsid w:val="0042389F"/>
    <w:rsid w:val="00423EF4"/>
    <w:rsid w:val="004303A8"/>
    <w:rsid w:val="00466415"/>
    <w:rsid w:val="0047575D"/>
    <w:rsid w:val="005A1499"/>
    <w:rsid w:val="005B510D"/>
    <w:rsid w:val="005E0765"/>
    <w:rsid w:val="005F583C"/>
    <w:rsid w:val="0061742A"/>
    <w:rsid w:val="0067625D"/>
    <w:rsid w:val="006A3001"/>
    <w:rsid w:val="006E4AB7"/>
    <w:rsid w:val="00714571"/>
    <w:rsid w:val="007173E4"/>
    <w:rsid w:val="00743321"/>
    <w:rsid w:val="00760333"/>
    <w:rsid w:val="00810849"/>
    <w:rsid w:val="00865978"/>
    <w:rsid w:val="008702A9"/>
    <w:rsid w:val="008F610C"/>
    <w:rsid w:val="0090108D"/>
    <w:rsid w:val="00907144"/>
    <w:rsid w:val="00916C84"/>
    <w:rsid w:val="009251C2"/>
    <w:rsid w:val="00927511"/>
    <w:rsid w:val="009A0AE7"/>
    <w:rsid w:val="009A0F96"/>
    <w:rsid w:val="009D7295"/>
    <w:rsid w:val="00A12329"/>
    <w:rsid w:val="00A1639E"/>
    <w:rsid w:val="00A52C29"/>
    <w:rsid w:val="00A767ED"/>
    <w:rsid w:val="00AB4759"/>
    <w:rsid w:val="00AC07B8"/>
    <w:rsid w:val="00B1257C"/>
    <w:rsid w:val="00B1467C"/>
    <w:rsid w:val="00B23E00"/>
    <w:rsid w:val="00B45F21"/>
    <w:rsid w:val="00B63EF1"/>
    <w:rsid w:val="00BC4F74"/>
    <w:rsid w:val="00C23C60"/>
    <w:rsid w:val="00CD09B8"/>
    <w:rsid w:val="00CE2771"/>
    <w:rsid w:val="00CE37EC"/>
    <w:rsid w:val="00CE6627"/>
    <w:rsid w:val="00D754AE"/>
    <w:rsid w:val="00DB3D44"/>
    <w:rsid w:val="00DB41A3"/>
    <w:rsid w:val="00E27D32"/>
    <w:rsid w:val="00E64DEF"/>
    <w:rsid w:val="00ED310C"/>
    <w:rsid w:val="00F27FB3"/>
    <w:rsid w:val="00FB6D78"/>
    <w:rsid w:val="00FD5862"/>
    <w:rsid w:val="00FE25F4"/>
    <w:rsid w:val="00FE2D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4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440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440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440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440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440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440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440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440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Heading">
    <w:name w:val="1. Heading"/>
    <w:basedOn w:val="NoList"/>
    <w:uiPriority w:val="99"/>
    <w:rsid w:val="00FE2D24"/>
    <w:pPr>
      <w:numPr>
        <w:numId w:val="1"/>
      </w:numPr>
    </w:pPr>
  </w:style>
  <w:style w:type="character" w:customStyle="1" w:styleId="Heading1Char">
    <w:name w:val="Heading 1 Char"/>
    <w:basedOn w:val="DefaultParagraphFont"/>
    <w:link w:val="Heading1"/>
    <w:uiPriority w:val="9"/>
    <w:rsid w:val="002344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44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344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3440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44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440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44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44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440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34405"/>
    <w:pPr>
      <w:ind w:left="720"/>
      <w:contextualSpacing/>
    </w:pPr>
  </w:style>
  <w:style w:type="character" w:styleId="CommentReference">
    <w:name w:val="annotation reference"/>
    <w:basedOn w:val="DefaultParagraphFont"/>
    <w:uiPriority w:val="99"/>
    <w:semiHidden/>
    <w:unhideWhenUsed/>
    <w:rsid w:val="00DB41A3"/>
    <w:rPr>
      <w:sz w:val="16"/>
      <w:szCs w:val="16"/>
    </w:rPr>
  </w:style>
  <w:style w:type="paragraph" w:styleId="CommentText">
    <w:name w:val="annotation text"/>
    <w:basedOn w:val="Normal"/>
    <w:link w:val="CommentTextChar"/>
    <w:uiPriority w:val="99"/>
    <w:semiHidden/>
    <w:unhideWhenUsed/>
    <w:rsid w:val="00DB41A3"/>
    <w:pPr>
      <w:spacing w:line="240" w:lineRule="auto"/>
    </w:pPr>
    <w:rPr>
      <w:sz w:val="20"/>
      <w:szCs w:val="20"/>
    </w:rPr>
  </w:style>
  <w:style w:type="character" w:customStyle="1" w:styleId="CommentTextChar">
    <w:name w:val="Comment Text Char"/>
    <w:basedOn w:val="DefaultParagraphFont"/>
    <w:link w:val="CommentText"/>
    <w:uiPriority w:val="99"/>
    <w:semiHidden/>
    <w:rsid w:val="00DB41A3"/>
    <w:rPr>
      <w:sz w:val="20"/>
      <w:szCs w:val="20"/>
    </w:rPr>
  </w:style>
  <w:style w:type="paragraph" w:styleId="CommentSubject">
    <w:name w:val="annotation subject"/>
    <w:basedOn w:val="CommentText"/>
    <w:next w:val="CommentText"/>
    <w:link w:val="CommentSubjectChar"/>
    <w:uiPriority w:val="99"/>
    <w:semiHidden/>
    <w:unhideWhenUsed/>
    <w:rsid w:val="00DB41A3"/>
    <w:rPr>
      <w:b/>
      <w:bCs/>
    </w:rPr>
  </w:style>
  <w:style w:type="character" w:customStyle="1" w:styleId="CommentSubjectChar">
    <w:name w:val="Comment Subject Char"/>
    <w:basedOn w:val="CommentTextChar"/>
    <w:link w:val="CommentSubject"/>
    <w:uiPriority w:val="99"/>
    <w:semiHidden/>
    <w:rsid w:val="00DB41A3"/>
    <w:rPr>
      <w:b/>
      <w:bCs/>
      <w:sz w:val="20"/>
      <w:szCs w:val="20"/>
    </w:rPr>
  </w:style>
  <w:style w:type="paragraph" w:styleId="BalloonText">
    <w:name w:val="Balloon Text"/>
    <w:basedOn w:val="Normal"/>
    <w:link w:val="BalloonTextChar"/>
    <w:uiPriority w:val="99"/>
    <w:semiHidden/>
    <w:unhideWhenUsed/>
    <w:rsid w:val="00DB4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A3"/>
    <w:rPr>
      <w:rFonts w:ascii="Tahoma" w:hAnsi="Tahoma" w:cs="Tahoma"/>
      <w:sz w:val="16"/>
      <w:szCs w:val="16"/>
    </w:rPr>
  </w:style>
  <w:style w:type="paragraph" w:styleId="Header">
    <w:name w:val="header"/>
    <w:basedOn w:val="Normal"/>
    <w:link w:val="HeaderChar"/>
    <w:uiPriority w:val="99"/>
    <w:unhideWhenUsed/>
    <w:rsid w:val="006174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742A"/>
  </w:style>
  <w:style w:type="paragraph" w:styleId="Footer">
    <w:name w:val="footer"/>
    <w:basedOn w:val="Normal"/>
    <w:link w:val="FooterChar"/>
    <w:uiPriority w:val="99"/>
    <w:unhideWhenUsed/>
    <w:rsid w:val="006174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742A"/>
  </w:style>
  <w:style w:type="paragraph" w:styleId="TOCHeading">
    <w:name w:val="TOC Heading"/>
    <w:basedOn w:val="Heading1"/>
    <w:next w:val="Normal"/>
    <w:uiPriority w:val="39"/>
    <w:semiHidden/>
    <w:unhideWhenUsed/>
    <w:qFormat/>
    <w:rsid w:val="0067625D"/>
    <w:pPr>
      <w:numPr>
        <w:numId w:val="0"/>
      </w:numPr>
      <w:outlineLvl w:val="9"/>
    </w:pPr>
    <w:rPr>
      <w:lang w:val="en-US" w:eastAsia="ja-JP"/>
    </w:rPr>
  </w:style>
  <w:style w:type="paragraph" w:styleId="TOC1">
    <w:name w:val="toc 1"/>
    <w:basedOn w:val="Normal"/>
    <w:next w:val="Normal"/>
    <w:autoRedefine/>
    <w:uiPriority w:val="39"/>
    <w:unhideWhenUsed/>
    <w:rsid w:val="0067625D"/>
    <w:pPr>
      <w:spacing w:after="100"/>
    </w:pPr>
  </w:style>
  <w:style w:type="paragraph" w:styleId="TOC2">
    <w:name w:val="toc 2"/>
    <w:basedOn w:val="Normal"/>
    <w:next w:val="Normal"/>
    <w:autoRedefine/>
    <w:uiPriority w:val="39"/>
    <w:unhideWhenUsed/>
    <w:rsid w:val="0067625D"/>
    <w:pPr>
      <w:spacing w:after="100"/>
      <w:ind w:left="220"/>
    </w:pPr>
  </w:style>
  <w:style w:type="character" w:styleId="Hyperlink">
    <w:name w:val="Hyperlink"/>
    <w:basedOn w:val="DefaultParagraphFont"/>
    <w:uiPriority w:val="99"/>
    <w:unhideWhenUsed/>
    <w:rsid w:val="006762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4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440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440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440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440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440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440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440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440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Heading">
    <w:name w:val="1. Heading"/>
    <w:basedOn w:val="NoList"/>
    <w:uiPriority w:val="99"/>
    <w:rsid w:val="00FE2D24"/>
    <w:pPr>
      <w:numPr>
        <w:numId w:val="1"/>
      </w:numPr>
    </w:pPr>
  </w:style>
  <w:style w:type="character" w:customStyle="1" w:styleId="Heading1Char">
    <w:name w:val="Heading 1 Char"/>
    <w:basedOn w:val="DefaultParagraphFont"/>
    <w:link w:val="Heading1"/>
    <w:uiPriority w:val="9"/>
    <w:rsid w:val="002344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44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344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3440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44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440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44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44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440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34405"/>
    <w:pPr>
      <w:ind w:left="720"/>
      <w:contextualSpacing/>
    </w:pPr>
  </w:style>
  <w:style w:type="character" w:styleId="CommentReference">
    <w:name w:val="annotation reference"/>
    <w:basedOn w:val="DefaultParagraphFont"/>
    <w:uiPriority w:val="99"/>
    <w:semiHidden/>
    <w:unhideWhenUsed/>
    <w:rsid w:val="00DB41A3"/>
    <w:rPr>
      <w:sz w:val="16"/>
      <w:szCs w:val="16"/>
    </w:rPr>
  </w:style>
  <w:style w:type="paragraph" w:styleId="CommentText">
    <w:name w:val="annotation text"/>
    <w:basedOn w:val="Normal"/>
    <w:link w:val="CommentTextChar"/>
    <w:uiPriority w:val="99"/>
    <w:semiHidden/>
    <w:unhideWhenUsed/>
    <w:rsid w:val="00DB41A3"/>
    <w:pPr>
      <w:spacing w:line="240" w:lineRule="auto"/>
    </w:pPr>
    <w:rPr>
      <w:sz w:val="20"/>
      <w:szCs w:val="20"/>
    </w:rPr>
  </w:style>
  <w:style w:type="character" w:customStyle="1" w:styleId="CommentTextChar">
    <w:name w:val="Comment Text Char"/>
    <w:basedOn w:val="DefaultParagraphFont"/>
    <w:link w:val="CommentText"/>
    <w:uiPriority w:val="99"/>
    <w:semiHidden/>
    <w:rsid w:val="00DB41A3"/>
    <w:rPr>
      <w:sz w:val="20"/>
      <w:szCs w:val="20"/>
    </w:rPr>
  </w:style>
  <w:style w:type="paragraph" w:styleId="CommentSubject">
    <w:name w:val="annotation subject"/>
    <w:basedOn w:val="CommentText"/>
    <w:next w:val="CommentText"/>
    <w:link w:val="CommentSubjectChar"/>
    <w:uiPriority w:val="99"/>
    <w:semiHidden/>
    <w:unhideWhenUsed/>
    <w:rsid w:val="00DB41A3"/>
    <w:rPr>
      <w:b/>
      <w:bCs/>
    </w:rPr>
  </w:style>
  <w:style w:type="character" w:customStyle="1" w:styleId="CommentSubjectChar">
    <w:name w:val="Comment Subject Char"/>
    <w:basedOn w:val="CommentTextChar"/>
    <w:link w:val="CommentSubject"/>
    <w:uiPriority w:val="99"/>
    <w:semiHidden/>
    <w:rsid w:val="00DB41A3"/>
    <w:rPr>
      <w:b/>
      <w:bCs/>
      <w:sz w:val="20"/>
      <w:szCs w:val="20"/>
    </w:rPr>
  </w:style>
  <w:style w:type="paragraph" w:styleId="BalloonText">
    <w:name w:val="Balloon Text"/>
    <w:basedOn w:val="Normal"/>
    <w:link w:val="BalloonTextChar"/>
    <w:uiPriority w:val="99"/>
    <w:semiHidden/>
    <w:unhideWhenUsed/>
    <w:rsid w:val="00DB4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A3"/>
    <w:rPr>
      <w:rFonts w:ascii="Tahoma" w:hAnsi="Tahoma" w:cs="Tahoma"/>
      <w:sz w:val="16"/>
      <w:szCs w:val="16"/>
    </w:rPr>
  </w:style>
  <w:style w:type="paragraph" w:styleId="Header">
    <w:name w:val="header"/>
    <w:basedOn w:val="Normal"/>
    <w:link w:val="HeaderChar"/>
    <w:uiPriority w:val="99"/>
    <w:unhideWhenUsed/>
    <w:rsid w:val="006174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742A"/>
  </w:style>
  <w:style w:type="paragraph" w:styleId="Footer">
    <w:name w:val="footer"/>
    <w:basedOn w:val="Normal"/>
    <w:link w:val="FooterChar"/>
    <w:uiPriority w:val="99"/>
    <w:unhideWhenUsed/>
    <w:rsid w:val="006174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742A"/>
  </w:style>
  <w:style w:type="paragraph" w:styleId="TOCHeading">
    <w:name w:val="TOC Heading"/>
    <w:basedOn w:val="Heading1"/>
    <w:next w:val="Normal"/>
    <w:uiPriority w:val="39"/>
    <w:semiHidden/>
    <w:unhideWhenUsed/>
    <w:qFormat/>
    <w:rsid w:val="0067625D"/>
    <w:pPr>
      <w:numPr>
        <w:numId w:val="0"/>
      </w:numPr>
      <w:outlineLvl w:val="9"/>
    </w:pPr>
    <w:rPr>
      <w:lang w:val="en-US" w:eastAsia="ja-JP"/>
    </w:rPr>
  </w:style>
  <w:style w:type="paragraph" w:styleId="TOC1">
    <w:name w:val="toc 1"/>
    <w:basedOn w:val="Normal"/>
    <w:next w:val="Normal"/>
    <w:autoRedefine/>
    <w:uiPriority w:val="39"/>
    <w:unhideWhenUsed/>
    <w:rsid w:val="0067625D"/>
    <w:pPr>
      <w:spacing w:after="100"/>
    </w:pPr>
  </w:style>
  <w:style w:type="paragraph" w:styleId="TOC2">
    <w:name w:val="toc 2"/>
    <w:basedOn w:val="Normal"/>
    <w:next w:val="Normal"/>
    <w:autoRedefine/>
    <w:uiPriority w:val="39"/>
    <w:unhideWhenUsed/>
    <w:rsid w:val="0067625D"/>
    <w:pPr>
      <w:spacing w:after="100"/>
      <w:ind w:left="220"/>
    </w:pPr>
  </w:style>
  <w:style w:type="character" w:styleId="Hyperlink">
    <w:name w:val="Hyperlink"/>
    <w:basedOn w:val="DefaultParagraphFont"/>
    <w:uiPriority w:val="99"/>
    <w:unhideWhenUsed/>
    <w:rsid w:val="006762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24DA7-3674-47EF-8413-7FB85B3E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5</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Panschog</dc:creator>
  <cp:lastModifiedBy>Minh Vu Tran</cp:lastModifiedBy>
  <cp:revision>56</cp:revision>
  <dcterms:created xsi:type="dcterms:W3CDTF">2014-05-28T09:34:00Z</dcterms:created>
  <dcterms:modified xsi:type="dcterms:W3CDTF">2016-05-04T03:04:00Z</dcterms:modified>
</cp:coreProperties>
</file>