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60"/>
      </w:pPr>
      <w:r>
        <w:t>QUY CHẾ QUẢN LÝ, SỬ DỤNG NHÀ CHUNG CƯ</w:t>
      </w:r>
    </w:p>
    <w:p>
      <w:pPr>
        <w:spacing w:after="80" w:line="276" w:lineRule="auto"/>
      </w:pPr>
      <w:r>
        <w:rPr>
          <w:b w:val="0"/>
          <w:i/>
        </w:rPr>
        <w:t>(Ban hành kèm theo Thông tư số 02/2016/TT-BXD ngày 15 tháng 02 năm 2016 của Bộ trưởng Bộ Xây dựng, sửa đổi bổ sung bởi TT 28/2016/TT-BXD và TT 06/2019/TT-BXD)</w:t>
      </w:r>
    </w:p>
    <w:p>
      <w:pPr>
        <w:pStyle w:val="Heading2"/>
        <w:spacing w:before="120" w:after="60"/>
      </w:pPr>
      <w:r>
        <w:t>CHƯƠNG I: QUY ĐỊNH CHUNG</w:t>
      </w:r>
    </w:p>
    <w:p>
      <w:pPr>
        <w:pStyle w:val="Heading3"/>
        <w:spacing w:before="120" w:after="60"/>
      </w:pPr>
      <w:r>
        <w:t>Điều 1. Phạm vi điều chỉnh và đối tượng áp dụng</w:t>
      </w:r>
    </w:p>
    <w:p>
      <w:pPr>
        <w:spacing w:after="80" w:line="276" w:lineRule="auto"/>
      </w:pPr>
      <w:r>
        <w:rPr>
          <w:b w:val="0"/>
          <w:i w:val="0"/>
        </w:rPr>
        <w:t>1. Quy chế này áp dụng đối với nhà chung cư có mục đích để ở và nhà chung cư có mục đích sử dụng hỗn hợp dùng để ở và sử dụng vào các mục đích khác theo quy định tại Luật Nhà ở.</w:t>
      </w:r>
    </w:p>
    <w:p>
      <w:pPr>
        <w:spacing w:after="80" w:line="276" w:lineRule="auto"/>
      </w:pPr>
      <w:r>
        <w:rPr>
          <w:b w:val="0"/>
          <w:i w:val="0"/>
        </w:rPr>
        <w:t>2. Đối tượng áp dụng bao gồm: Chủ đầu tư dự án xây dựng nhà chung cư; Chủ sở hữu, người sử dụng nhà chung cư; Ban quản trị nhà chung cư; Doanh nghiệp quản lý vận hành nhà chung cư; Các cơ quan, tổ chức và cá nhân khác có liên quan.</w:t>
      </w:r>
    </w:p>
    <w:p>
      <w:pPr>
        <w:pStyle w:val="Heading3"/>
        <w:spacing w:before="120" w:after="60"/>
      </w:pPr>
      <w:r>
        <w:t>Điều 4. Nguyên tắc quản lý, sử dụng nhà chung cư</w:t>
      </w:r>
    </w:p>
    <w:p>
      <w:pPr>
        <w:spacing w:after="80" w:line="276" w:lineRule="auto"/>
      </w:pPr>
      <w:r>
        <w:rPr>
          <w:b w:val="0"/>
          <w:i w:val="0"/>
        </w:rPr>
        <w:t>1. Nhà chung cư phải được sử dụng đúng công năng, mục đích thiết kế và nội dung dự án được phê duyệt.</w:t>
      </w:r>
    </w:p>
    <w:p>
      <w:pPr>
        <w:spacing w:after="80" w:line="276" w:lineRule="auto"/>
      </w:pPr>
      <w:r>
        <w:rPr>
          <w:b w:val="0"/>
          <w:i w:val="0"/>
        </w:rPr>
        <w:t>2. Việc quản lý vận hành nhà chung cư phải bảo đảm an toàn về tính mạng, tài sản, phòng chống cháy nổ, vệ sinh môi trường, an ninh trật tự, nếp sống văn minh đô thị.</w:t>
      </w:r>
    </w:p>
    <w:p>
      <w:pPr>
        <w:spacing w:after="80" w:line="276" w:lineRule="auto"/>
      </w:pPr>
      <w:r>
        <w:rPr>
          <w:b w:val="0"/>
          <w:i w:val="0"/>
        </w:rPr>
        <w:t>3. Chủ sở hữu, người sử dụng nhà chung cư phải đóng các khoản kinh phí quản lý vận hành, kinh phí bảo trì phần sở hữu chung theo quy định của pháp luật và hợp đồng mua bán, thuê mua.</w:t>
      </w:r>
    </w:p>
    <w:p>
      <w:pPr>
        <w:pStyle w:val="Heading2"/>
        <w:spacing w:before="120" w:after="60"/>
      </w:pPr>
      <w:r>
        <w:t>CHƯƠNG II: HỘI NGHỊ NHÀ CHUNG CƯ</w:t>
      </w:r>
    </w:p>
    <w:p>
      <w:pPr>
        <w:pStyle w:val="Heading3"/>
        <w:spacing w:before="120" w:after="60"/>
      </w:pPr>
      <w:r>
        <w:t>Điều 13. Hội nghị nhà chung cư lần đầu</w:t>
      </w:r>
    </w:p>
    <w:p>
      <w:pPr>
        <w:spacing w:after="80" w:line="276" w:lineRule="auto"/>
      </w:pPr>
      <w:r>
        <w:rPr>
          <w:b w:val="0"/>
          <w:i w:val="0"/>
        </w:rPr>
        <w:t>1. Hội nghị của tòa nhà chung cư phải được tổ chức trong thời hạn 12 tháng kể từ ngày nhà chung cư đó được bàn giao đưa vào sử dụng và có tối thiểu 50% số căn hộ đã được bàn giao.</w:t>
      </w:r>
    </w:p>
    <w:p>
      <w:pPr>
        <w:spacing w:after="80" w:line="276" w:lineRule="auto"/>
      </w:pPr>
      <w:r>
        <w:rPr>
          <w:b w:val="0"/>
          <w:i w:val="0"/>
        </w:rPr>
        <w:t>2. Điều kiện về số lượng người tham dự: Phải có tối thiểu 50% đại diện chủ sở hữu căn hộ đã nhận bàn giao tham dự. Trường hợp không đủ số lượng người tham dự, trong thời hạn 07 ngày làm việc, chủ đầu tư hoặc đại diện chủ sở hữu đề nghị UBND cấp xã/phường tổ chức.</w:t>
      </w:r>
    </w:p>
    <w:p>
      <w:pPr>
        <w:spacing w:after="80" w:line="276" w:lineRule="auto"/>
      </w:pPr>
      <w:r>
        <w:rPr>
          <w:b w:val="0"/>
          <w:i w:val="0"/>
        </w:rPr>
        <w:t>3. Quyền biểu quyết tại Hội nghị nhà chung cư được tính theo diện tích sở hữu riêng của chủ sở hữu căn hộ: 1m2 diện tích sở hữu riêng tương đương với 01 phiếu biểu quyết.</w:t>
      </w:r>
    </w:p>
    <w:p>
      <w:pPr>
        <w:pStyle w:val="Heading2"/>
        <w:spacing w:before="120" w:after="60"/>
      </w:pPr>
      <w:r>
        <w:t>CHƯƠNG III: BAN QUẢN TRỊ NHÀ CHUNG CƯ</w:t>
      </w:r>
    </w:p>
    <w:p>
      <w:pPr>
        <w:pStyle w:val="Heading3"/>
        <w:spacing w:before="120" w:after="60"/>
      </w:pPr>
      <w:r>
        <w:t>Điều 18. Mô hình và số lượng thành viên Ban quản trị</w:t>
      </w:r>
    </w:p>
    <w:p>
      <w:pPr>
        <w:spacing w:after="80" w:line="276" w:lineRule="auto"/>
      </w:pPr>
      <w:r>
        <w:rPr>
          <w:b w:val="0"/>
          <w:i w:val="0"/>
        </w:rPr>
        <w:t>1. Ban quản trị nhà chung cư có một chủ sở hữu được tổ chức theo mô hình tự quản. Ban quản trị nhà chung cư có nhiều chủ sở hữu được tổ chức và hoạt động theo mô hình Hội đồng quản trị của Hợp tác xã hoặc mô hình Hội đồng quản trị của Công ty cổ phần.</w:t>
      </w:r>
    </w:p>
    <w:p>
      <w:pPr>
        <w:spacing w:after="80" w:line="276" w:lineRule="auto"/>
      </w:pPr>
      <w:r>
        <w:rPr>
          <w:b w:val="0"/>
          <w:i w:val="0"/>
        </w:rPr>
        <w:t>2. Số lượng thành viên Ban quản trị: Đối với một tòa nhà chung cư có tối thiểu 03 thành viên. Đối với cụm nhà chung cư có tối thiểu 06 thành viên.</w:t>
      </w:r>
    </w:p>
    <w:p>
      <w:pPr>
        <w:spacing w:after="80" w:line="276" w:lineRule="auto"/>
      </w:pPr>
      <w:r>
        <w:rPr>
          <w:b w:val="0"/>
          <w:i w:val="0"/>
        </w:rPr>
        <w:t>3. Ban quản trị có tư cách pháp nhân, có con dấu và được mở tài khoản để quản lý kinh phí bảo trì phần sở hữu chung theo quy định.</w:t>
      </w:r>
    </w:p>
    <w:p>
      <w:pPr>
        <w:pStyle w:val="Heading2"/>
        <w:spacing w:before="120" w:after="60"/>
      </w:pPr>
      <w:r>
        <w:t>CHƯƠNG IV: QUẢN LÝ, SỬ DỤNG KINH PHÍ BẢO TRÌ VÀ PHÍ QUẢN LÝ</w:t>
      </w:r>
    </w:p>
    <w:p>
      <w:pPr>
        <w:pStyle w:val="Heading3"/>
        <w:spacing w:before="120" w:after="60"/>
      </w:pPr>
      <w:r>
        <w:t>Điều 36. Quản lý và bàn giao kinh phí bảo trì 2%</w:t>
      </w:r>
    </w:p>
    <w:p>
      <w:pPr>
        <w:spacing w:after="80" w:line="276" w:lineRule="auto"/>
      </w:pPr>
      <w:r>
        <w:rPr>
          <w:b w:val="0"/>
          <w:i w:val="0"/>
        </w:rPr>
        <w:t>1. Chủ đầu tư có trách nhiệm lập tài khoản tiền gửi có kỳ hạn tại tổ chức tín dụng để gửi tiền kinh phí bảo trì 2% do người mua đóng.</w:t>
      </w:r>
    </w:p>
    <w:p>
      <w:pPr>
        <w:spacing w:after="80" w:line="276" w:lineRule="auto"/>
      </w:pPr>
      <w:r>
        <w:rPr>
          <w:b w:val="0"/>
          <w:i w:val="0"/>
        </w:rPr>
        <w:t>2. Trong thời hạn 07 ngày làm việc kể từ ngày Ban quản trị được UBND cấp huyện công nhận, Chủ đầu tư có trách nhiệm bàn giao toàn bộ kinh phí bảo trì (bao gồm cả gốc và lãi) sang tài khoản do Ban quản trị lập.</w:t>
      </w:r>
    </w:p>
    <w:p>
      <w:pPr>
        <w:spacing w:after="80" w:line="276" w:lineRule="auto"/>
      </w:pPr>
      <w:r>
        <w:rPr>
          <w:b w:val="0"/>
          <w:i w:val="0"/>
        </w:rPr>
        <w:t>3. Kinh phí bảo trì chỉ được sử dụng để bảo trì các phần sở hữu chung của nhà chung cư, không được sử dụng cho việc quản lý vận hành hoặc các mục đích khác. Mọi khoản chi phải có hóa đơn, chứng từ hợp lệ và báo cáo quyết toán tại Hội nghị nhà chung cư thường niên.</w:t>
      </w:r>
    </w:p>
    <w:p>
      <w:pPr>
        <w:pStyle w:val="Heading2"/>
        <w:spacing w:before="120" w:after="60"/>
      </w:pPr>
      <w:r>
        <w:t>CHƯƠNG V: CÁC HÀNH VI BỊ NGHIÊM CẤM TRONG QUẢN LÝ, SỬ DỤNG NHÀ CHUNG CƯ</w:t>
      </w:r>
    </w:p>
    <w:p>
      <w:pPr>
        <w:pStyle w:val="Heading3"/>
        <w:spacing w:before="120" w:after="60"/>
      </w:pPr>
      <w:r>
        <w:t>Điều 35. Các hành vi nghiêm cấm</w:t>
      </w:r>
    </w:p>
    <w:p>
      <w:pPr>
        <w:spacing w:after="80" w:line="276" w:lineRule="auto"/>
      </w:pPr>
      <w:r>
        <w:rPr>
          <w:b w:val="0"/>
          <w:i w:val="0"/>
        </w:rPr>
        <w:t>1. Sử dụng kinh phí quản lý vận hành, kinh phí bảo trì phần sở hữu chung không đúng quy định.</w:t>
      </w:r>
    </w:p>
    <w:p>
      <w:pPr>
        <w:spacing w:after="80" w:line="276" w:lineRule="auto"/>
      </w:pPr>
      <w:r>
        <w:rPr>
          <w:b w:val="0"/>
          <w:i w:val="0"/>
        </w:rPr>
        <w:t>2. Gây thấm dột, ô nhiễm môi trường, tiếng ồn quá mức quy định; xả rác, chất độc hại không đúng nơi quy định.</w:t>
      </w:r>
    </w:p>
    <w:p>
      <w:pPr>
        <w:spacing w:after="80" w:line="276" w:lineRule="auto"/>
      </w:pPr>
      <w:r>
        <w:rPr>
          <w:b w:val="0"/>
          <w:i w:val="0"/>
        </w:rPr>
        <w:t>3. Chăn, thả gia súc, gia cầm trong khu vực nhà chung cư.</w:t>
      </w:r>
    </w:p>
    <w:p>
      <w:pPr>
        <w:spacing w:after="80" w:line="276" w:lineRule="auto"/>
      </w:pPr>
      <w:r>
        <w:rPr>
          <w:b w:val="0"/>
          <w:i w:val="0"/>
        </w:rPr>
        <w:t>4. Tự ý cơi nới, đục phá, cải tạo, tháo dỡ hoặc làm thay đổi kết cấu chịu lực, kiến trúc mặt ngoài nhà chung cư.</w:t>
      </w:r>
    </w:p>
    <w:p>
      <w:pPr>
        <w:spacing w:after="80" w:line="276" w:lineRule="auto"/>
      </w:pPr>
      <w:r>
        <w:rPr>
          <w:b w:val="0"/>
          <w:i w:val="0"/>
        </w:rPr>
        <w:t>5. Kinh doanh các ngành nghề nguy hiểm, dễ cháy nổ, vũ trường, quán bar gây mất an ninh trật tự trong khu vực chung cư.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