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20" w:after="60"/>
      </w:pPr>
      <w:r>
        <w:t>LUẬT NHÀ Ở SỐ 27/2023/QH15 - QUY ĐỊNH VỀ QUẢN LÝ, SỬ DỤNG NHÀ CHUNG CƯ</w:t>
      </w:r>
    </w:p>
    <w:p>
      <w:pPr>
        <w:spacing w:after="80" w:line="276" w:lineRule="auto"/>
      </w:pPr>
      <w:r>
        <w:rPr>
          <w:b w:val="0"/>
          <w:i/>
        </w:rPr>
        <w:t>(Trích lục Chương IX: Quản lý, sử dụng nhà chung cư - Quốc hội khóa XV thông qua ngày 27/11/2023, có hiệu lực từ 01/08/2024)</w:t>
      </w:r>
    </w:p>
    <w:p>
      <w:pPr>
        <w:pStyle w:val="Heading2"/>
        <w:spacing w:before="120" w:after="60"/>
      </w:pPr>
      <w:r>
        <w:t>Điều 142. Phần sở hữu riêng và phần sở hữu chung trong nhà chung cư</w:t>
      </w:r>
    </w:p>
    <w:p>
      <w:pPr>
        <w:spacing w:after="80" w:line="276" w:lineRule="auto"/>
      </w:pPr>
      <w:r>
        <w:rPr>
          <w:b w:val="0"/>
          <w:i w:val="0"/>
        </w:rPr>
        <w:t>1. Phần sở hữu riêng trong nhà chung cư bao gồm:</w:t>
      </w:r>
    </w:p>
    <w:p>
      <w:pPr>
        <w:spacing w:after="80" w:line="276" w:lineRule="auto"/>
      </w:pPr>
      <w:r>
        <w:rPr>
          <w:b w:val="0"/>
          <w:i w:val="0"/>
        </w:rPr>
        <w:t>a) Phần diện tích bên trong căn hộ, bao gồm cả diện tích ban công, lô gia gắn liền với căn hộ đó;</w:t>
      </w:r>
    </w:p>
    <w:p>
      <w:pPr>
        <w:spacing w:after="80" w:line="276" w:lineRule="auto"/>
      </w:pPr>
      <w:r>
        <w:rPr>
          <w:b w:val="0"/>
          <w:i w:val="0"/>
        </w:rPr>
        <w:t>b) Phần diện tích khác trong nhà chung cư được công nhận là sở hữu riêng của chủ sở hữu nhà chung cư;</w:t>
      </w:r>
    </w:p>
    <w:p>
      <w:pPr>
        <w:spacing w:after="80" w:line="276" w:lineRule="auto"/>
      </w:pPr>
      <w:r>
        <w:rPr>
          <w:b w:val="0"/>
          <w:i w:val="0"/>
        </w:rPr>
        <w:t>c) Hệ thống trang thiết bị kỹ thuật sử dụng riêng gắn liền với căn hộ hoặc gắn liền với phần diện tích khác thuộc sở hữu riêng.</w:t>
      </w:r>
    </w:p>
    <w:p>
      <w:pPr>
        <w:spacing w:after="80" w:line="276" w:lineRule="auto"/>
      </w:pPr>
      <w:r>
        <w:rPr>
          <w:b w:val="0"/>
          <w:i w:val="0"/>
        </w:rPr>
        <w:t>2. Phần sở hữu chung trong nhà chung cư bao gồm:</w:t>
      </w:r>
    </w:p>
    <w:p>
      <w:pPr>
        <w:spacing w:after="80" w:line="276" w:lineRule="auto"/>
      </w:pPr>
      <w:r>
        <w:rPr>
          <w:b w:val="0"/>
          <w:i w:val="0"/>
        </w:rPr>
        <w:t>a) Phần diện tích còn lại của nhà chung cư ngoài phần diện tích thuộc sở hữu riêng quy định tại khoản 1 Điều này;</w:t>
      </w:r>
    </w:p>
    <w:p>
      <w:pPr>
        <w:spacing w:after="80" w:line="276" w:lineRule="auto"/>
      </w:pPr>
      <w:r>
        <w:rPr>
          <w:b w:val="0"/>
          <w:i w:val="0"/>
        </w:rPr>
        <w:t>b) Nhà sinh hoạt cộng đồng của nhà chung cư;</w:t>
      </w:r>
    </w:p>
    <w:p>
      <w:pPr>
        <w:spacing w:after="80" w:line="276" w:lineRule="auto"/>
      </w:pPr>
      <w:r>
        <w:rPr>
          <w:b w:val="0"/>
          <w:i w:val="0"/>
        </w:rPr>
        <w:t>c) Không gian và hệ thống kết cấu chịu lực, trang thiết bị kỹ thuật dùng chung trong nhà chung cư bao gồm khung, cột, tường chịu lực, tường bao ngôi nhà, tường phân chia các căn hộ, sàn, mái, sân thượng, hành lang, cầu thang bộ, thang máy, đường thoát hiểm, lồng xả rác, hộp kỹ thuật, hệ thống cấp điện, cấp nước, cấp gas, hệ thống thông tin liên lạc, phát thanh, truyền hình, thoát nước, bể phốt, thu lôi, cứu hỏa và các phần khác không thuộc sở hữu riêng;</w:t>
      </w:r>
    </w:p>
    <w:p>
      <w:pPr>
        <w:spacing w:after="80" w:line="276" w:lineRule="auto"/>
      </w:pPr>
      <w:r>
        <w:rPr>
          <w:b w:val="0"/>
          <w:i w:val="0"/>
        </w:rPr>
        <w:t>d) Hệ thống hạ tầng kỹ thuật bên ngoài nhưng được kết nối với nhà chung cư đó, trừ hệ thống hạ tầng kỹ thuật sử dụng vào mục đích công cộng hoặc thuộc diện phải bàn giao cho Nhà nước.</w:t>
      </w:r>
    </w:p>
    <w:p>
      <w:pPr>
        <w:pStyle w:val="Heading2"/>
        <w:spacing w:before="120" w:after="60"/>
      </w:pPr>
      <w:r>
        <w:t>Điều 144. Chỗ để xe của nhà chung cư</w:t>
      </w:r>
    </w:p>
    <w:p>
      <w:pPr>
        <w:spacing w:after="80" w:line="276" w:lineRule="auto"/>
      </w:pPr>
      <w:r>
        <w:rPr>
          <w:b w:val="0"/>
          <w:i w:val="0"/>
        </w:rPr>
        <w:t>1. Chỗ để xe phục vụ cho các chủ sở hữu, người sử dụng nhà chung cư bao gồm xe đạp, xe cho người khuyết tật, xe động cơ hai bánh, xe động cơ ba bánh và xe ô tô.</w:t>
      </w:r>
    </w:p>
    <w:p>
      <w:pPr>
        <w:spacing w:after="80" w:line="276" w:lineRule="auto"/>
      </w:pPr>
      <w:r>
        <w:rPr>
          <w:b w:val="0"/>
          <w:i w:val="0"/>
        </w:rPr>
        <w:t>2. Chỗ để xe đạp, xe cho người khuyết tật, xe hai bánh, ba bánh thuộc quyền sở hữu chung, sử dụng chung của các chủ sở hữu nhà chung cư.</w:t>
      </w:r>
    </w:p>
    <w:p>
      <w:pPr>
        <w:spacing w:after="80" w:line="276" w:lineRule="auto"/>
      </w:pPr>
      <w:r>
        <w:rPr>
          <w:b w:val="0"/>
          <w:i w:val="0"/>
        </w:rPr>
        <w:t>3. Chỗ để xe ô tô dành cho các chủ sở hữu nhà chung cư được giải quyết theo nguyên tắc: Trường hợp nhà chung cư không đủ chỗ để xe ô tô cho mỗi căn hộ thì việc phân chia chỗ để xe ô tô thực hiện theo phương thức bốc thăm hoặc thỏa thuận giữa các chủ sở hữu.</w:t>
      </w:r>
    </w:p>
    <w:p>
      <w:pPr>
        <w:pStyle w:val="Heading2"/>
        <w:spacing w:before="120" w:after="60"/>
      </w:pPr>
      <w:r>
        <w:t>Điều 152. Kinh phí bảo trì phần sở hữu chung của nhà chung cư có nhiều chủ sở hữu</w:t>
      </w:r>
    </w:p>
    <w:p>
      <w:pPr>
        <w:spacing w:after="80" w:line="276" w:lineRule="auto"/>
      </w:pPr>
      <w:r>
        <w:rPr>
          <w:b w:val="0"/>
          <w:i w:val="0"/>
        </w:rPr>
        <w:t>1. Đối với căn hộ, phần diện tích khác trong nhà chung cư mà chủ đầu tư bán, cho thuê mua thì chủ đầu tư phải đóng 2% giá trị căn hộ hoặc diện tích khác đó; khoản tiền này được tính vào tiền bán, tiền thuê mua nhà mà người mua, thuê mua phải đóng khi nhận bàn giao.</w:t>
      </w:r>
    </w:p>
    <w:p>
      <w:pPr>
        <w:spacing w:after="80" w:line="276" w:lineRule="auto"/>
      </w:pPr>
      <w:r>
        <w:rPr>
          <w:b w:val="0"/>
          <w:i w:val="0"/>
        </w:rPr>
        <w:t>2. Đối với phần diện tích mà chủ đầu tư giữ lại không bán, không cho thuê mua hoặc chưa bán, chưa cho thuê mua tính đến thời điểm bàn giao đưa nhà chung cư vào sử dụng (trừ phần sở hữu chung) thì chủ đầu tư phải đóng 2% giá trị phần diện tích giữ lại.</w:t>
      </w:r>
    </w:p>
    <w:p>
      <w:pPr>
        <w:spacing w:after="80" w:line="276" w:lineRule="auto"/>
      </w:pPr>
      <w:r>
        <w:rPr>
          <w:b w:val="0"/>
          <w:i w:val="0"/>
        </w:rPr>
        <w:t>3. Kinh phí bảo trì chỉ được sử dụng để bảo trì phần sở hữu chung của nhà chung cư, nghiêm cấm sử dụng kinh phí bảo trì vào mục đích khác.</w:t>
      </w:r>
    </w:p>
    <w:p>
      <w:pPr>
        <w:pStyle w:val="Heading2"/>
        <w:spacing w:before="120" w:after="60"/>
      </w:pPr>
      <w:r>
        <w:t>Điều 153. Bàn giao kinh phí bảo trì phần sở hữu chung của nhà chung cư</w:t>
      </w:r>
    </w:p>
    <w:p>
      <w:pPr>
        <w:spacing w:after="80" w:line="276" w:lineRule="auto"/>
      </w:pPr>
      <w:r>
        <w:rPr>
          <w:b w:val="0"/>
          <w:i w:val="0"/>
        </w:rPr>
        <w:t>1. Sau khi Ban quản trị nhà chung cư được thành lập và có văn bản yêu cầu bàn giao kinh phí bảo trì, Chủ đầu tư có trách nhiệm bàn giao kinh phí bảo trì kèm theo hồ sơ quản lý kinh phí bảo trì cho Ban quản trị.</w:t>
      </w:r>
    </w:p>
    <w:p>
      <w:pPr>
        <w:spacing w:after="80" w:line="276" w:lineRule="auto"/>
      </w:pPr>
      <w:r>
        <w:rPr>
          <w:b w:val="0"/>
          <w:i w:val="0"/>
        </w:rPr>
        <w:t>2. Trường hợp chủ đầu tư không bàn giao kinh phí bảo trì thì Ban quản trị có văn bản đề nghị Ủy ban nhân dân cấp tỉnh nơi có nhà chung cư yêu cầu chủ đầu tư bàn giao. Trường hợp chủ đầu tư vẫn không thực hiện thì Ủy ban nhân dân cấp tỉnh ban hành quyết định cưỡng chế thu hồi kinh phí bảo trì để bàn giao cho Ban quản trị.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