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60"/>
      </w:pPr>
      <w:r>
        <w:t>NGHỊ ĐỊNH SỐ 95/2024/NĐ-CP QUY ĐỊNH CHI TIẾT LUẬT NHÀ Ở VỀ VẬN HÀNH NHÀ CHUNG CƯ</w:t>
      </w:r>
    </w:p>
    <w:p>
      <w:pPr>
        <w:spacing w:after="80" w:line="276" w:lineRule="auto"/>
      </w:pPr>
      <w:r>
        <w:rPr>
          <w:b w:val="0"/>
          <w:i/>
        </w:rPr>
        <w:t>(Chính phủ ban hành ngày 24 tháng 07 năm 2024 - Hiệu lực thi hành từ ngày 01 tháng 08 năm 2024)</w:t>
      </w:r>
    </w:p>
    <w:p>
      <w:pPr>
        <w:pStyle w:val="Heading2"/>
        <w:spacing w:before="120" w:after="60"/>
      </w:pPr>
      <w:r>
        <w:t>Điều 38. Bàn giao hồ sơ nhà chung cư cho Ban quản trị</w:t>
      </w:r>
    </w:p>
    <w:p>
      <w:pPr>
        <w:spacing w:after="80" w:line="276" w:lineRule="auto"/>
      </w:pPr>
      <w:r>
        <w:rPr>
          <w:b w:val="0"/>
          <w:i w:val="0"/>
        </w:rPr>
        <w:t>1. Trong thời hạn 20 ngày làm việc kể từ ngày Ban quản trị có văn bản yêu cầu bàn giao, Chủ đầu tư có trách nhiệm bàn giao 02 bộ hồ sơ sao y từ bản chính cho Ban quản trị bao gồm:</w:t>
      </w:r>
    </w:p>
    <w:p>
      <w:pPr>
        <w:spacing w:after="80" w:line="276" w:lineRule="auto"/>
      </w:pPr>
      <w:r>
        <w:rPr>
          <w:b w:val="0"/>
          <w:i w:val="0"/>
        </w:rPr>
        <w:t>a) Hồ sơ pháp lý dự án đầu tư xây dựng nhà chung cư và hồ sơ bản vẽ hoàn công theo quy định;</w:t>
      </w:r>
    </w:p>
    <w:p>
      <w:pPr>
        <w:spacing w:after="80" w:line="276" w:lineRule="auto"/>
      </w:pPr>
      <w:r>
        <w:rPr>
          <w:b w:val="0"/>
          <w:i w:val="0"/>
        </w:rPr>
        <w:t>b) Quy trình bảo trì công trình nhà chung cư do chủ đầu tư lập và phê duyệt;</w:t>
      </w:r>
    </w:p>
    <w:p>
      <w:pPr>
        <w:spacing w:after="80" w:line="276" w:lineRule="auto"/>
      </w:pPr>
      <w:r>
        <w:rPr>
          <w:b w:val="0"/>
          <w:i w:val="0"/>
        </w:rPr>
        <w:t>c) Quy trình bảo trì các thiết bị thuộc sở hữu chung của nhà chung cư do nhà cung cấp thiết bị lập;</w:t>
      </w:r>
    </w:p>
    <w:p>
      <w:pPr>
        <w:spacing w:after="80" w:line="276" w:lineRule="auto"/>
      </w:pPr>
      <w:r>
        <w:rPr>
          <w:b w:val="0"/>
          <w:i w:val="0"/>
        </w:rPr>
        <w:t>d) Bản vẽ phân định khu vực để xe chung, chỗ để xe ô tô và chỗ để xe công cộng.</w:t>
      </w:r>
    </w:p>
    <w:p>
      <w:pPr>
        <w:pStyle w:val="Heading2"/>
        <w:spacing w:before="120" w:after="60"/>
      </w:pPr>
      <w:r>
        <w:t>Điều 41. Điều kiện của Đơn vị quản lý vận hành nhà chung cư</w:t>
      </w:r>
    </w:p>
    <w:p>
      <w:pPr>
        <w:spacing w:after="80" w:line="276" w:lineRule="auto"/>
      </w:pPr>
      <w:r>
        <w:rPr>
          <w:b w:val="0"/>
          <w:i w:val="0"/>
        </w:rPr>
        <w:t>1. Doanh nghiệp quản lý vận hành phải có bộ máy chuyên môn nghiệp vụ gồm các bộ phận: kỹ thuật, an ninh, bảo vệ, phòng cháy chữa cháy, vệ sinh môi trường.</w:t>
      </w:r>
    </w:p>
    <w:p>
      <w:pPr>
        <w:spacing w:after="80" w:line="276" w:lineRule="auto"/>
      </w:pPr>
      <w:r>
        <w:rPr>
          <w:b w:val="0"/>
          <w:i w:val="0"/>
        </w:rPr>
        <w:t>2. Cán bộ, nhân viên trực tiếp thực hiện công tác quản lý vận hành kỹ thuật phải có chứng chỉ chuyên môn, nghiệp vụ về quản lý vận hành nhà chung cư theo quy định của Bộ Xây dựng.</w:t>
      </w:r>
    </w:p>
    <w:p>
      <w:pPr>
        <w:pStyle w:val="Heading2"/>
        <w:spacing w:before="120" w:after="60"/>
      </w:pPr>
      <w:r>
        <w:t>Điều 45. Giá dịch vụ quản lý vận hành nhà chung cư</w:t>
      </w:r>
    </w:p>
    <w:p>
      <w:pPr>
        <w:spacing w:after="80" w:line="276" w:lineRule="auto"/>
      </w:pPr>
      <w:r>
        <w:rPr>
          <w:b w:val="0"/>
          <w:i w:val="0"/>
        </w:rPr>
        <w:t>1. Giá dịch vụ quản lý vận hành nhà chung cư được xác định theo nguyên tắc tính đúng, tính đủ các chi phí dịch vụ thực tế hợp lý và lợi nhuận định mức hợp lý.</w:t>
      </w:r>
    </w:p>
    <w:p>
      <w:pPr>
        <w:spacing w:after="80" w:line="276" w:lineRule="auto"/>
      </w:pPr>
      <w:r>
        <w:rPr>
          <w:b w:val="0"/>
          <w:i w:val="0"/>
        </w:rPr>
        <w:t>2. Giá dịch vụ quản lý vận hành không bao gồm chi phí bảo trì phần sở hữu chung, chi phí trông giữ xe, chi phí sử dụng năng lượng, nước sinh hoạt, truyền hình, thông tin liên lạc và các chi phí dịch vụ gia tăng riêng.</w:t>
      </w:r>
    </w:p>
    <w:p>
      <w:pPr>
        <w:spacing w:after="80" w:line="276" w:lineRule="auto"/>
      </w:pPr>
      <w:r>
        <w:rPr>
          <w:b w:val="0"/>
          <w:i w:val="0"/>
        </w:rPr>
        <w:t>3. Trường hợp chưa tổ chức được Hội nghị nhà chung cư lần đầu thì giá dịch vụ quản lý vận hành thực hiện theo thỏa thuận trong hợp đồng mua bán, thuê mua căn hộ.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