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20" w:after="60"/>
      </w:pPr>
      <w:r>
        <w:t>BẢN NỘI QUY QUẢN LÝ, SỬ DỤNG NHÀ CHUNG CƯ TIÊU CHUẨN</w:t>
      </w:r>
    </w:p>
    <w:p>
      <w:pPr>
        <w:spacing w:after="80" w:line="276" w:lineRule="auto"/>
      </w:pPr>
      <w:r>
        <w:rPr>
          <w:b w:val="0"/>
          <w:i/>
        </w:rPr>
        <w:t>(Mẫu Nội quy chung cư áp dụng cho Tòa nhà Căn hộ - Ban hành theo quy chuẩn quản lý vận hành PMC / Ecohome)</w:t>
      </w:r>
    </w:p>
    <w:p>
      <w:pPr>
        <w:pStyle w:val="Heading2"/>
        <w:spacing w:before="120" w:after="60"/>
      </w:pPr>
      <w:r>
        <w:t>Điều 1. Quy định chung đối với Cư dân và Khách ra vào</w:t>
      </w:r>
    </w:p>
    <w:p>
      <w:pPr>
        <w:spacing w:after="80" w:line="276" w:lineRule="auto"/>
      </w:pPr>
      <w:r>
        <w:rPr>
          <w:b w:val="0"/>
          <w:i w:val="0"/>
        </w:rPr>
        <w:t>1. Tất cả chủ sở hữu, người sử dụng căn hộ, khách lưu trú và khách đến thăm đều phải tuân thủ nghiêm chỉnh Nội quy này và các quy định pháp luật liên quan.</w:t>
      </w:r>
    </w:p>
    <w:p>
      <w:pPr>
        <w:spacing w:after="80" w:line="276" w:lineRule="auto"/>
      </w:pPr>
      <w:r>
        <w:rPr>
          <w:b w:val="0"/>
          <w:i w:val="0"/>
        </w:rPr>
        <w:t>2. Khách ra vào tòa nhà phải xuất trình giấy tờ tùy thân (CCCD/Hộ chiếu) tại quầy Lễ tân hoặc Tổ bảo vệ sảnh. Nhân viên bảo vệ có quyền kiểm tra hành lý mang vào/ra nếu có dấu hiệu khả nghi ảnh hưởng đến an ninh an toàn.</w:t>
      </w:r>
    </w:p>
    <w:p>
      <w:pPr>
        <w:spacing w:after="80" w:line="276" w:lineRule="auto"/>
      </w:pPr>
      <w:r>
        <w:rPr>
          <w:b w:val="0"/>
          <w:i w:val="0"/>
        </w:rPr>
        <w:t>3. Người đến tạm trú từ 30 ngày trở lên phải đăng ký thông tin với Ban quản lý và thực hiện thủ tục đăng ký tạm trú với Công an phường sở tại.</w:t>
      </w:r>
    </w:p>
    <w:p>
      <w:pPr>
        <w:pStyle w:val="Heading2"/>
        <w:spacing w:before="120" w:after="60"/>
      </w:pPr>
      <w:r>
        <w:t>Điều 2. Các quy định về An toàn Phòng cháy chữa cháy (PCCC)</w:t>
      </w:r>
    </w:p>
    <w:p>
      <w:pPr>
        <w:spacing w:after="80" w:line="276" w:lineRule="auto"/>
      </w:pPr>
      <w:r>
        <w:rPr>
          <w:b w:val="0"/>
          <w:i w:val="0"/>
        </w:rPr>
        <w:t>1. Nghiêm cấm mọi hành vi đốt vàng mã, đốt than tổ ong, đun nấu bằng bếp dầu hoặc sử dụng bình gas công nghiệp trong căn hộ và khu vực hành lang.</w:t>
      </w:r>
    </w:p>
    <w:p>
      <w:pPr>
        <w:spacing w:after="80" w:line="276" w:lineRule="auto"/>
      </w:pPr>
      <w:r>
        <w:rPr>
          <w:b w:val="0"/>
          <w:i w:val="0"/>
        </w:rPr>
        <w:t>2. Tuyệt đối không chèn gạch, chặn vật cản làm mở cửa thang bộ thoát hiểm (cửa thoát nạn tăng áp PCCC luôn phải ở trạng thái đóng kín).</w:t>
      </w:r>
    </w:p>
    <w:p>
      <w:pPr>
        <w:spacing w:after="80" w:line="276" w:lineRule="auto"/>
      </w:pPr>
      <w:r>
        <w:rPr>
          <w:b w:val="0"/>
          <w:i w:val="0"/>
        </w:rPr>
        <w:t>3. Không hút thuốc lá trong thang máy, sảnh chờ, hành lang, hầm xe và khu vực công cộng sinh hoạt chung.</w:t>
      </w:r>
    </w:p>
    <w:p>
      <w:pPr>
        <w:spacing w:after="80" w:line="276" w:lineRule="auto"/>
      </w:pPr>
      <w:r>
        <w:rPr>
          <w:b w:val="0"/>
          <w:i w:val="0"/>
        </w:rPr>
        <w:t>4. Cư dân có nghĩa vụ tham gia các đợt tập huấn và diễn tập PCCC định kỳ do Ban quản trị và Cảnh sát PCCC tổ chức.</w:t>
      </w:r>
    </w:p>
    <w:p>
      <w:pPr>
        <w:spacing w:after="80" w:line="276" w:lineRule="auto"/>
      </w:pPr>
      <w:r>
        <w:rPr>
          <w:b w:val="0"/>
          <w:i w:val="0"/>
        </w:rPr>
        <w:t>5. Cung cấp 01 chìa khóa/mã số dự phòng cho Ban quản lý trong phong bì niêm phong để xử lý khẩn cấp khi có nguy cơ rò rỉ khí gas, ngập nước hoặc cháy nổ.</w:t>
      </w:r>
    </w:p>
    <w:p>
      <w:pPr>
        <w:pStyle w:val="Heading2"/>
        <w:spacing w:before="120" w:after="60"/>
      </w:pPr>
      <w:r>
        <w:t>Điều 3. Quy định về Sửa chữa, Cải tạo Căn hộ và Thi công nội thất</w:t>
      </w:r>
    </w:p>
    <w:p>
      <w:pPr>
        <w:spacing w:after="80" w:line="276" w:lineRule="auto"/>
      </w:pPr>
      <w:r>
        <w:rPr>
          <w:b w:val="0"/>
          <w:i w:val="0"/>
        </w:rPr>
        <w:t>1. Chủ căn hộ khi muốn cải tạo, sửa chữa phải gửi hồ sơ đăng ký thi công, bản vẽ thiết kế kỹ thuật cho Ban quản lý phê duyệt trước ít nhất 07 ngày làm việc.</w:t>
      </w:r>
    </w:p>
    <w:p>
      <w:pPr>
        <w:spacing w:after="80" w:line="276" w:lineRule="auto"/>
      </w:pPr>
      <w:r>
        <w:rPr>
          <w:b w:val="0"/>
          <w:i w:val="0"/>
        </w:rPr>
        <w:t>2. Nghiêm cấm việc đục phá dầm, cột bê tông cốt thép, phá vỡ kết cấu chịu lực, cơi nới ban công, thay đổi màu sắc và thiết kế mặt ngoài tòa nhà.</w:t>
      </w:r>
    </w:p>
    <w:p>
      <w:pPr>
        <w:spacing w:after="80" w:line="276" w:lineRule="auto"/>
      </w:pPr>
      <w:r>
        <w:rPr>
          <w:b w:val="0"/>
          <w:i w:val="0"/>
        </w:rPr>
        <w:t>3. Thời gian thi công gây tiếng ồn chỉ được phép từ 08h00 đến 11h30 và từ 13h30 đến 17h00 các ngày làm việc (Thứ Hai đến Thứ Sáu). Nghiêm cấm thi công gây ồn vào Thứ Bảy, Chủ Nhật và các ngày nghỉ lễ theo quy định.</w:t>
      </w:r>
    </w:p>
    <w:p>
      <w:pPr>
        <w:spacing w:after="80" w:line="276" w:lineRule="auto"/>
      </w:pPr>
      <w:r>
        <w:rPr>
          <w:b w:val="0"/>
          <w:i w:val="0"/>
        </w:rPr>
        <w:t>4. Đơn vị thi công phải đóng tiền ký quỹ bảo đảm thi công, đăng ký thang máy chở vật liệu và chịu trách nhiệm dọn dẹp vệ sinh khu vực chung hàng ngày.</w:t>
      </w:r>
    </w:p>
    <w:p>
      <w:pPr>
        <w:pStyle w:val="Heading2"/>
        <w:spacing w:before="120" w:after="60"/>
      </w:pPr>
      <w:r>
        <w:t>Điều 4. Giữ gìn An ninh trật tự, Vệ sinh và Nếp sống văn minh</w:t>
      </w:r>
    </w:p>
    <w:p>
      <w:pPr>
        <w:spacing w:after="80" w:line="276" w:lineRule="auto"/>
      </w:pPr>
      <w:r>
        <w:rPr>
          <w:b w:val="0"/>
          <w:i w:val="0"/>
        </w:rPr>
        <w:t>1. Không gây ồn ào, mở nhạc lớn, hát karaoke quá âm lượng cho phép gây ảnh hưởng đến căn hộ xung quanh, đặc biệt trong khung giờ nghỉ ngơi: 12h00 - 14h00 và 22h00 - 07h00.</w:t>
      </w:r>
    </w:p>
    <w:p>
      <w:pPr>
        <w:spacing w:after="80" w:line="276" w:lineRule="auto"/>
      </w:pPr>
      <w:r>
        <w:rPr>
          <w:b w:val="0"/>
          <w:i w:val="0"/>
        </w:rPr>
        <w:t>2. Không vứt rác, tàn thuốc lá, đổ nước hoặc ném bất cứ đồ vật nào từ cửa sổ, ban công, logia xuống sân chung.</w:t>
      </w:r>
    </w:p>
    <w:p>
      <w:pPr>
        <w:spacing w:after="80" w:line="276" w:lineRule="auto"/>
      </w:pPr>
      <w:r>
        <w:rPr>
          <w:b w:val="0"/>
          <w:i w:val="0"/>
        </w:rPr>
        <w:t>3. Không phơi quần áo, chăn màn thò ra ngoài lan can ban công làm mất mỹ quan chung của tòa nhà.</w:t>
      </w:r>
    </w:p>
    <w:p>
      <w:pPr>
        <w:spacing w:after="80" w:line="276" w:lineRule="auto"/>
      </w:pPr>
      <w:r>
        <w:rPr>
          <w:b w:val="0"/>
          <w:i w:val="0"/>
        </w:rPr>
        <w:t>4. Quy định về thú cưng: Nghiêm cấm chăn thả gia súc, gia cầm. Trường hợp nuôi chó, mèo phải đăng ký với Ban quản lý, tiêm phòng dại đầy đủ; khi đưa thú cưng ra khu vực chung phải đeo rọ mõm, có dây xích và người dắt, dọn sạch chất thải ngay lập tức.</w:t>
      </w:r>
    </w:p>
    <w:p>
      <w:pPr>
        <w:pStyle w:val="Heading2"/>
        <w:spacing w:before="120" w:after="60"/>
      </w:pPr>
      <w:r>
        <w:t>Điều 5. Quy định về Bãi đỗ xe và Sử dụng thang máy</w:t>
      </w:r>
    </w:p>
    <w:p>
      <w:pPr>
        <w:spacing w:after="80" w:line="276" w:lineRule="auto"/>
      </w:pPr>
      <w:r>
        <w:rPr>
          <w:b w:val="0"/>
          <w:i w:val="0"/>
        </w:rPr>
        <w:t>1. Cư dân phải để xe đúng vị trí quy định, quẹt thẻ từ khi ra vào và chấp hành hướng dẫn của nhân viên điều phối bãi xe.</w:t>
      </w:r>
    </w:p>
    <w:p>
      <w:pPr>
        <w:spacing w:after="80" w:line="276" w:lineRule="auto"/>
      </w:pPr>
      <w:r>
        <w:rPr>
          <w:b w:val="0"/>
          <w:i w:val="0"/>
        </w:rPr>
        <w:t>2. Trẻ em dưới 12 tuổi khi sử dụng thang máy phải có người lớn đi kèm để đảm bảo an toàn.</w:t>
      </w:r>
    </w:p>
    <w:p>
      <w:pPr>
        <w:spacing w:after="80" w:line="276" w:lineRule="auto"/>
      </w:pPr>
      <w:r>
        <w:rPr>
          <w:b w:val="0"/>
          <w:i w:val="0"/>
        </w:rPr>
        <w:t>3. Không sử dụng thang máy chở khách để vận chuyển rác thải thi công, vật liệu cồng kềnh hoặc xe đạp kích thước lớn khi chưa được Ban quản lý cho phép.</w:t>
      </w:r>
    </w:p>
    <w:p>
      <w:pPr>
        <w:pStyle w:val="Heading2"/>
        <w:spacing w:before="120" w:after="60"/>
      </w:pPr>
      <w:r>
        <w:t>Điều 6. Xử lý vi phạm và Biện pháp chế tài</w:t>
      </w:r>
    </w:p>
    <w:p>
      <w:pPr>
        <w:spacing w:after="80" w:line="276" w:lineRule="auto"/>
      </w:pPr>
      <w:r>
        <w:rPr>
          <w:b w:val="0"/>
          <w:i w:val="0"/>
        </w:rPr>
        <w:t>1. Người có hành vi vi phạm Nội quy sẽ bị lập biên bản và nhắc nhở bằng văn bản.</w:t>
      </w:r>
    </w:p>
    <w:p>
      <w:pPr>
        <w:spacing w:after="80" w:line="276" w:lineRule="auto"/>
      </w:pPr>
      <w:r>
        <w:rPr>
          <w:b w:val="0"/>
          <w:i w:val="0"/>
        </w:rPr>
        <w:t>2. Trường hợp cư dân không đóng phí quản lý vận hành sau 02 lần thông báo bằng văn bản, hoặc tiếp tục tái phạm các quy định an toàn PCCC, gây hư hỏng tài sản chung thì Ban quản lý / Chủ đầu tư có quyền tạm ngừng cung cấp dịch vụ tiện ích (điện, nước sinh hoạt, thẻ xe thang máy) và yêu cầu bồi thường toàn bộ thiệt hại phát sinh.</w:t>
      </w:r>
    </w:p>
    <w:p>
      <w:pPr>
        <w:spacing w:after="80" w:line="276" w:lineRule="auto"/>
      </w:pPr>
      <w:r>
        <w:rPr>
          <w:b w:val="0"/>
          <w:i w:val="0"/>
        </w:rPr>
        <w:t>3. Các trường hợp vi phạm nghiêm trọng về an ninh trật tự, PCCC sẽ được chuyển giao cơ quan Công an và chính quyền địa phương xử lý theo quy định pháp luật.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