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475569"/>
          <w:sz w:val="26"/>
        </w:rPr>
        <w:t>BÁO CÁO PHÂN TÍCH CHI TIẾT</w:t>
      </w:r>
    </w:p>
    <w:p>
      <w:pPr>
        <w:spacing w:after="400"/>
        <w:jc w:val="center"/>
      </w:pPr>
      <w:r>
        <w:rPr>
          <w:b/>
          <w:color w:val="F27024"/>
          <w:sz w:val="32"/>
        </w:rPr>
        <w:t>TIÊU CHÍ ĐÚNG HẠN VÀ ĐỘ HÀI LÒNG</w:t>
        <w:br/>
        <w:t>TRONG CƠ CHẾ KPI HELP DESK</w:t>
      </w:r>
    </w:p>
    <w:p>
      <w:pPr>
        <w:spacing w:before="240" w:after="120"/>
      </w:pPr>
      <w:r>
        <w:rPr>
          <w:b/>
          <w:color w:val="1E293B"/>
          <w:sz w:val="24"/>
        </w:rPr>
        <w:t>I. TIÊU CHÍ: TỶ LỆ HOÀN TẤT ĐÚNG HẠN (ON-TIME RESOLUTION RATE)</w:t>
      </w:r>
    </w:p>
    <w:p>
      <w:pPr>
        <w:spacing w:line="276" w:lineRule="auto" w:after="160"/>
      </w:pPr>
      <w:r>
        <w:t>Tiêu chí Đúng Hạn chiếm trọng số cao nhất (25%) trong tổng điểm hiệu suất của nhân viên TechSupport. Mục tiêu là đánh giá khả năng phản hồi và hoàn thành xử lý sự cố trong giới hạn thời gian đã cam kết (SLA).</w:t>
      </w:r>
    </w:p>
    <w:p>
      <w:pPr>
        <w:spacing w:before="80" w:after="80"/>
      </w:pPr>
      <w:r>
        <w:rPr>
          <w:b/>
          <w:sz w:val="21"/>
        </w:rPr>
        <w:t>1. Công thức tính Tỷ lệ phần trăm đúng hạn thực tế:</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sz="4" w:val="single" w:color="E2E8F0"/>
              <w:left w:sz="16" w:val="single" w:color="F27024"/>
              <w:bottom w:sz="4" w:val="single" w:color="E2E8F0"/>
              <w:right w:sz="4" w:val="single" w:color="E2E8F0"/>
            </w:tcBorders>
          </w:tcPr>
          <w:p>
            <w:pPr>
              <w:jc w:val="center"/>
            </w:pPr>
            <w:r>
              <w:rPr>
                <w:b/>
                <w:color w:val="1E293B"/>
                <w:sz w:val="19"/>
              </w:rPr>
              <w:t>Tỷ lệ đúng hạn (%) = (Số ticket hoàn thành trước hoặc đúng hạn / Tổng số ticket đã hoàn thành) * 100%</w:t>
            </w:r>
          </w:p>
        </w:tc>
      </w:tr>
    </w:tbl>
    <w:p>
      <w:pPr>
        <w:spacing w:before="160" w:after="80"/>
      </w:pPr>
      <w:r>
        <w:rPr>
          <w:b/>
          <w:sz w:val="21"/>
        </w:rPr>
        <w:t>2. Bảng quy đổi từ Tỷ lệ (%) thực tế sang Điểm thành phần (Thang 100):</w:t>
      </w:r>
    </w:p>
    <w:tbl>
      <w:tblPr>
        <w:tblW w:type="auto" w:w="0"/>
        <w:jc w:val="center"/>
        <w:tblLook w:firstColumn="1" w:firstRow="1" w:lastColumn="0" w:lastRow="0" w:noHBand="0" w:noVBand="1" w:val="04A0"/>
      </w:tblPr>
      <w:tblGrid>
        <w:gridCol w:w="3120"/>
        <w:gridCol w:w="3120"/>
        <w:gridCol w:w="3120"/>
      </w:tblGrid>
      <w:tr>
        <w:tc>
          <w:tcPr>
            <w:tcW w:type="dxa" w:w="3600"/>
            <w:shd w:fill="1E293B"/>
            <w:tcMar>
              <w:top w:w="100" w:type="dxa"/>
              <w:bottom w:w="100" w:type="dxa"/>
              <w:left w:w="120" w:type="dxa"/>
              <w:right w:w="120" w:type="dxa"/>
            </w:tcMar>
          </w:tcPr>
          <w:p>
            <w:pPr>
              <w:jc w:val="center"/>
            </w:pPr>
            <w:r>
              <w:rPr>
                <w:b/>
                <w:color w:val="FFFFFF"/>
                <w:sz w:val="19"/>
              </w:rPr>
              <w:t>Tỷ lệ đúng hạn thực tế (%)</w:t>
            </w:r>
          </w:p>
        </w:tc>
        <w:tc>
          <w:tcPr>
            <w:tcW w:type="dxa" w:w="2880"/>
            <w:shd w:fill="1E293B"/>
            <w:tcMar>
              <w:top w:w="100" w:type="dxa"/>
              <w:bottom w:w="100" w:type="dxa"/>
              <w:left w:w="120" w:type="dxa"/>
              <w:right w:w="120" w:type="dxa"/>
            </w:tcMar>
          </w:tcPr>
          <w:p>
            <w:pPr>
              <w:jc w:val="center"/>
            </w:pPr>
            <w:r>
              <w:rPr>
                <w:b/>
                <w:color w:val="FFFFFF"/>
                <w:sz w:val="19"/>
              </w:rPr>
              <w:t>Điểm quy đổi thành phần</w:t>
            </w:r>
          </w:p>
        </w:tc>
        <w:tc>
          <w:tcPr>
            <w:tcW w:type="dxa" w:w="2880"/>
            <w:shd w:fill="1E293B"/>
            <w:tcMar>
              <w:top w:w="100" w:type="dxa"/>
              <w:bottom w:w="100" w:type="dxa"/>
              <w:left w:w="120" w:type="dxa"/>
              <w:right w:w="120" w:type="dxa"/>
            </w:tcMar>
          </w:tcPr>
          <w:p>
            <w:pPr>
              <w:jc w:val="center"/>
            </w:pPr>
            <w:r>
              <w:rPr>
                <w:b/>
                <w:color w:val="FFFFFF"/>
                <w:sz w:val="19"/>
              </w:rPr>
              <w:t>Xếp loại tương ứng</w:t>
            </w:r>
          </w:p>
        </w:tc>
      </w:tr>
      <w:tr>
        <w:tc>
          <w:tcPr>
            <w:tcW w:type="dxa" w:w="360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95% trở lên</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100 điểm</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Xuất sắc</w:t>
            </w:r>
          </w:p>
        </w:tc>
      </w:tr>
      <w:tr>
        <w:tc>
          <w:tcPr>
            <w:tcW w:type="dxa" w:w="360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90% đến dưới 95%</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90 điểm</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Tốt</w:t>
            </w:r>
          </w:p>
        </w:tc>
      </w:tr>
      <w:tr>
        <w:tc>
          <w:tcPr>
            <w:tcW w:type="dxa" w:w="360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80% đến dưới 90%</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80 điểm</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Khá</w:t>
            </w:r>
          </w:p>
        </w:tc>
      </w:tr>
      <w:tr>
        <w:tc>
          <w:tcPr>
            <w:tcW w:type="dxa" w:w="360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70% đến dưới 80%</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65 điểm</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Trung bình</w:t>
            </w:r>
          </w:p>
        </w:tc>
      </w:tr>
      <w:tr>
        <w:tc>
          <w:tcPr>
            <w:tcW w:type="dxa" w:w="360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Dưới 70%</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40 điểm</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Yếu</w:t>
            </w:r>
          </w:p>
        </w:tc>
      </w:tr>
    </w:tbl>
    <w:p>
      <w:pPr>
        <w:spacing w:before="160" w:after="240" w:line="276" w:lineRule="auto"/>
      </w:pPr>
      <w:r>
        <w:rPr>
          <w:color w:val="F27024"/>
        </w:rPr>
        <w:t xml:space="preserve">👉 </w:t>
      </w:r>
      <w:r>
        <w:rPr>
          <w:b/>
        </w:rPr>
        <w:t xml:space="preserve">Ví dụ thực tế Cơ Phát: </w:t>
      </w:r>
      <w:r>
        <w:t xml:space="preserve">Kỹ thuật viên hoàn tất 3 ticket, trong đó có 2 ticket hoàn tất trước hạn, 1 ticket trễ hạn. Tỷ lệ thực tế là 2/3 = 66.7%. Chiếu theo bảng quy đổi, mức 66.7% nằm ở nhóm "Dưới 70%", do đó hệ thống quy về </w:t>
      </w:r>
      <w:r>
        <w:rPr>
          <w:b/>
        </w:rPr>
        <w:t>40 điểm</w:t>
      </w:r>
      <w:r>
        <w:t xml:space="preserve">. Khi nhân với trọng số 25%, tiêu chí này đóng góp </w:t>
      </w:r>
      <w:r>
        <w:rPr>
          <w:b/>
        </w:rPr>
        <w:t>10.0 điểm</w:t>
      </w:r>
      <w:r>
        <w:t xml:space="preserve"> vào điểm KPI tổng hợp.</w:t>
      </w:r>
    </w:p>
    <w:p>
      <w:pPr>
        <w:spacing w:before="320" w:after="120"/>
      </w:pPr>
      <w:r>
        <w:rPr>
          <w:b/>
          <w:color w:val="1E293B"/>
          <w:sz w:val="24"/>
        </w:rPr>
        <w:t>II. TIÊU CHÍ: ĐỘ HÀI LÒNG NGƯỜI DÙNG (SATISFACTION SCORE)</w:t>
      </w:r>
    </w:p>
    <w:p>
      <w:pPr>
        <w:spacing w:line="276" w:lineRule="auto" w:after="160"/>
      </w:pPr>
      <w:r>
        <w:t>Độ hài lòng người dùng chiếm trọng số 10% điểm tổng. Tiêu chí này phản ánh trực tiếp chất lượng hỗ trợ, thái độ phục vụ và trải nghiệm thực tế của cán bộ nhân viên được hỗ trợ thông qua hệ thống đánh giá sao.</w:t>
      </w:r>
    </w:p>
    <w:p>
      <w:pPr>
        <w:spacing w:before="80" w:after="80"/>
      </w:pPr>
      <w:r>
        <w:rPr>
          <w:b/>
          <w:sz w:val="21"/>
        </w:rPr>
        <w:t>1. Công thức tính Điểm số sao trung bình thực tế:</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sz="4" w:val="single" w:color="E2E8F0"/>
              <w:left w:sz="16" w:val="single" w:color="F27024"/>
              <w:bottom w:sz="4" w:val="single" w:color="E2E8F0"/>
              <w:right w:sz="4" w:val="single" w:color="E2E8F0"/>
            </w:tcBorders>
          </w:tcPr>
          <w:p>
            <w:pPr>
              <w:jc w:val="center"/>
            </w:pPr>
            <w:r>
              <w:rPr>
                <w:b/>
                <w:color w:val="1E293B"/>
                <w:sz w:val="19"/>
              </w:rPr>
              <w:t>Sao trung bình = Tổng số sao nhận được / Tổng số lượt ticket được đánh giá sao</w:t>
            </w:r>
          </w:p>
        </w:tc>
      </w:tr>
    </w:tbl>
    <w:p>
      <w:pPr>
        <w:spacing w:before="160" w:after="80"/>
      </w:pPr>
      <w:r>
        <w:rPr>
          <w:b/>
          <w:sz w:val="21"/>
        </w:rPr>
        <w:t>2. Bảng quy đổi từ Sao trung bình sang Điểm thành phần (Thang 100):</w:t>
      </w:r>
    </w:p>
    <w:tbl>
      <w:tblPr>
        <w:tblW w:type="auto" w:w="0"/>
        <w:jc w:val="center"/>
        <w:tblLook w:firstColumn="1" w:firstRow="1" w:lastColumn="0" w:lastRow="0" w:noHBand="0" w:noVBand="1" w:val="04A0"/>
      </w:tblPr>
      <w:tblGrid>
        <w:gridCol w:w="3120"/>
        <w:gridCol w:w="3120"/>
        <w:gridCol w:w="3120"/>
      </w:tblGrid>
      <w:tr>
        <w:tc>
          <w:tcPr>
            <w:tcW w:type="dxa" w:w="3600"/>
            <w:shd w:fill="1E293B"/>
            <w:tcMar>
              <w:top w:w="100" w:type="dxa"/>
              <w:bottom w:w="100" w:type="dxa"/>
              <w:left w:w="120" w:type="dxa"/>
              <w:right w:w="120" w:type="dxa"/>
            </w:tcMar>
          </w:tcPr>
          <w:p>
            <w:pPr>
              <w:jc w:val="center"/>
            </w:pPr>
            <w:r>
              <w:rPr>
                <w:b/>
                <w:color w:val="FFFFFF"/>
                <w:sz w:val="19"/>
              </w:rPr>
              <w:t>Sao trung bình thực tế</w:t>
            </w:r>
          </w:p>
        </w:tc>
        <w:tc>
          <w:tcPr>
            <w:tcW w:type="dxa" w:w="2880"/>
            <w:shd w:fill="1E293B"/>
            <w:tcMar>
              <w:top w:w="100" w:type="dxa"/>
              <w:bottom w:w="100" w:type="dxa"/>
              <w:left w:w="120" w:type="dxa"/>
              <w:right w:w="120" w:type="dxa"/>
            </w:tcMar>
          </w:tcPr>
          <w:p>
            <w:pPr>
              <w:jc w:val="center"/>
            </w:pPr>
            <w:r>
              <w:rPr>
                <w:b/>
                <w:color w:val="FFFFFF"/>
                <w:sz w:val="19"/>
              </w:rPr>
              <w:t>Điểm quy đổi thành phần</w:t>
            </w:r>
          </w:p>
        </w:tc>
        <w:tc>
          <w:tcPr>
            <w:tcW w:type="dxa" w:w="2880"/>
            <w:shd w:fill="1E293B"/>
            <w:tcMar>
              <w:top w:w="100" w:type="dxa"/>
              <w:bottom w:w="100" w:type="dxa"/>
              <w:left w:w="120" w:type="dxa"/>
              <w:right w:w="120" w:type="dxa"/>
            </w:tcMar>
          </w:tcPr>
          <w:p>
            <w:pPr>
              <w:jc w:val="center"/>
            </w:pPr>
            <w:r>
              <w:rPr>
                <w:b/>
                <w:color w:val="FFFFFF"/>
                <w:sz w:val="19"/>
              </w:rPr>
              <w:t>Xếp loại dịch vụ</w:t>
            </w:r>
          </w:p>
        </w:tc>
      </w:tr>
      <w:tr>
        <w:tc>
          <w:tcPr>
            <w:tcW w:type="dxa" w:w="360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4.75 sao trở lên</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100 điểm</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Rất tốt / Xuất sắc</w:t>
            </w:r>
          </w:p>
        </w:tc>
      </w:tr>
      <w:tr>
        <w:tc>
          <w:tcPr>
            <w:tcW w:type="dxa" w:w="360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4.25 đến dưới 4.75 sao</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90 điểm</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Khá tốt / Tốt</w:t>
            </w:r>
          </w:p>
        </w:tc>
      </w:tr>
      <w:tr>
        <w:tc>
          <w:tcPr>
            <w:tcW w:type="dxa" w:w="360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3.75 đến dưới 4.25 sao</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80 điểm</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Đạt chuẩn / Khá</w:t>
            </w:r>
          </w:p>
        </w:tc>
      </w:tr>
      <w:tr>
        <w:tc>
          <w:tcPr>
            <w:tcW w:type="dxa" w:w="360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Từ 3.00 đến dưới 3.75 sao</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65 điểm</w:t>
            </w:r>
          </w:p>
        </w:tc>
        <w:tc>
          <w:tcPr>
            <w:tcW w:type="dxa" w:w="2880"/>
            <w:shd w:fill="F1F5F9"/>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Trung bình</w:t>
            </w:r>
          </w:p>
        </w:tc>
      </w:tr>
      <w:tr>
        <w:tc>
          <w:tcPr>
            <w:tcW w:type="dxa" w:w="360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Dưới 3.00 sao</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b/>
                <w:sz w:val="19"/>
              </w:rPr>
              <w:t>40 điểm</w:t>
            </w:r>
          </w:p>
        </w:tc>
        <w:tc>
          <w:tcPr>
            <w:tcW w:type="dxa" w:w="2880"/>
            <w:shd w:fill="FFFFFF"/>
            <w:tcMar>
              <w:top w:w="80" w:type="dxa"/>
              <w:bottom w:w="80" w:type="dxa"/>
              <w:left w:w="120" w:type="dxa"/>
              <w:right w:w="120" w:type="dxa"/>
            </w:tcMar>
            <w:tcBorders>
              <w:top w:sz="4" w:val="single" w:color="E2E8F0"/>
              <w:left w:sz="4" w:val="single" w:color="E2E8F0"/>
              <w:bottom w:sz="4" w:val="single" w:color="E2E8F0"/>
              <w:right w:sz="4" w:val="single" w:color="E2E8F0"/>
            </w:tcBorders>
          </w:tcPr>
          <w:p>
            <w:pPr>
              <w:jc w:val="center"/>
            </w:pPr>
            <w:r>
              <w:rPr>
                <w:sz w:val="19"/>
              </w:rPr>
              <w:t>Yếu / Không đạt</w:t>
            </w:r>
          </w:p>
        </w:tc>
      </w:tr>
    </w:tbl>
    <w:p>
      <w:pPr>
        <w:spacing w:before="160" w:after="280" w:line="276" w:lineRule="auto"/>
      </w:pPr>
      <w:r>
        <w:rPr>
          <w:color w:val="F27024"/>
        </w:rPr>
        <w:t xml:space="preserve">👉 </w:t>
      </w:r>
      <w:r>
        <w:rPr>
          <w:b/>
        </w:rPr>
        <w:t xml:space="preserve">Ví dụ thực tế Cơ Phát: </w:t>
      </w:r>
      <w:r>
        <w:t xml:space="preserve">Kỹ thuật viên nhận được điểm đánh giá trung bình thực tế từ người dùng là 3.5 sao. Tra cứu bảng quy đổi, mức 3.5 sao tương ứng dải "Từ 3.00 đến dưới 3.75 sao", do đó được tính </w:t>
      </w:r>
      <w:r>
        <w:rPr>
          <w:b/>
        </w:rPr>
        <w:t>65 điểm</w:t>
      </w:r>
      <w:r>
        <w:t xml:space="preserve">. Với trọng số 10%, tiêu chí này đóng góp thêm </w:t>
      </w:r>
      <w:r>
        <w:rPr>
          <w:b/>
        </w:rPr>
        <w:t>6.5 điểm</w:t>
      </w:r>
      <w:r>
        <w:t xml:space="preserve"> vào điểm KPI tổng hợp.</w:t>
      </w:r>
    </w:p>
    <w:p>
      <w:pPr>
        <w:spacing w:before="320" w:after="120"/>
      </w:pPr>
      <w:r>
        <w:rPr>
          <w:b/>
          <w:color w:val="1E293B"/>
          <w:sz w:val="24"/>
        </w:rPr>
        <w:t>III. SỰ PHỐI HỢP TÍNH TOÁN VÀO ĐIỂM TỔNG KPI</w:t>
      </w:r>
    </w:p>
    <w:p>
      <w:pPr>
        <w:spacing w:line="276" w:lineRule="auto" w:after="200"/>
      </w:pPr>
      <w:r>
        <w:t>Điểm KPI tổng hợp cuối cùng của nhân viên được tính bằng cách lấy điểm quy đổi thành phần nhân với trọng số tương ứng của mỗi tiêu chí rồi cộng lại. Sự kết hợp này phản ánh đa chiều từ tốc độ phản hồi, năng lực chuyên môn cho đến độ hài lòng của khách hàng.</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sz="4" w:val="single" w:color="E2E8F0"/>
              <w:left w:sz="24" w:val="single" w:color="F27024"/>
              <w:bottom w:sz="4" w:val="single" w:color="E2E8F0"/>
              <w:right w:sz="4" w:val="single" w:color="E2E8F0"/>
            </w:tcBorders>
          </w:tcPr>
          <w:p>
            <w:r>
              <w:rPr>
                <w:b/>
                <w:color w:val="F27024"/>
                <w:sz w:val="20"/>
              </w:rPr>
              <w:t>Phương trình tích lũy điểm KPI của kỹ thuật viên Cơ Phát:</w:t>
              <w:br/>
              <w:br/>
            </w:r>
            <w:r>
              <w:rPr>
                <w:b/>
                <w:color w:val="1E293B"/>
                <w:sz w:val="20"/>
              </w:rPr>
              <w:t xml:space="preserve"> Điểm tổng = (100 * 15%) + (40 * 25%) + (80 * 15%) + (100 * 20%) + (100 * 15%) + (65 * 10%)</w:t>
              <w:br/>
              <w:t xml:space="preserve">            = 15.0 (Tiếp nhận) + 10.0 (Đúng hạn) + 12.0 (Xử lý TB) + 20.0 (Tái lỗi) + 15.0 (Lần đầu) + 6.5 (Hài lòng)</w:t>
              <w:br/>
              <w:t xml:space="preserve">            = 78.5 điểm (Xếp loại: KHÁ)</w:t>
            </w:r>
          </w:p>
        </w:tc>
      </w:tr>
    </w:tbl>
    <w:p>
      <w:pPr>
        <w:spacing w:before="600"/>
        <w:jc w:val="right"/>
      </w:pPr>
      <w:r>
        <w:rPr>
          <w:i/>
          <w:color w:val="475569"/>
          <w:sz w:val="18"/>
        </w:rPr>
        <w:t>Báo cáo được khởi tạo tự động bởi Hệ thống Quản lý Helpdesk KPI mhv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