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475569"/>
          <w:sz w:val="28"/>
        </w:rPr>
        <w:t>BÁO CÁO PHÂN TÍCH CHUYÊN SÂU</w:t>
      </w:r>
    </w:p>
    <w:p>
      <w:pPr>
        <w:spacing w:after="480"/>
        <w:jc w:val="center"/>
      </w:pPr>
      <w:r>
        <w:rPr>
          <w:b/>
          <w:color w:val="F27024"/>
          <w:sz w:val="36"/>
        </w:rPr>
        <w:t>CƠ CHẾ TÍNH ĐIỂM KPI TỔNG HỢP TECHSUPPORT</w:t>
        <w:br/>
        <w:t>(ĐỘI NGŨ HỖ TRỢ KỸ THUẬT)</w:t>
      </w:r>
    </w:p>
    <w:p>
      <w:pPr>
        <w:spacing w:before="360" w:after="120"/>
      </w:pPr>
      <w:r>
        <w:rPr>
          <w:b/>
          <w:color w:val="1E293B"/>
          <w:sz w:val="28"/>
        </w:rPr>
        <w:t>I. TỔNG QUAN VỀ CƠ CHẾ ĐÁNH GIÁ KPI TỔNG HỢP</w:t>
      </w:r>
    </w:p>
    <w:p>
      <w:pPr>
        <w:spacing w:line="276" w:lineRule="auto" w:after="200"/>
      </w:pPr>
      <w:r>
        <w:t>Hệ thống KPI tổng hợp cho vai trò Hỗ trợ Kỹ thuật (TechSupport) được thiết kế nhằm mục đích đo lường toàn diện hiệu suất công việc của kỹ thuật viên. Điểm tổng hợp được tính theo phương thức cộng dồn trọng số từ các tiêu chí chất lượng khác nhau. Cơ chế này đảm bảo tính khách quan nhờ việc đánh giá riêng lẻ từng ticket dựa trên thời hạn SLA động (do nhân viên tự chọn hoặc mặc định theo độ ưu tiên) thay vì dùng các dải đánh giá cồng kềnh như trước.</w:t>
      </w:r>
    </w:p>
    <w:p>
      <w:pPr>
        <w:spacing w:before="360" w:after="120"/>
      </w:pPr>
      <w:r>
        <w:rPr>
          <w:b/>
          <w:color w:val="1E293B"/>
          <w:sz w:val="28"/>
        </w:rPr>
        <w:t>II. BẢNG TRỌNG SỐ VÀ CÁC TIÊU CHÍ CẤU THÀNH</w:t>
      </w:r>
    </w:p>
    <w:p>
      <w:pPr>
        <w:spacing w:after="200"/>
      </w:pPr>
      <w:r>
        <w:t>Điểm hiệu suất tổng của nhân viên TechSupport bao gồm 6 tiêu chí cấu thành với tỷ lệ phần trăm được cấu hình chính xác theo tài liệu "Bộ KPI Chốt":</w:t>
      </w:r>
    </w:p>
    <w:tbl>
      <w:tblPr>
        <w:tblW w:type="auto" w:w="0"/>
        <w:jc w:val="center"/>
        <w:tblLook w:firstColumn="1" w:firstRow="1" w:lastColumn="0" w:lastRow="0" w:noHBand="0" w:noVBand="1" w:val="04A0"/>
      </w:tblPr>
      <w:tblGrid>
        <w:gridCol w:w="2340"/>
        <w:gridCol w:w="2340"/>
        <w:gridCol w:w="2340"/>
        <w:gridCol w:w="2340"/>
      </w:tblGrid>
      <w:tr>
        <w:tc>
          <w:tcPr>
            <w:tcW w:type="dxa" w:w="864"/>
            <w:shd w:fill="F27024"/>
            <w:tcMar>
              <w:top w:w="120" w:type="dxa"/>
              <w:bottom w:w="120" w:type="dxa"/>
              <w:left w:w="150" w:type="dxa"/>
              <w:right w:w="150" w:type="dxa"/>
            </w:tcMar>
          </w:tcPr>
          <w:p>
            <w:pPr>
              <w:jc w:val="left"/>
            </w:pPr>
            <w:r>
              <w:rPr>
                <w:b/>
                <w:color w:val="FFFFFF"/>
                <w:sz w:val="20"/>
              </w:rPr>
              <w:t>STT</w:t>
            </w:r>
          </w:p>
        </w:tc>
        <w:tc>
          <w:tcPr>
            <w:tcW w:type="dxa" w:w="3168"/>
            <w:shd w:fill="F27024"/>
            <w:tcMar>
              <w:top w:w="120" w:type="dxa"/>
              <w:bottom w:w="120" w:type="dxa"/>
              <w:left w:w="150" w:type="dxa"/>
              <w:right w:w="150" w:type="dxa"/>
            </w:tcMar>
          </w:tcPr>
          <w:p>
            <w:pPr>
              <w:jc w:val="left"/>
            </w:pPr>
            <w:r>
              <w:rPr>
                <w:b/>
                <w:color w:val="FFFFFF"/>
                <w:sz w:val="20"/>
              </w:rPr>
              <w:t>Tiêu chí thành phần</w:t>
            </w:r>
          </w:p>
        </w:tc>
        <w:tc>
          <w:tcPr>
            <w:tcW w:type="dxa" w:w="1440"/>
            <w:shd w:fill="F27024"/>
            <w:tcMar>
              <w:top w:w="120" w:type="dxa"/>
              <w:bottom w:w="120" w:type="dxa"/>
              <w:left w:w="150" w:type="dxa"/>
              <w:right w:w="150" w:type="dxa"/>
            </w:tcMar>
          </w:tcPr>
          <w:p>
            <w:pPr>
              <w:jc w:val="right"/>
            </w:pPr>
            <w:r>
              <w:rPr>
                <w:b/>
                <w:color w:val="FFFFFF"/>
                <w:sz w:val="20"/>
              </w:rPr>
              <w:t>Trọng số</w:t>
            </w:r>
          </w:p>
        </w:tc>
        <w:tc>
          <w:tcPr>
            <w:tcW w:type="dxa" w:w="3888"/>
            <w:shd w:fill="F27024"/>
            <w:tcMar>
              <w:top w:w="120" w:type="dxa"/>
              <w:bottom w:w="120" w:type="dxa"/>
              <w:left w:w="150" w:type="dxa"/>
              <w:right w:w="150" w:type="dxa"/>
            </w:tcMar>
          </w:tcPr>
          <w:p>
            <w:pPr>
              <w:jc w:val="left"/>
            </w:pPr>
            <w:r>
              <w:rPr>
                <w:b/>
                <w:color w:val="FFFFFF"/>
                <w:sz w:val="20"/>
              </w:rPr>
              <w:t>Mô tả cơ chế tính điểm</w:t>
            </w:r>
          </w:p>
        </w:tc>
      </w:tr>
      <w:tr>
        <w:tc>
          <w:tcPr>
            <w:tcW w:type="dxa" w:w="864"/>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1</w:t>
            </w:r>
          </w:p>
        </w:tc>
        <w:tc>
          <w:tcPr>
            <w:tcW w:type="dxa" w:w="3168"/>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Tỷ lệ tiếp nhận nhanh (Fast Response)</w:t>
            </w:r>
          </w:p>
        </w:tc>
        <w:tc>
          <w:tcPr>
            <w:tcW w:type="dxa" w:w="1440"/>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right"/>
            </w:pPr>
            <w:r>
              <w:rPr>
                <w:b/>
                <w:sz w:val="19"/>
              </w:rPr>
              <w:t>15%</w:t>
            </w:r>
          </w:p>
        </w:tc>
        <w:tc>
          <w:tcPr>
            <w:tcW w:type="dxa" w:w="3888"/>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Quy đổi theo tỷ lệ ticket được nhấn Tiếp nhận (Accepted) trong thời hạn chuẩn (Cao: 15p, TB: 30p, Thấp: 60p).</w:t>
            </w:r>
          </w:p>
        </w:tc>
      </w:tr>
      <w:tr>
        <w:tc>
          <w:tcPr>
            <w:tcW w:type="dxa" w:w="864"/>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2</w:t>
            </w:r>
          </w:p>
        </w:tc>
        <w:tc>
          <w:tcPr>
            <w:tcW w:type="dxa" w:w="3168"/>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Tỷ lệ hoàn tất đúng hạn (On-Time Resolution)</w:t>
            </w:r>
          </w:p>
        </w:tc>
        <w:tc>
          <w:tcPr>
            <w:tcW w:type="dxa" w:w="1440"/>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right"/>
            </w:pPr>
            <w:r>
              <w:rPr>
                <w:b/>
                <w:sz w:val="19"/>
              </w:rPr>
              <w:t>25%</w:t>
            </w:r>
          </w:p>
        </w:tc>
        <w:tc>
          <w:tcPr>
            <w:tcW w:type="dxa" w:w="3888"/>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Tỷ lệ phần trăm số ticket được trạng thái RESOLVED trước hoặc bằng Due Date.</w:t>
            </w:r>
          </w:p>
        </w:tc>
      </w:tr>
      <w:tr>
        <w:tc>
          <w:tcPr>
            <w:tcW w:type="dxa" w:w="864"/>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3</w:t>
            </w:r>
          </w:p>
        </w:tc>
        <w:tc>
          <w:tcPr>
            <w:tcW w:type="dxa" w:w="3168"/>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Thời gian xử lý trung bình (Resolution Time)</w:t>
            </w:r>
          </w:p>
        </w:tc>
        <w:tc>
          <w:tcPr>
            <w:tcW w:type="dxa" w:w="1440"/>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right"/>
            </w:pPr>
            <w:r>
              <w:rPr>
                <w:b/>
                <w:sz w:val="19"/>
              </w:rPr>
              <w:t>15%</w:t>
            </w:r>
          </w:p>
        </w:tc>
        <w:tc>
          <w:tcPr>
            <w:tcW w:type="dxa" w:w="3888"/>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Chấm điểm từng ticket dựa trên thời gian trễ hạn thực tế, sau đó lấy trung bình cộng tất cả ticket.</w:t>
            </w:r>
          </w:p>
        </w:tc>
      </w:tr>
      <w:tr>
        <w:tc>
          <w:tcPr>
            <w:tcW w:type="dxa" w:w="864"/>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4</w:t>
            </w:r>
          </w:p>
        </w:tc>
        <w:tc>
          <w:tcPr>
            <w:tcW w:type="dxa" w:w="3168"/>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Tỷ lệ tái lỗi (Repeat Incident)</w:t>
            </w:r>
          </w:p>
        </w:tc>
        <w:tc>
          <w:tcPr>
            <w:tcW w:type="dxa" w:w="1440"/>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right"/>
            </w:pPr>
            <w:r>
              <w:rPr>
                <w:b/>
                <w:sz w:val="19"/>
              </w:rPr>
              <w:t>20%</w:t>
            </w:r>
          </w:p>
        </w:tc>
        <w:tc>
          <w:tcPr>
            <w:tcW w:type="dxa" w:w="3888"/>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Đo lường tỷ lệ thiết bị bị lặp lại lỗi cũ trong vòng 7 ngày kể từ khi hoàn tất xử lý trước đó.</w:t>
            </w:r>
          </w:p>
        </w:tc>
      </w:tr>
      <w:tr>
        <w:tc>
          <w:tcPr>
            <w:tcW w:type="dxa" w:w="864"/>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5</w:t>
            </w:r>
          </w:p>
        </w:tc>
        <w:tc>
          <w:tcPr>
            <w:tcW w:type="dxa" w:w="3168"/>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Thành công lần đầu (First Time Fix)</w:t>
            </w:r>
          </w:p>
        </w:tc>
        <w:tc>
          <w:tcPr>
            <w:tcW w:type="dxa" w:w="1440"/>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right"/>
            </w:pPr>
            <w:r>
              <w:rPr>
                <w:b/>
                <w:sz w:val="19"/>
              </w:rPr>
              <w:t>15%</w:t>
            </w:r>
          </w:p>
        </w:tc>
        <w:tc>
          <w:tcPr>
            <w:tcW w:type="dxa" w:w="3888"/>
            <w:shd w:fill="FFFFFF"/>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Đo lường tỷ lệ ticket được giải quyết triệt để ngay từ lần xử lý đầu tiên mà không cần mở lại.</w:t>
            </w:r>
          </w:p>
        </w:tc>
      </w:tr>
      <w:tr>
        <w:tc>
          <w:tcPr>
            <w:tcW w:type="dxa" w:w="864"/>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6</w:t>
            </w:r>
          </w:p>
        </w:tc>
        <w:tc>
          <w:tcPr>
            <w:tcW w:type="dxa" w:w="3168"/>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Độ hài lòng người dùng (Satisfaction Score)</w:t>
            </w:r>
          </w:p>
        </w:tc>
        <w:tc>
          <w:tcPr>
            <w:tcW w:type="dxa" w:w="1440"/>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right"/>
            </w:pPr>
            <w:r>
              <w:rPr>
                <w:b/>
                <w:sz w:val="19"/>
              </w:rPr>
              <w:t>10%</w:t>
            </w:r>
          </w:p>
        </w:tc>
        <w:tc>
          <w:tcPr>
            <w:tcW w:type="dxa" w:w="3888"/>
            <w:shd w:fill="F1F5F9"/>
            <w:tcMar>
              <w:top w:w="100" w:type="dxa"/>
              <w:bottom w:w="100" w:type="dxa"/>
              <w:left w:w="150" w:type="dxa"/>
              <w:right w:w="150" w:type="dxa"/>
            </w:tcMar>
            <w:tcBorders>
              <w:top w:sz="4" w:val="single" w:color="E2E8F0"/>
              <w:left w:sz="4" w:val="single" w:color="E2E8F0"/>
              <w:bottom w:sz="4" w:val="single" w:color="E2E8F0"/>
              <w:right w:sz="4" w:val="single" w:color="E2E8F0"/>
            </w:tcBorders>
          </w:tcPr>
          <w:p>
            <w:pPr>
              <w:jc w:val="left"/>
            </w:pPr>
            <w:r>
              <w:rPr>
                <w:sz w:val="19"/>
              </w:rPr>
              <w:t>Điểm đánh giá từ người dùng (1-5 sao) quy đổi thành thang điểm 100.</w:t>
            </w:r>
          </w:p>
        </w:tc>
      </w:tr>
    </w:tbl>
    <w:p>
      <w:pPr>
        <w:spacing w:before="160" w:after="280" w:line="276" w:lineRule="auto"/>
      </w:pPr>
      <w:r>
        <w:rPr>
          <w:b/>
          <w:color w:val="F27024"/>
          <w:sz w:val="19"/>
        </w:rPr>
        <w:t xml:space="preserve">(*) Quy chế Chuẩn hóa Trọng số Động: </w:t>
      </w:r>
      <w:r>
        <w:rPr>
          <w:i/>
          <w:sz w:val="19"/>
        </w:rPr>
        <w:t>Trong trường hợp chu kỳ đánh giá không có lượt phản hồi/đánh giá từ người dùng (không có điểm Hài lòng), tiêu chí số 6 sẽ được loại bỏ khỏi công thức. Tổng trọng số lúc này giảm xuống còn 90% (0.90D). Điểm tổng hợp cuối cùng sẽ được chia cho 0.9 để đưa về thang điểm 100 chuẩn, đảm bảo quyền lợi cho nhân viên.</w:t>
      </w:r>
    </w:p>
    <w:p>
      <w:pPr>
        <w:spacing w:before="360" w:after="120"/>
      </w:pPr>
      <w:r>
        <w:rPr>
          <w:b/>
          <w:color w:val="1E293B"/>
          <w:sz w:val="28"/>
        </w:rPr>
        <w:t>III. LOGIC PHẠT TRỄ HẠN LŨY TIẾN THEO TỪNG TICKET</w:t>
      </w:r>
    </w:p>
    <w:p>
      <w:pPr>
        <w:spacing w:line="276" w:lineRule="auto" w:after="200"/>
      </w:pPr>
      <w:r>
        <w:t>Thay vì trừ điểm phạt dựa trên các dải thời gian cố định cho toàn bộ tháng, hệ thống chấm điểm dựa trên từng ticket riêng biệt. Mỗi ticket bắt đầu với 100 điểm tuyệt đối. Nếu hoàn thành trễ hạn, điểm sẽ bị khấu trừ lũy tiến dựa trên số phút trễ hạn (overdueMinutes) thực tế:</w:t>
      </w:r>
    </w:p>
    <w:p>
      <w:pPr>
        <w:spacing w:before="120" w:after="240" w:line="288" w:lineRule="auto"/>
        <w:ind w:left="576" w:right="576"/>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sz="4" w:val="single" w:color="E2E8F0"/>
              <w:left w:sz="24" w:val="single" w:color="F27024"/>
              <w:bottom w:sz="4" w:val="single" w:color="E2E8F0"/>
              <w:right w:sz="4" w:val="single" w:color="E2E8F0"/>
            </w:tcBorders>
          </w:tcPr>
          <w:p>
            <w:r>
              <w:rPr>
                <w:b/>
                <w:color w:val="F27024"/>
                <w:sz w:val="20"/>
              </w:rPr>
              <w:t>Công thức tính Điểm xử lý của một Ticket:</w:t>
              <w:br/>
            </w:r>
            <w:r>
              <w:rPr>
                <w:b/>
                <w:sz w:val="20"/>
              </w:rPr>
              <w:t xml:space="preserve">  • Mức Cao (HIGH):  </w:t>
            </w:r>
            <w:r>
              <w:rPr>
                <w:sz w:val="20"/>
              </w:rPr>
              <w:t>Điểm phạt = Số phút trễ / 10.0</w:t>
              <w:br/>
            </w:r>
            <w:r>
              <w:rPr>
                <w:b/>
                <w:sz w:val="20"/>
              </w:rPr>
              <w:t xml:space="preserve">  • Mức Trung bình (MEDIUM):  </w:t>
            </w:r>
            <w:r>
              <w:rPr>
                <w:sz w:val="20"/>
              </w:rPr>
              <w:t>Điểm phạt = (Số phút trễ / 60.0) * 2.0</w:t>
              <w:br/>
            </w:r>
            <w:r>
              <w:rPr>
                <w:b/>
                <w:sz w:val="20"/>
              </w:rPr>
              <w:t xml:space="preserve">  • Mức Thấp (LOW):  </w:t>
            </w:r>
            <w:r>
              <w:rPr>
                <w:sz w:val="20"/>
              </w:rPr>
              <w:t>Điểm phạt = (Số phút trễ / 120.0) * 2.0</w:t>
              <w:br/>
              <w:br/>
            </w:r>
            <w:r>
              <w:rPr>
                <w:b/>
                <w:color w:val="1E293B"/>
                <w:sz w:val="20"/>
              </w:rPr>
              <w:t>☞ ĐIỂM SÀN KHỐNG CHẾ:   Điểm số cuối cùng của ticket = Max(100 - Điểm phạt, 40)</w:t>
              <w:br/>
            </w:r>
            <w:r>
              <w:rPr>
                <w:i/>
                <w:sz w:val="19"/>
              </w:rPr>
              <w:t>Nhờ cơ chế khống chế điểm sàn này, bất kỳ ticket nào dù có trễ hạn bao lâu (kể cả trễ nhiều ngày) thì điểm xử lý của ticket đó cũng chỉ bị trừ tối đa 60 điểm và dừng lại ở mức sàn là 40 điểm.</w:t>
            </w:r>
          </w:p>
        </w:tc>
      </w:tr>
    </w:tbl>
    <w:p>
      <w:pPr>
        <w:spacing w:before="360" w:after="120"/>
      </w:pPr>
      <w:r>
        <w:rPr>
          <w:b/>
          <w:color w:val="1E293B"/>
          <w:sz w:val="28"/>
        </w:rPr>
        <w:t>IV. PHÂN TÍCH TÌNH HUỐNG THỰC TẾ (KỸ THUẬT VIÊN CƠ PHÁT)</w:t>
      </w:r>
    </w:p>
    <w:p>
      <w:pPr>
        <w:spacing w:line="276" w:lineRule="auto" w:after="200"/>
      </w:pPr>
      <w:r>
        <w:t>Để làm rõ cách thức hoạt động của công thức, chúng ta phân tích trực tiếp trường hợp của kỹ thuật viên Cơ Phát dựa theo kết quả hiển thị trên bảng điều khiển KPI di động:</w:t>
      </w:r>
    </w:p>
    <w:p>
      <w:pPr>
        <w:pStyle w:val="ListBullet"/>
        <w:spacing w:after="80"/>
      </w:pPr>
      <w:r>
        <w:rPr>
          <w:b/>
        </w:rPr>
        <w:t xml:space="preserve">Tỷ lệ tiếp nhận nhanh (100.0%): </w:t>
      </w:r>
      <w:r>
        <w:rPr>
          <w:sz w:val="21"/>
        </w:rPr>
        <w:t>Đạt điểm tối đa: 100 điểm. (Trọng số 15%)</w:t>
      </w:r>
    </w:p>
    <w:p>
      <w:pPr>
        <w:pStyle w:val="ListBullet"/>
        <w:spacing w:after="80"/>
      </w:pPr>
      <w:r>
        <w:rPr>
          <w:b/>
        </w:rPr>
        <w:t xml:space="preserve">Tỷ lệ hoàn tất đúng hạn (66.7%): </w:t>
      </w:r>
      <w:r>
        <w:rPr>
          <w:sz w:val="21"/>
        </w:rPr>
        <w:t>Do có 1 ticket bị trễ (hoàn thành 2/3 đúng hạn). Tỷ lệ 66.7% nằm dưới ngưỡng 70%, do đó quy đổi thành: 40 điểm. (Trọng số 25%)</w:t>
      </w:r>
    </w:p>
    <w:p>
      <w:pPr>
        <w:pStyle w:val="ListBullet"/>
        <w:spacing w:after="80"/>
      </w:pPr>
      <w:r>
        <w:rPr>
          <w:b/>
        </w:rPr>
        <w:t xml:space="preserve">Tỷ lệ tái lỗi (0.0%): </w:t>
      </w:r>
      <w:r>
        <w:rPr>
          <w:sz w:val="21"/>
        </w:rPr>
        <w:t>Không xảy ra tái lỗi, quy đổi thành: 100 điểm. (Trọng số 20%)</w:t>
      </w:r>
    </w:p>
    <w:p>
      <w:pPr>
        <w:pStyle w:val="ListBullet"/>
        <w:spacing w:after="80"/>
      </w:pPr>
      <w:r>
        <w:rPr>
          <w:b/>
        </w:rPr>
        <w:t xml:space="preserve">Thành công lần đầu (100.0%): </w:t>
      </w:r>
      <w:r>
        <w:rPr>
          <w:sz w:val="21"/>
        </w:rPr>
        <w:t>Xử lý dứt điểm ngay lần đầu, quy đổi thành: 100 điểm. (Trọng số 15%)</w:t>
      </w:r>
    </w:p>
    <w:p>
      <w:pPr>
        <w:pStyle w:val="ListBullet"/>
        <w:spacing w:after="80"/>
      </w:pPr>
      <w:r>
        <w:rPr>
          <w:b/>
        </w:rPr>
        <w:t xml:space="preserve">Độ hài lòng người dùng (3.5/5): </w:t>
      </w:r>
      <w:r>
        <w:rPr>
          <w:sz w:val="21"/>
        </w:rPr>
        <w:t>Điểm trung bình 3.5 nằm trong dải đánh giá quy đổi thành: 65 điểm. (Trọng số 10%)</w:t>
      </w:r>
    </w:p>
    <w:p>
      <w:pPr>
        <w:pStyle w:val="ListBullet"/>
        <w:spacing w:after="160"/>
      </w:pPr>
      <w:r>
        <w:rPr>
          <w:b/>
        </w:rPr>
        <w:t xml:space="preserve">Điểm xử lý trung bình (Xử lý TB): </w:t>
      </w:r>
      <w:r>
        <w:rPr>
          <w:sz w:val="21"/>
        </w:rPr>
        <w:t>Kỹ thuật viên xử lý tổng cộng 3 ticket. Trong đó có 2 ticket hoàn thành đúng hạn (mỗi ticket đạt 100 điểm) và 1 ticket bị trễ hơn 1 ngày (đạt mức điểm sàn tối thiểu là 40 điểm). Điểm xử lý trung bình của Cơ Phát được tính như sau:</w:t>
        <w:br/>
        <w:t xml:space="preserve">   👉 Điểm xử lý trung bình = (100 + 100 + 40) / 3 = 80.0 điểm. (Trọng số 15%)</w:t>
      </w:r>
    </w:p>
    <w:p>
      <w:pPr>
        <w:spacing w:before="240" w:after="280"/>
        <w:ind w:left="288"/>
      </w:pPr>
      <w:r>
        <w:rPr>
          <w:b/>
          <w:color w:val="F27024"/>
        </w:rPr>
        <w:t>⭐ Công thức tính toán tổng hợp thực tế:</w:t>
        <w:br/>
      </w:r>
      <w:r>
        <w:rPr>
          <w:b/>
          <w:color w:val="1E293B"/>
          <w:sz w:val="21"/>
        </w:rPr>
        <w:t>Điểm tổng = (Tiếp nhận * 15%) + (Đúng hạn * 25%) + (Xử lý TB * 15%) + (Tái lỗi * 20%) + (Lần đầu * 15%) + (Hài lòng * 10%)</w:t>
        <w:br/>
        <w:t xml:space="preserve">           = (100 * 0.15) + (40 * 0.25) + (80 * 0.15) + (100 * 0.20) + (100 * 0.15) + (65 * 0.10)</w:t>
        <w:br/>
        <w:t xml:space="preserve">           = 15.0 + 10.0 + 12.0 + 20.0 + 15.0 + 6.5</w:t>
        <w:br/>
        <w:t xml:space="preserve">           = 78.5 điểm.</w:t>
      </w:r>
    </w:p>
    <w:p>
      <w:pPr>
        <w:spacing w:line="276" w:lineRule="auto" w:after="240"/>
      </w:pPr>
      <w:r>
        <w:t>Với kết quả tổng hợp đạt 78.5 điểm, kỹ thuật viên Cơ Phát được xếp loại tự động ở mức Khá (nằm trong dải điểm từ 65 đến dưới 80). Nhờ cơ chế điểm sàn 40, dù có 1 ticket bị trễ khá nặng (1 ngày), điểm tổng hợp của kỹ thuật viên vẫn được phản ánh chính xác tương quan nỗ lực tổng thể của toàn bộ các nhiệm vụ khác trong chu kỳ đánh giá hỗ trợ.</w:t>
      </w:r>
    </w:p>
    <w:p>
      <w:pPr>
        <w:spacing w:before="600"/>
        <w:jc w:val="right"/>
      </w:pPr>
      <w:r>
        <w:rPr>
          <w:i/>
          <w:color w:val="475569"/>
          <w:sz w:val="18"/>
        </w:rPr>
        <w:t>Báo cáo được khởi tạo tự động bởi Hệ thống Quản lý Helpdesk KPI mhv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