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MiniPdf Corp</w:t>
            </w:r>
          </w:p>
        </w:tc>
        <w:tc>
          <w:tcPr>
            <w:tcW w:type="dxa" w:w="2160"/>
          </w:tcPr>
          <w:p>
            <w:r>
              <w:t>SOP-QA-001</w:t>
            </w:r>
          </w:p>
        </w:tc>
        <w:tc>
          <w:tcPr>
            <w:tcW w:type="dxa" w:w="2160"/>
          </w:tcPr>
          <w:p>
            <w:r>
              <w:t>Rev: 3</w:t>
            </w:r>
          </w:p>
        </w:tc>
        <w:tc>
          <w:tcPr>
            <w:tcW w:type="dxa" w:w="2160"/>
          </w:tcPr>
          <w:p>
            <w:r>
              <w:t>Page 1 of 1</w:t>
            </w:r>
          </w:p>
        </w:tc>
      </w:tr>
      <w:tr>
        <w:tc>
          <w:tcPr>
            <w:tcW w:type="dxa" w:w="2160"/>
          </w:tcPr>
          <w:p>
            <w:r>
              <w:t>Department: QA</w:t>
            </w:r>
          </w:p>
        </w:tc>
        <w:tc>
          <w:tcPr>
            <w:tcW w:type="dxa" w:w="2160"/>
          </w:tcPr>
          <w:p>
            <w:r>
              <w:t>Effective: 2026-03-01</w:t>
            </w:r>
          </w:p>
        </w:tc>
        <w:tc>
          <w:tcPr>
            <w:tcW w:type="dxa" w:w="2160"/>
          </w:tcPr>
          <w:p>
            <w:r>
              <w:t>Author: J. Smith</w:t>
            </w:r>
          </w:p>
        </w:tc>
        <w:tc>
          <w:tcPr>
            <w:tcW w:type="dxa" w:w="2160"/>
          </w:tcPr>
          <w:p>
            <w:r>
              <w:t>Approved: D. Lee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24"/>
              </w:rPr>
              <w:t>STANDARD OPERATING PROCEDURE</w:t>
            </w:r>
          </w:p>
          <w:p>
            <w:r/>
          </w:p>
          <w:p>
            <w:r/>
          </w:p>
          <w:p>
            <w:r/>
          </w:p>
        </w:tc>
      </w:tr>
    </w:tbl>
    <w:p/>
    <w:p>
      <w:pPr>
        <w:pStyle w:val="Heading1"/>
      </w:pPr>
      <w:r>
        <w:t>Quality Assurance Testing Procedure</w:t>
      </w:r>
    </w:p>
    <w:p>
      <w:pPr>
        <w:pStyle w:val="Heading2"/>
      </w:pPr>
      <w:r>
        <w:t>1. Purpose</w:t>
      </w:r>
    </w:p>
    <w:p>
      <w:r>
        <w:t>This SOP defines the standard process for running quality assurance benchmarks on the MiniPdf conversion engine.</w:t>
      </w:r>
    </w:p>
    <w:p>
      <w:pPr>
        <w:pStyle w:val="Heading2"/>
      </w:pPr>
      <w:r>
        <w:t>2. Scope</w:t>
      </w:r>
    </w:p>
    <w:p>
      <w:r>
        <w:t>Applies to all QA engineers responsible for validating DOCX-to-PDF and XLSX-to-PDF conversion quality.</w:t>
      </w:r>
    </w:p>
    <w:p>
      <w:pPr>
        <w:pStyle w:val="Heading2"/>
      </w:pPr>
      <w:r>
        <w:t>3. Procedure</w:t>
      </w:r>
    </w:p>
    <w:p>
      <w:r>
        <w:rPr>
          <w:b/>
        </w:rPr>
        <w:t>3.1 Prepare Test Files</w:t>
      </w:r>
    </w:p>
    <w:p>
      <w:r>
        <w:t>Generate test documents using the benchmark generator scripts.</w:t>
      </w:r>
    </w:p>
    <w:p>
      <w:r>
        <w:rPr>
          <w:b/>
        </w:rPr>
        <w:t>3.2 Run Conversion</w:t>
      </w:r>
    </w:p>
    <w:p>
      <w:r>
        <w:t>Execute the MiniPdf converter on all test files.</w:t>
      </w:r>
    </w:p>
    <w:p>
      <w:r>
        <w:rPr>
          <w:b/>
        </w:rPr>
        <w:t>3.3 Generate Reference</w:t>
      </w:r>
    </w:p>
    <w:p>
      <w:r>
        <w:t>Create reference PDFs using LibreOffice for comparison.</w:t>
      </w:r>
    </w:p>
    <w:p>
      <w:r>
        <w:rPr>
          <w:b/>
        </w:rPr>
        <w:t>3.4 Compare Results</w:t>
      </w:r>
    </w:p>
    <w:p>
      <w:r>
        <w:t>Run the comparison script to generate quality scores.</w:t>
      </w:r>
    </w:p>
    <w:p>
      <w:r>
        <w:rPr>
          <w:b/>
        </w:rPr>
        <w:t>3.5 Analyze Report</w:t>
      </w:r>
    </w:p>
    <w:p>
      <w:r>
        <w:t>Review the benchmark report for any scores below 95%.</w:t>
      </w:r>
    </w:p>
    <w:p>
      <w:r>
        <w:rPr>
          <w:b/>
        </w:rPr>
        <w:t>3.6 File Issues</w:t>
      </w:r>
    </w:p>
    <w:p>
      <w:r>
        <w:t>Create GitHub issues for any identified regressions.</w:t>
      </w:r>
    </w:p>
    <w:p>
      <w:r>
        <w:rPr>
          <w:b/>
        </w:rPr>
        <w:t>3.7 Verify Fixes</w:t>
      </w:r>
    </w:p>
    <w:p>
      <w:r>
        <w:t>Re-run the benchmark after code changes to confirm improvements.</w:t>
      </w:r>
    </w:p>
    <w:p>
      <w:pPr>
        <w:pStyle w:val="Heading2"/>
      </w:pPr>
      <w:r>
        <w:t>4. Acceptance Criteria</w:t>
      </w:r>
    </w:p>
    <w:p>
      <w:pPr>
        <w:pStyle w:val="ListBullet"/>
      </w:pPr>
      <w:r>
        <w:t>Average quality score must be &gt;= 97%</w:t>
      </w:r>
    </w:p>
    <w:p>
      <w:pPr>
        <w:pStyle w:val="ListBullet"/>
      </w:pPr>
      <w:r>
        <w:t>No individual test case shall score below 80%</w:t>
      </w:r>
    </w:p>
    <w:p>
      <w:pPr>
        <w:pStyle w:val="ListBullet"/>
      </w:pPr>
      <w:r>
        <w:t>All new test cases must have reference PDFs</w:t>
      </w:r>
    </w:p>
    <w:p>
      <w:pPr>
        <w:pStyle w:val="ListBullet"/>
      </w:pPr>
      <w:r>
        <w:t>Regression tests must pass before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