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Status Report</w:t>
      </w:r>
    </w:p>
    <w:p>
      <w:r>
        <w:t>MiniPdf v2.0 Release | Reporting Period: March 1-6, 2026</w:t>
      </w:r>
    </w:p>
    <w:p/>
    <w:p>
      <w:pPr>
        <w:pStyle w:val="Heading2"/>
      </w:pPr>
      <w:r>
        <w:t>Overall Status: ON TRACK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Schedule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Budget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Quality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Risks</w:t>
            </w:r>
          </w:p>
        </w:tc>
      </w:tr>
      <w:tr>
        <w:tc>
          <w:tcPr>
            <w:tcW w:type="dxa" w:w="2160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</w:rPr>
              <w:t>GREEN</w:t>
            </w:r>
          </w:p>
        </w:tc>
        <w:tc>
          <w:tcPr>
            <w:tcW w:type="dxa" w:w="2160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</w:rPr>
              <w:t>GREEN</w:t>
            </w:r>
          </w:p>
        </w:tc>
        <w:tc>
          <w:tcPr>
            <w:tcW w:type="dxa" w:w="2160"/>
            <w:shd w:val="clear" w:color="auto" w:fill="BF8F00"/>
          </w:tcPr>
          <w:p>
            <w:pPr>
              <w:jc w:val="center"/>
            </w:pPr>
            <w:r>
              <w:rPr>
                <w:b/>
                <w:color w:val="FFFFFF"/>
              </w:rPr>
              <w:t>AMBER</w:t>
            </w:r>
          </w:p>
        </w:tc>
        <w:tc>
          <w:tcPr>
            <w:tcW w:type="dxa" w:w="2160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</w:rPr>
              <w:t>GREEN</w:t>
            </w:r>
          </w:p>
        </w:tc>
      </w:tr>
    </w:tbl>
    <w:p/>
    <w:p>
      <w:pPr>
        <w:pStyle w:val="Heading2"/>
      </w:pPr>
      <w:r>
        <w:t>Key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Target Date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DOCX Parser Complete</w:t>
            </w:r>
          </w:p>
        </w:tc>
        <w:tc>
          <w:tcPr>
            <w:tcW w:type="dxa" w:w="2160"/>
          </w:tcPr>
          <w:p>
            <w:r>
              <w:t>Feb 28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✓ Done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Benchmark 90 Cases</w:t>
            </w:r>
          </w:p>
        </w:tc>
        <w:tc>
          <w:tcPr>
            <w:tcW w:type="dxa" w:w="2160"/>
          </w:tcPr>
          <w:p>
            <w:r>
              <w:t>Mar 1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✓ Done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Benchmark 120 Cases</w:t>
            </w:r>
          </w:p>
        </w:tc>
        <w:tc>
          <w:tcPr>
            <w:tcW w:type="dxa" w:w="2160"/>
          </w:tcPr>
          <w:p>
            <w:r>
              <w:t>Mar 6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  <w:tr>
        <w:tc>
          <w:tcPr>
            <w:tcW w:type="dxa" w:w="2160"/>
          </w:tcPr>
          <w:p>
            <w:r>
              <w:t>Quality Score &gt;= 97%</w:t>
            </w:r>
          </w:p>
        </w:tc>
        <w:tc>
          <w:tcPr>
            <w:tcW w:type="dxa" w:w="2160"/>
          </w:tcPr>
          <w:p>
            <w:r>
              <w:t>Mar 10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Currently 95.8%</w:t>
            </w:r>
          </w:p>
        </w:tc>
      </w:tr>
      <w:tr>
        <w:tc>
          <w:tcPr>
            <w:tcW w:type="dxa" w:w="2160"/>
          </w:tcPr>
          <w:p>
            <w:r>
              <w:t>NuGet Package Release</w:t>
            </w:r>
          </w:p>
        </w:tc>
        <w:tc>
          <w:tcPr>
            <w:tcW w:type="dxa" w:w="2160"/>
          </w:tcPr>
          <w:p>
            <w:r>
              <w:t>Mar 15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Blocked on quality</w:t>
            </w:r>
          </w:p>
        </w:tc>
      </w:tr>
    </w:tbl>
    <w:p/>
    <w:p>
      <w:pPr>
        <w:pStyle w:val="Heading2"/>
      </w:pPr>
      <w:r>
        <w:t>Risks &amp; Issues</w:t>
      </w:r>
    </w:p>
    <w:p>
      <w:r>
        <w:rPr>
          <w:b/>
          <w:color w:val="C89600"/>
        </w:rPr>
        <w:t xml:space="preserve">[Medium] </w:t>
      </w:r>
      <w:r>
        <w:t xml:space="preserve">CJK font licensing review pending - </w:t>
      </w:r>
      <w:r>
        <w:rPr>
          <w:i/>
        </w:rPr>
        <w:t>Legal team reviewing by Mar 8</w:t>
      </w:r>
    </w:p>
    <w:p>
      <w:r>
        <w:rPr>
          <w:b/>
          <w:color w:val="C80000"/>
        </w:rPr>
        <w:t xml:space="preserve">[High] </w:t>
      </w:r>
      <w:r>
        <w:t xml:space="preserve">Quality score below 97% target - </w:t>
      </w:r>
      <w:r>
        <w:rPr>
          <w:i/>
        </w:rPr>
        <w:t>Focused optimization sprint planned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