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Assessment Report</w:t>
      </w:r>
    </w:p>
    <w:p>
      <w:r>
        <w:t>Project: MiniPdf v2.0 | Assessment Date: March 6, 2026</w:t>
      </w:r>
    </w:p>
    <w:p/>
    <w:p>
      <w:pPr>
        <w:pStyle w:val="Heading2"/>
      </w:pPr>
      <w:r>
        <w:t>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Impact \ Likelihood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Very Low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Medium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Very High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Critical</w:t>
            </w:r>
          </w:p>
        </w:tc>
        <w:tc>
          <w:tcPr>
            <w:tcW w:type="dxa" w:w="1440"/>
            <w:shd w:val="clear" w:color="auto" w:fill="BF8F00"/>
          </w:tcPr>
          <w:p/>
        </w:tc>
        <w:tc>
          <w:tcPr>
            <w:tcW w:type="dxa" w:w="1440"/>
            <w:shd w:val="clear" w:color="auto" w:fill="C00000"/>
          </w:tcPr>
          <w:p/>
        </w:tc>
        <w:tc>
          <w:tcPr>
            <w:tcW w:type="dxa" w:w="1440"/>
            <w:shd w:val="clear" w:color="auto" w:fill="C00000"/>
          </w:tcPr>
          <w:p/>
        </w:tc>
        <w:tc>
          <w:tcPr>
            <w:tcW w:type="dxa" w:w="1440"/>
            <w:shd w:val="clear" w:color="auto" w:fill="C00000"/>
          </w:tcPr>
          <w:p/>
        </w:tc>
        <w:tc>
          <w:tcPr>
            <w:tcW w:type="dxa" w:w="1440"/>
            <w:shd w:val="clear" w:color="auto" w:fill="C0000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High</w:t>
            </w:r>
          </w:p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BF8F00"/>
          </w:tcPr>
          <w:p/>
        </w:tc>
        <w:tc>
          <w:tcPr>
            <w:tcW w:type="dxa" w:w="1440"/>
            <w:shd w:val="clear" w:color="auto" w:fill="C00000"/>
          </w:tcPr>
          <w:p/>
        </w:tc>
        <w:tc>
          <w:tcPr>
            <w:tcW w:type="dxa" w:w="1440"/>
            <w:shd w:val="clear" w:color="auto" w:fill="C00000"/>
          </w:tcPr>
          <w:p/>
        </w:tc>
        <w:tc>
          <w:tcPr>
            <w:tcW w:type="dxa" w:w="1440"/>
            <w:shd w:val="clear" w:color="auto" w:fill="C0000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Medium</w:t>
            </w:r>
          </w:p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BF8F00"/>
          </w:tcPr>
          <w:p/>
        </w:tc>
        <w:tc>
          <w:tcPr>
            <w:tcW w:type="dxa" w:w="1440"/>
            <w:shd w:val="clear" w:color="auto" w:fill="BF8F00"/>
          </w:tcPr>
          <w:p/>
        </w:tc>
        <w:tc>
          <w:tcPr>
            <w:tcW w:type="dxa" w:w="1440"/>
            <w:shd w:val="clear" w:color="auto" w:fill="C0000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Low</w:t>
            </w:r>
          </w:p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BF8F00"/>
          </w:tcPr>
          <w:p/>
        </w:tc>
        <w:tc>
          <w:tcPr>
            <w:tcW w:type="dxa" w:w="1440"/>
            <w:shd w:val="clear" w:color="auto" w:fill="BF8F00"/>
          </w:tcPr>
          <w:p/>
        </w:tc>
      </w:tr>
      <w:tr>
        <w:tc>
          <w:tcPr>
            <w:tcW w:type="dxa" w:w="1440"/>
          </w:tcPr>
          <w:p>
            <w:r>
              <w:rPr>
                <w:b/>
                <w:sz w:val="16"/>
              </w:rPr>
              <w:t>Negligible</w:t>
            </w:r>
          </w:p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548235"/>
          </w:tcPr>
          <w:p/>
        </w:tc>
        <w:tc>
          <w:tcPr>
            <w:tcW w:type="dxa" w:w="1440"/>
            <w:shd w:val="clear" w:color="auto" w:fill="BF8F00"/>
          </w:tcPr>
          <w:p/>
        </w:tc>
      </w:tr>
    </w:tbl>
    <w:p/>
    <w:p>
      <w:pPr>
        <w:pStyle w:val="Heading2"/>
      </w:pPr>
      <w:r>
        <w:t>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33333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28"/>
            <w:shd w:val="clear" w:color="auto" w:fill="333333"/>
          </w:tcPr>
          <w:p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1728"/>
            <w:shd w:val="clear" w:color="auto" w:fill="333333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333333"/>
          </w:tcPr>
          <w:p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728"/>
            <w:shd w:val="clear" w:color="auto" w:fill="333333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t>Quality below target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rPr>
                <w:b/>
                <w:color w:val="C80000"/>
              </w:rPr>
              <w:t>HIGH</w:t>
            </w:r>
          </w:p>
        </w:tc>
        <w:tc>
          <w:tcPr>
            <w:tcW w:type="dxa" w:w="1728"/>
          </w:tcPr>
          <w:p>
            <w:r>
              <w:t>Sprint optimization</w:t>
            </w:r>
          </w:p>
        </w:tc>
      </w:tr>
      <w:tr>
        <w:tc>
          <w:tcPr>
            <w:tcW w:type="dxa" w:w="1728"/>
          </w:tcPr>
          <w:p>
            <w:r>
              <w:t>Font licensing issue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rPr>
                <w:b/>
                <w:color w:val="C89600"/>
              </w:rPr>
              <w:t>MEDIUM</w:t>
            </w:r>
          </w:p>
        </w:tc>
        <w:tc>
          <w:tcPr>
            <w:tcW w:type="dxa" w:w="1728"/>
          </w:tcPr>
          <w:p>
            <w:r>
              <w:t>Legal review</w:t>
            </w:r>
          </w:p>
        </w:tc>
      </w:tr>
      <w:tr>
        <w:tc>
          <w:tcPr>
            <w:tcW w:type="dxa" w:w="1728"/>
          </w:tcPr>
          <w:p>
            <w:r>
              <w:t>Performance regression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rPr>
                <w:b/>
                <w:color w:val="C89600"/>
              </w:rPr>
              <w:t>MEDIUM</w:t>
            </w:r>
          </w:p>
        </w:tc>
        <w:tc>
          <w:tcPr>
            <w:tcW w:type="dxa" w:w="1728"/>
          </w:tcPr>
          <w:p>
            <w:r>
              <w:t>Benchmark monitoring</w:t>
            </w:r>
          </w:p>
        </w:tc>
      </w:tr>
      <w:tr>
        <w:tc>
          <w:tcPr>
            <w:tcW w:type="dxa" w:w="1728"/>
          </w:tcPr>
          <w:p>
            <w:r>
              <w:t>Team member unavailable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rPr>
                <w:b/>
                <w:color w:val="C89600"/>
              </w:rPr>
              <w:t>MEDIUM</w:t>
            </w:r>
          </w:p>
        </w:tc>
        <w:tc>
          <w:tcPr>
            <w:tcW w:type="dxa" w:w="1728"/>
          </w:tcPr>
          <w:p>
            <w:r>
              <w:t>Cross-training</w:t>
            </w:r>
          </w:p>
        </w:tc>
      </w:tr>
      <w:tr>
        <w:tc>
          <w:tcPr>
            <w:tcW w:type="dxa" w:w="1728"/>
          </w:tcPr>
          <w:p>
            <w:r>
              <w:t>Dependency vulnerability</w:t>
            </w:r>
          </w:p>
        </w:tc>
        <w:tc>
          <w:tcPr>
            <w:tcW w:type="dxa" w:w="1728"/>
          </w:tcPr>
          <w:p>
            <w:r>
              <w:t>Very 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LOW</w:t>
            </w:r>
          </w:p>
        </w:tc>
        <w:tc>
          <w:tcPr>
            <w:tcW w:type="dxa" w:w="1728"/>
          </w:tcPr>
          <w:p>
            <w:r>
              <w:t>Automated scanning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