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rPr>
          <w:i/>
          <w:color w:val="808080"/>
        </w:rPr>
        <w:t>MiniPdf Corporation | Revised March 2026</w:t>
      </w:r>
    </w:p>
    <w:p/>
    <w:p>
      <w:pPr>
        <w:pStyle w:val="Heading2"/>
      </w:pPr>
      <w:r>
        <w:t>Chapter 5: Leave Policies</w:t>
      </w:r>
    </w:p>
    <w:p>
      <w:pPr>
        <w:pStyle w:val="Heading3"/>
      </w:pPr>
      <w:r>
        <w:t>5.1 Annual Leave</w:t>
      </w:r>
    </w:p>
    <w:p>
      <w:r>
        <w:t>Full-time employees are entitled to 20 days of paid annual leave per calendar year. Leave accrues at a rate of 1.67 days per month of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Years of Service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Annual Days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Max Carry Over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20 days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23 days</w:t>
            </w:r>
          </w:p>
        </w:tc>
        <w:tc>
          <w:tcPr>
            <w:tcW w:type="dxa" w:w="2880"/>
          </w:tcPr>
          <w:p>
            <w:r>
              <w:t>7 days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</w:t>
            </w:r>
          </w:p>
        </w:tc>
        <w:tc>
          <w:tcPr>
            <w:tcW w:type="dxa" w:w="2880"/>
          </w:tcPr>
          <w:p>
            <w:r>
              <w:t>10 days</w:t>
            </w:r>
          </w:p>
        </w:tc>
      </w:tr>
      <w:tr>
        <w:tc>
          <w:tcPr>
            <w:tcW w:type="dxa" w:w="2880"/>
          </w:tcPr>
          <w:p>
            <w:r>
              <w:t>10+ years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15 days</w:t>
            </w:r>
          </w:p>
        </w:tc>
      </w:tr>
    </w:tbl>
    <w:p/>
    <w:p>
      <w:pPr>
        <w:pStyle w:val="Heading3"/>
      </w:pPr>
      <w:r>
        <w:t>5.2 Sick Leave</w:t>
      </w:r>
    </w:p>
    <w:p>
      <w:r>
        <w:t>Employees are entitled to 10 days of paid sick leave per year. A medical certificate is required for absences of three or more consecutive days.</w:t>
      </w:r>
    </w:p>
    <w:p>
      <w:pPr>
        <w:pStyle w:val="Heading3"/>
      </w:pPr>
      <w:r>
        <w:t>5.3 Parental Leave</w:t>
      </w:r>
    </w:p>
    <w:p>
      <w:r>
        <w:t>Primary caregivers are entitled to 16 weeks of paid parental leave. Secondary caregivers receive 4 weeks of paid leave. Leave must be taken within 12 months of the child's birth or adoption date.</w:t>
      </w:r>
    </w:p>
    <w:p>
      <w:pPr>
        <w:pStyle w:val="Heading2"/>
      </w:pPr>
      <w:r>
        <w:t>Chapter 6: Code of Conduct</w:t>
      </w:r>
    </w:p>
    <w:p>
      <w:pPr>
        <w:pStyle w:val="Heading3"/>
      </w:pPr>
      <w:r>
        <w:t>6.1 Professional Behavior</w:t>
      </w:r>
    </w:p>
    <w:p>
      <w:pPr>
        <w:pStyle w:val="ListBullet"/>
      </w:pPr>
      <w:r>
        <w:t>Treat all colleagues with respect and dignity</w:t>
      </w:r>
    </w:p>
    <w:p>
      <w:pPr>
        <w:pStyle w:val="ListBullet"/>
      </w:pPr>
      <w:r>
        <w:t>Maintain confidentiality of company information</w:t>
      </w:r>
    </w:p>
    <w:p>
      <w:pPr>
        <w:pStyle w:val="ListBullet"/>
      </w:pPr>
      <w:r>
        <w:t>Report conflicts of interest promptly</w:t>
      </w:r>
    </w:p>
    <w:p>
      <w:pPr>
        <w:pStyle w:val="ListBullet"/>
      </w:pPr>
      <w:r>
        <w:t>Comply with all applicable laws and regulations</w:t>
      </w:r>
    </w:p>
    <w:p>
      <w:pPr>
        <w:pStyle w:val="ListBullet"/>
      </w:pPr>
      <w:r>
        <w:t>Use company resources responsibly</w:t>
      </w:r>
    </w:p>
    <w:p>
      <w:pPr>
        <w:pStyle w:val="Heading3"/>
      </w:pPr>
      <w:r>
        <w:t>6.2 Disciplinary Process</w:t>
      </w:r>
    </w:p>
    <w:p>
      <w:r>
        <w:t>Step 1: Verbal warning with documented discussion</w:t>
      </w:r>
    </w:p>
    <w:p>
      <w:r>
        <w:t>Step 2: Written warning with improvement plan</w:t>
      </w:r>
    </w:p>
    <w:p>
      <w:r>
        <w:t>Step 3: Final written warning with performance review</w:t>
      </w:r>
    </w:p>
    <w:p>
      <w:r>
        <w:t>Step 4: Termination of employment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