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Summary Q4 2025</w:t>
      </w:r>
    </w:p>
    <w:p>
      <w:r>
        <w:t>All amounts in USD thousands.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Line Item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Budget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Variance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$520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+$20</w:t>
            </w:r>
          </w:p>
        </w:tc>
      </w:tr>
      <w:tr>
        <w:tc>
          <w:tcPr>
            <w:tcW w:type="dxa" w:w="2160"/>
          </w:tcPr>
          <w:p>
            <w:r>
              <w:t>COGS</w:t>
            </w:r>
          </w:p>
        </w:tc>
        <w:tc>
          <w:tcPr>
            <w:tcW w:type="dxa" w:w="2160"/>
          </w:tcPr>
          <w:p>
            <w:r>
              <w:t>$200</w:t>
            </w:r>
          </w:p>
        </w:tc>
        <w:tc>
          <w:tcPr>
            <w:tcW w:type="dxa" w:w="2160"/>
          </w:tcPr>
          <w:p>
            <w:r>
              <w:t>$210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-$10</w:t>
            </w:r>
          </w:p>
        </w:tc>
      </w:tr>
      <w:tr>
        <w:tc>
          <w:tcPr>
            <w:tcW w:type="dxa" w:w="2160"/>
          </w:tcPr>
          <w:p>
            <w:r>
              <w:t>Gross Profit</w:t>
            </w:r>
          </w:p>
        </w:tc>
        <w:tc>
          <w:tcPr>
            <w:tcW w:type="dxa" w:w="2160"/>
          </w:tcPr>
          <w:p>
            <w:r>
              <w:t>$300</w:t>
            </w:r>
          </w:p>
        </w:tc>
        <w:tc>
          <w:tcPr>
            <w:tcW w:type="dxa" w:w="2160"/>
          </w:tcPr>
          <w:p>
            <w:r>
              <w:t>$310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+$10</w:t>
            </w:r>
          </w:p>
        </w:tc>
      </w:tr>
      <w:tr>
        <w:tc>
          <w:tcPr>
            <w:tcW w:type="dxa" w:w="2160"/>
          </w:tcPr>
          <w:p>
            <w:r>
              <w:t>Operating Exp</w:t>
            </w:r>
          </w:p>
        </w:tc>
        <w:tc>
          <w:tcPr>
            <w:tcW w:type="dxa" w:w="2160"/>
          </w:tcPr>
          <w:p>
            <w:r>
              <w:t>$150</w:t>
            </w:r>
          </w:p>
        </w:tc>
        <w:tc>
          <w:tcPr>
            <w:tcW w:type="dxa" w:w="2160"/>
          </w:tcPr>
          <w:p>
            <w:r>
              <w:t>$140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+$10</w:t>
            </w:r>
          </w:p>
        </w:tc>
      </w:tr>
      <w:tr>
        <w:tc>
          <w:tcPr>
            <w:tcW w:type="dxa" w:w="2160"/>
          </w:tcPr>
          <w:p>
            <w:r>
              <w:t>Net Income</w:t>
            </w:r>
          </w:p>
        </w:tc>
        <w:tc>
          <w:tcPr>
            <w:tcW w:type="dxa" w:w="2160"/>
          </w:tcPr>
          <w:p>
            <w:r>
              <w:t>$150</w:t>
            </w:r>
          </w:p>
        </w:tc>
        <w:tc>
          <w:tcPr>
            <w:tcW w:type="dxa" w:w="2160"/>
          </w:tcPr>
          <w:p>
            <w:r>
              <w:t>$170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+$20</w:t>
            </w:r>
          </w:p>
        </w:tc>
      </w:tr>
      <w:tr>
        <w:tc>
          <w:tcPr>
            <w:tcW w:type="dxa" w:w="2160"/>
          </w:tcPr>
          <w:p>
            <w:r>
              <w:t>EPS</w:t>
            </w:r>
          </w:p>
        </w:tc>
        <w:tc>
          <w:tcPr>
            <w:tcW w:type="dxa" w:w="2160"/>
          </w:tcPr>
          <w:p>
            <w:r>
              <w:t>$1.50</w:t>
            </w:r>
          </w:p>
        </w:tc>
        <w:tc>
          <w:tcPr>
            <w:tcW w:type="dxa" w:w="2160"/>
          </w:tcPr>
          <w:p>
            <w:r>
              <w:t>$1.70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+$0.20</w:t>
            </w:r>
          </w:p>
        </w:tc>
      </w:tr>
    </w:tbl>
    <w:p/>
    <w:p>
      <w:r>
        <w:t>Note: Positive variance indicates favorable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