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Trends Report</w:t>
      </w:r>
    </w:p>
    <w:p>
      <w:pPr>
        <w:pStyle w:val="Subtitle"/>
      </w:pPr>
      <w:r>
        <w:t>Q1 2026 Analysis</w:t>
      </w:r>
    </w:p>
    <w:p>
      <w:pPr>
        <w:jc w:val="center"/>
      </w:pPr>
      <w:r>
        <w:t>Prepared by MiniPdf Analytics Team</w:t>
      </w:r>
    </w:p>
    <w:p>
      <w:pPr>
        <w:jc w:val="center"/>
      </w:pPr>
      <w:r>
        <w:rPr>
          <w:i/>
        </w:rPr>
        <w:t>March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Key Findings: </w:t>
      </w:r>
      <w:r>
        <w:t>The technology sector continues to show strong growth driven by AI adoption, cloud migration, and digital transformation initiatives.</w:t>
      </w:r>
    </w:p>
    <w:p>
      <w:pPr>
        <w:pStyle w:val="Heading1"/>
      </w:pPr>
      <w:r>
        <w:t>Market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Q4 2025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Q1 2026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r>
              <w:t>Cloud Computing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$180B</w:t>
            </w:r>
          </w:p>
        </w:tc>
        <w:tc>
          <w:tcPr>
            <w:tcW w:type="dxa" w:w="2160"/>
            <w:shd w:val="clear" w:color="auto" w:fill="D9E2F3"/>
          </w:tcPr>
          <w:p>
            <w:r>
              <w:t>$195B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color w:val="008000"/>
              </w:rPr>
              <w:t>+8.3%</w:t>
            </w:r>
          </w:p>
        </w:tc>
      </w:tr>
      <w:tr>
        <w:tc>
          <w:tcPr>
            <w:tcW w:type="dxa" w:w="2160"/>
          </w:tcPr>
          <w:p>
            <w:r>
              <w:t>AI/ML</w:t>
            </w:r>
          </w:p>
        </w:tc>
        <w:tc>
          <w:tcPr>
            <w:tcW w:type="dxa" w:w="2160"/>
          </w:tcPr>
          <w:p>
            <w:r>
              <w:t>$95B</w:t>
            </w:r>
          </w:p>
        </w:tc>
        <w:tc>
          <w:tcPr>
            <w:tcW w:type="dxa" w:w="2160"/>
          </w:tcPr>
          <w:p>
            <w:r>
              <w:t>$112B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+17.9%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r>
              <w:t>Cybersecurity</w:t>
            </w:r>
          </w:p>
        </w:tc>
        <w:tc>
          <w:tcPr>
            <w:tcW w:type="dxa" w:w="2160"/>
            <w:shd w:val="clear" w:color="auto" w:fill="D9E2F3"/>
          </w:tcPr>
          <w:p>
            <w:r>
              <w:t>$72B</w:t>
            </w:r>
          </w:p>
        </w:tc>
        <w:tc>
          <w:tcPr>
            <w:tcW w:type="dxa" w:w="2160"/>
            <w:shd w:val="clear" w:color="auto" w:fill="D9E2F3"/>
          </w:tcPr>
          <w:p>
            <w:r>
              <w:t>$78B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color w:val="008000"/>
              </w:rPr>
              <w:t>+8.3%</w:t>
            </w:r>
          </w:p>
        </w:tc>
      </w:tr>
      <w:tr>
        <w:tc>
          <w:tcPr>
            <w:tcW w:type="dxa" w:w="2160"/>
          </w:tcPr>
          <w:p>
            <w:r>
              <w:t>IoT</w:t>
            </w:r>
          </w:p>
        </w:tc>
        <w:tc>
          <w:tcPr>
            <w:tcW w:type="dxa" w:w="2160"/>
          </w:tcPr>
          <w:p>
            <w:r>
              <w:t>$45B</w:t>
            </w:r>
          </w:p>
        </w:tc>
        <w:tc>
          <w:tcPr>
            <w:tcW w:type="dxa" w:w="2160"/>
          </w:tcPr>
          <w:p>
            <w:r>
              <w:t>$48B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+6.7%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r>
              <w:t>Blockchain</w:t>
            </w:r>
          </w:p>
        </w:tc>
        <w:tc>
          <w:tcPr>
            <w:tcW w:type="dxa" w:w="2160"/>
            <w:shd w:val="clear" w:color="auto" w:fill="D9E2F3"/>
          </w:tcPr>
          <w:p>
            <w:r>
              <w:t>$12B</w:t>
            </w:r>
          </w:p>
        </w:tc>
        <w:tc>
          <w:tcPr>
            <w:tcW w:type="dxa" w:w="2160"/>
            <w:shd w:val="clear" w:color="auto" w:fill="D9E2F3"/>
          </w:tcPr>
          <w:p>
            <w:r>
              <w:t>$11B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color w:val="FF0000"/>
              </w:rPr>
              <w:t>-8.3%</w:t>
            </w:r>
          </w:p>
        </w:tc>
      </w:tr>
    </w:tbl>
    <w:p>
      <w:pPr>
        <w:pStyle w:val="Heading1"/>
      </w:pPr>
      <w:r>
        <w:t>Key Trends</w:t>
      </w:r>
    </w:p>
    <w:p>
      <w:pPr>
        <w:pStyle w:val="Heading2"/>
      </w:pPr>
      <w:r>
        <w:t>Artificial Intelligence</w:t>
      </w:r>
    </w:p>
    <w:p>
      <w:pPr>
        <w:pStyle w:val="ListBullet"/>
      </w:pPr>
      <w:r>
        <w:t>Large Language Models becoming mainstream</w:t>
      </w:r>
    </w:p>
    <w:p>
      <w:pPr>
        <w:pStyle w:val="ListBullet"/>
      </w:pPr>
      <w:r>
        <w:t>AI-assisted coding tools adoption growing</w:t>
      </w:r>
    </w:p>
    <w:p>
      <w:pPr>
        <w:pStyle w:val="ListBullet"/>
      </w:pPr>
      <w:r>
        <w:t>Regulation frameworks being established</w:t>
      </w:r>
    </w:p>
    <w:p>
      <w:pPr>
        <w:pStyle w:val="Heading2"/>
      </w:pPr>
      <w:r>
        <w:t>Cloud &amp; Infrastructure</w:t>
      </w:r>
    </w:p>
    <w:p>
      <w:pPr>
        <w:pStyle w:val="ListBullet"/>
      </w:pPr>
      <w:r>
        <w:t>Multi-cloud strategies dominating</w:t>
      </w:r>
    </w:p>
    <w:p>
      <w:pPr>
        <w:pStyle w:val="ListBullet"/>
      </w:pPr>
      <w:r>
        <w:t>Serverless architecture expanding</w:t>
      </w:r>
    </w:p>
    <w:p>
      <w:pPr>
        <w:pStyle w:val="ListBullet"/>
      </w:pPr>
      <w:r>
        <w:t>Edge computing gaining traction</w:t>
      </w:r>
    </w:p>
    <w:p>
      <w:pPr>
        <w:pStyle w:val="Heading1"/>
      </w:pPr>
      <w:r>
        <w:t>Visual Summary</w:t>
      </w:r>
    </w:p>
    <w:p>
      <w:r>
        <w:t>Growth indicator (placeholder):</w:t>
      </w:r>
    </w:p>
    <w:p>
      <w:r>
        <w:drawing>
          <wp:inline xmlns:a="http://schemas.openxmlformats.org/drawingml/2006/main" xmlns:pic="http://schemas.openxmlformats.org/drawingml/2006/picture">
            <wp:extent cx="365760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Recommendations</w:t>
      </w:r>
    </w:p>
    <w:p>
      <w:pPr>
        <w:pStyle w:val="ListNumber"/>
      </w:pPr>
      <w:r>
        <w:t>Accelerate AI integration strategy</w:t>
      </w:r>
    </w:p>
    <w:p>
      <w:pPr>
        <w:pStyle w:val="ListNumber"/>
      </w:pPr>
      <w:r>
        <w:t>Diversify cloud vendor dependencies</w:t>
      </w:r>
    </w:p>
    <w:p>
      <w:pPr>
        <w:pStyle w:val="ListNumber"/>
      </w:pPr>
      <w:r>
        <w:t>Invest in employee upskilling programs</w:t>
      </w:r>
    </w:p>
    <w:p>
      <w:pPr>
        <w:pStyle w:val="ListNumber"/>
      </w:pPr>
      <w:r>
        <w:t>Strengthen data governance frameworks</w:t>
      </w:r>
    </w:p>
    <w:p>
      <w:pPr>
        <w:pStyle w:val="ListNumber"/>
      </w:pPr>
      <w:r>
        <w:t>Evaluate emerging quantum computing capabilities</w:t>
      </w:r>
    </w:p>
    <w:p/>
    <w:p>
      <w:pPr>
        <w:jc w:val="center"/>
      </w:pPr>
      <w:r>
        <w:rPr>
          <w:i/>
          <w:color w:val="808080"/>
        </w:rP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