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Newsletter - March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Artificial intelligence continues to reshape the technology landscape. New advances in large language models enable more natural human-computer interaction. Companies worldwide are investing heavily in AI research and development, anticipating transformative impacts across industries from healthcare to manufacturing.</w:t>
            </w:r>
          </w:p>
        </w:tc>
        <w:tc>
          <w:tcPr>
            <w:tcW w:type="dxa" w:w="4320"/>
          </w:tcPr>
          <w:p>
            <w:r>
              <w:t>Cloud computing has become the backbone of modern enterprise IT. Multi-cloud strategies allow organizations to leverage the best features of different providers while avoiding vendor lock-in. Edge computing supplements cloud by processing data closer to its source, reducing latency for critical applications.</w:t>
            </w:r>
          </w:p>
        </w:tc>
      </w:tr>
    </w:tbl>
    <w:p/>
    <w:p>
      <w:pPr>
        <w:pStyle w:val="Heading2"/>
      </w:pPr>
      <w:r>
        <w:t>Featured Article</w:t>
      </w:r>
    </w:p>
    <w:p>
      <w:r>
        <w:t>Open source software has become the foundation of modern software development. Projects like Linux, Kubernetes, and .NET have demonstrated how community-driven development can produce enterprise-grade software. The MiniPdf project itself is an example of this approach, providing PDF generation capabilities without proprietary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