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Survey of Modern PDF Generation Techniques</w:t>
      </w:r>
    </w:p>
    <w:p>
      <w:pPr>
        <w:jc w:val="center"/>
      </w:pPr>
      <w:r>
        <w:t>John Smith, Jane Doe, Robert Johnson</w:t>
      </w:r>
    </w:p>
    <w:p>
      <w:pPr>
        <w:jc w:val="center"/>
      </w:pPr>
      <w:r>
        <w:rPr>
          <w:i/>
          <w:sz w:val="20"/>
        </w:rPr>
        <w:t>Department of Computer Science, University of Technology</w:t>
      </w:r>
    </w:p>
    <w:p/>
    <w:p>
      <w:pPr>
        <w:pStyle w:val="Heading2"/>
      </w:pPr>
      <w:r>
        <w:t>Abstract</w:t>
      </w:r>
    </w:p>
    <w:p>
      <w:pPr>
        <w:ind w:left="720" w:right="720"/>
      </w:pPr>
      <w:r>
        <w:t>This paper surveys modern techniques for generating PDF documents from structured office formats. We evaluate the quality and performance of conversion tools across a benchmark suite of 90 test documents covering diverse formatting features.</w:t>
      </w:r>
    </w:p>
    <w:p>
      <w:pPr>
        <w:pStyle w:val="Heading2"/>
      </w:pPr>
      <w:r>
        <w:t>1. Introduction</w:t>
      </w:r>
    </w:p>
    <w:p>
      <w:r>
        <w:t>PDF (Portable Document Format) remains the standard for sharing documents with consistent visual fidelity. Converting from editable office formats such as DOCX and XLSX to PDF requires careful handling of fonts, layouts, images, and styling attributes.</w:t>
      </w:r>
    </w:p>
    <w:p>
      <w:pPr>
        <w:pStyle w:val="Heading2"/>
      </w:pPr>
      <w:r>
        <w:t>2. Methodology</w:t>
      </w:r>
    </w:p>
    <w:p>
      <w:r>
        <w:t>Our benchmark suite consists of 90 DOCX test files and 90 XLSX test files, each targeting specific formatting features. We compare output from MiniPdf against LibreOffice-generated reference PDFs using pixel-level similarity scoring.</w:t>
      </w:r>
    </w:p>
    <w:p>
      <w:pPr>
        <w:pStyle w:val="Heading2"/>
      </w:pPr>
      <w:r>
        <w:t>3. Results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rPr>
              <w:t>Feature Category</w:t>
            </w:r>
          </w:p>
        </w:tc>
        <w:tc>
          <w:tcPr>
            <w:tcW w:type="dxa" w:w="2880"/>
            <w:shd w:val="clear" w:color="auto" w:fill="2F5496"/>
          </w:tcPr>
          <w:p>
            <w:r>
              <w:rPr>
                <w:b/>
                <w:color w:val="FFFFFF"/>
              </w:rPr>
              <w:t>Avg Score</w:t>
            </w:r>
          </w:p>
        </w:tc>
        <w:tc>
          <w:tcPr>
            <w:tcW w:type="dxa" w:w="2880"/>
            <w:shd w:val="clear" w:color="auto" w:fill="2F5496"/>
          </w:tcPr>
          <w:p>
            <w:r>
              <w:rPr>
                <w:b/>
                <w:color w:val="FFFFFF"/>
              </w:rPr>
              <w:t>Sample Size</w:t>
            </w:r>
          </w:p>
        </w:tc>
      </w:tr>
      <w:tr>
        <w:tc>
          <w:tcPr>
            <w:tcW w:type="dxa" w:w="2880"/>
          </w:tcPr>
          <w:p>
            <w:r>
              <w:t>Basic Text</w:t>
            </w:r>
          </w:p>
        </w:tc>
        <w:tc>
          <w:tcPr>
            <w:tcW w:type="dxa" w:w="2880"/>
          </w:tcPr>
          <w:p>
            <w:r>
              <w:t>98.5%</w:t>
            </w:r>
          </w:p>
        </w:tc>
        <w:tc>
          <w:tcPr>
            <w:tcW w:type="dxa" w:w="2880"/>
          </w:tcPr>
          <w:p>
            <w:r>
              <w:t>20</w:t>
            </w:r>
          </w:p>
        </w:tc>
      </w:tr>
      <w:tr>
        <w:tc>
          <w:tcPr>
            <w:tcW w:type="dxa" w:w="2880"/>
          </w:tcPr>
          <w:p>
            <w:r>
              <w:t>Tables</w:t>
            </w:r>
          </w:p>
        </w:tc>
        <w:tc>
          <w:tcPr>
            <w:tcW w:type="dxa" w:w="2880"/>
          </w:tcPr>
          <w:p>
            <w:r>
              <w:t>96.2%</w:t>
            </w:r>
          </w:p>
        </w:tc>
        <w:tc>
          <w:tcPr>
            <w:tcW w:type="dxa" w:w="2880"/>
          </w:tcPr>
          <w:p>
            <w:r>
              <w:t>25</w:t>
            </w:r>
          </w:p>
        </w:tc>
      </w:tr>
      <w:tr>
        <w:tc>
          <w:tcPr>
            <w:tcW w:type="dxa" w:w="2880"/>
          </w:tcPr>
          <w:p>
            <w:r>
              <w:t>Images</w:t>
            </w:r>
          </w:p>
        </w:tc>
        <w:tc>
          <w:tcPr>
            <w:tcW w:type="dxa" w:w="2880"/>
          </w:tcPr>
          <w:p>
            <w:r>
              <w:t>94.8%</w:t>
            </w:r>
          </w:p>
        </w:tc>
        <w:tc>
          <w:tcPr>
            <w:tcW w:type="dxa" w:w="2880"/>
          </w:tcPr>
          <w:p>
            <w:r>
              <w:t>15</w:t>
            </w:r>
          </w:p>
        </w:tc>
      </w:tr>
      <w:tr>
        <w:tc>
          <w:tcPr>
            <w:tcW w:type="dxa" w:w="2880"/>
          </w:tcPr>
          <w:p>
            <w:r>
              <w:t>Mixed Content</w:t>
            </w:r>
          </w:p>
        </w:tc>
        <w:tc>
          <w:tcPr>
            <w:tcW w:type="dxa" w:w="2880"/>
          </w:tcPr>
          <w:p>
            <w:r>
              <w:t>95.1%</w:t>
            </w:r>
          </w:p>
        </w:tc>
        <w:tc>
          <w:tcPr>
            <w:tcW w:type="dxa" w:w="2880"/>
          </w:tcPr>
          <w:p>
            <w:r>
              <w:t>30</w:t>
            </w:r>
          </w:p>
        </w:tc>
      </w:tr>
    </w:tbl>
    <w:p>
      <w:pPr>
        <w:pStyle w:val="Heading2"/>
      </w:pPr>
      <w:r>
        <w:t>4. Conclusion</w:t>
      </w:r>
    </w:p>
    <w:p>
      <w:r>
        <w:t>Modern lightweight PDF generation libraries can achieve high fidelity output for the majority of common document formatting features.</w:t>
      </w:r>
    </w:p>
    <w:p>
      <w:pPr>
        <w:pStyle w:val="Heading2"/>
      </w:pPr>
      <w:r>
        <w:t>References</w:t>
      </w:r>
    </w:p>
    <w:p>
      <w:pPr>
        <w:ind w:left="432"/>
      </w:pPr>
      <w:r>
        <w:rPr>
          <w:sz w:val="20"/>
        </w:rPr>
        <w:t>[1] ISO 32000-2:2020. Document management - Portable document format.</w:t>
      </w:r>
    </w:p>
    <w:p>
      <w:pPr>
        <w:ind w:left="432"/>
      </w:pPr>
      <w:r>
        <w:rPr>
          <w:sz w:val="20"/>
        </w:rPr>
        <w:t>[2] ECMA-376. Office Open XML File Formats.</w:t>
      </w:r>
    </w:p>
    <w:p>
      <w:pPr>
        <w:ind w:left="432"/>
      </w:pPr>
      <w:r>
        <w:rPr>
          <w:sz w:val="20"/>
        </w:rPr>
        <w:t>[3] Smith et al. (2025). Benchmark-driven development for document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