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Budget Report - FY2026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Category / Item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Budget ($)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% of Total</w:t>
            </w:r>
          </w:p>
        </w:tc>
      </w:tr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Personnel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610,000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58.4%</w:t>
            </w:r>
          </w:p>
        </w:tc>
      </w:tr>
      <w:tr>
        <w:tc>
          <w:tcPr>
            <w:tcW w:type="dxa" w:w="2880"/>
          </w:tcPr>
          <w:p>
            <w:r>
              <w:t xml:space="preserve">    Salaries</w:t>
            </w:r>
          </w:p>
        </w:tc>
        <w:tc>
          <w:tcPr>
            <w:tcW w:type="dxa" w:w="2880"/>
          </w:tcPr>
          <w:p>
            <w:r>
              <w:t>450,000</w:t>
            </w:r>
          </w:p>
        </w:tc>
        <w:tc>
          <w:tcPr>
            <w:tcW w:type="dxa" w:w="2880"/>
          </w:tcPr>
          <w:p>
            <w:r>
              <w:t>43.1%</w:t>
            </w:r>
          </w:p>
        </w:tc>
      </w:tr>
      <w:tr>
        <w:tc>
          <w:tcPr>
            <w:tcW w:type="dxa" w:w="2880"/>
          </w:tcPr>
          <w:p>
            <w:r>
              <w:t xml:space="preserve">    Benefits</w:t>
            </w:r>
          </w:p>
        </w:tc>
        <w:tc>
          <w:tcPr>
            <w:tcW w:type="dxa" w:w="2880"/>
          </w:tcPr>
          <w:p>
            <w:r>
              <w:t>135,000</w:t>
            </w:r>
          </w:p>
        </w:tc>
        <w:tc>
          <w:tcPr>
            <w:tcW w:type="dxa" w:w="2880"/>
          </w:tcPr>
          <w:p>
            <w:r>
              <w:t>12.9%</w:t>
            </w:r>
          </w:p>
        </w:tc>
      </w:tr>
      <w:tr>
        <w:tc>
          <w:tcPr>
            <w:tcW w:type="dxa" w:w="2880"/>
          </w:tcPr>
          <w:p>
            <w:r>
              <w:t xml:space="preserve">    Training</w:t>
            </w:r>
          </w:p>
        </w:tc>
        <w:tc>
          <w:tcPr>
            <w:tcW w:type="dxa" w:w="2880"/>
          </w:tcPr>
          <w:p>
            <w:r>
              <w:t>25,000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Infrastructure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197,000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18.9%</w:t>
            </w:r>
          </w:p>
        </w:tc>
      </w:tr>
      <w:tr>
        <w:tc>
          <w:tcPr>
            <w:tcW w:type="dxa" w:w="2880"/>
          </w:tcPr>
          <w:p>
            <w:r>
              <w:t xml:space="preserve">    Cloud Services</w:t>
            </w:r>
          </w:p>
        </w:tc>
        <w:tc>
          <w:tcPr>
            <w:tcW w:type="dxa" w:w="2880"/>
          </w:tcPr>
          <w:p>
            <w:r>
              <w:t>120,000</w:t>
            </w:r>
          </w:p>
        </w:tc>
        <w:tc>
          <w:tcPr>
            <w:tcW w:type="dxa" w:w="2880"/>
          </w:tcPr>
          <w:p>
            <w:r>
              <w:t>11.5%</w:t>
            </w:r>
          </w:p>
        </w:tc>
      </w:tr>
      <w:tr>
        <w:tc>
          <w:tcPr>
            <w:tcW w:type="dxa" w:w="2880"/>
          </w:tcPr>
          <w:p>
            <w:r>
              <w:t xml:space="preserve">    Hardware</w:t>
            </w:r>
          </w:p>
        </w:tc>
        <w:tc>
          <w:tcPr>
            <w:tcW w:type="dxa" w:w="2880"/>
          </w:tcPr>
          <w:p>
            <w:r>
              <w:t>45,000</w:t>
            </w:r>
          </w:p>
        </w:tc>
        <w:tc>
          <w:tcPr>
            <w:tcW w:type="dxa" w:w="2880"/>
          </w:tcPr>
          <w:p>
            <w:r>
              <w:t>4.3%</w:t>
            </w:r>
          </w:p>
        </w:tc>
      </w:tr>
      <w:tr>
        <w:tc>
          <w:tcPr>
            <w:tcW w:type="dxa" w:w="2880"/>
          </w:tcPr>
          <w:p>
            <w:r>
              <w:t xml:space="preserve">    Licenses</w:t>
            </w:r>
          </w:p>
        </w:tc>
        <w:tc>
          <w:tcPr>
            <w:tcW w:type="dxa" w:w="2880"/>
          </w:tcPr>
          <w:p>
            <w:r>
              <w:t>32,000</w:t>
            </w:r>
          </w:p>
        </w:tc>
        <w:tc>
          <w:tcPr>
            <w:tcW w:type="dxa" w:w="2880"/>
          </w:tcPr>
          <w:p>
            <w:r>
              <w:t>3.1%</w:t>
            </w:r>
          </w:p>
        </w:tc>
      </w:tr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Operations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122,000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11.7%</w:t>
            </w:r>
          </w:p>
        </w:tc>
      </w:tr>
      <w:tr>
        <w:tc>
          <w:tcPr>
            <w:tcW w:type="dxa" w:w="2880"/>
          </w:tcPr>
          <w:p>
            <w:r>
              <w:t xml:space="preserve">    Office Rent</w:t>
            </w:r>
          </w:p>
        </w:tc>
        <w:tc>
          <w:tcPr>
            <w:tcW w:type="dxa" w:w="2880"/>
          </w:tcPr>
          <w:p>
            <w:r>
              <w:t>96,000</w:t>
            </w:r>
          </w:p>
        </w:tc>
        <w:tc>
          <w:tcPr>
            <w:tcW w:type="dxa" w:w="2880"/>
          </w:tcPr>
          <w:p>
            <w:r>
              <w:t>9.2%</w:t>
            </w:r>
          </w:p>
        </w:tc>
      </w:tr>
      <w:tr>
        <w:tc>
          <w:tcPr>
            <w:tcW w:type="dxa" w:w="2880"/>
          </w:tcPr>
          <w:p>
            <w:r>
              <w:t xml:space="preserve">    Utilities</w:t>
            </w:r>
          </w:p>
        </w:tc>
        <w:tc>
          <w:tcPr>
            <w:tcW w:type="dxa" w:w="2880"/>
          </w:tcPr>
          <w:p>
            <w:r>
              <w:t>18,000</w:t>
            </w:r>
          </w:p>
        </w:tc>
        <w:tc>
          <w:tcPr>
            <w:tcW w:type="dxa" w:w="2880"/>
          </w:tcPr>
          <w:p>
            <w:r>
              <w:t>1.7%</w:t>
            </w:r>
          </w:p>
        </w:tc>
      </w:tr>
      <w:tr>
        <w:tc>
          <w:tcPr>
            <w:tcW w:type="dxa" w:w="2880"/>
          </w:tcPr>
          <w:p>
            <w:r>
              <w:t xml:space="preserve">    Supplies</w:t>
            </w:r>
          </w:p>
        </w:tc>
        <w:tc>
          <w:tcPr>
            <w:tcW w:type="dxa" w:w="2880"/>
          </w:tcPr>
          <w:p>
            <w:r>
              <w:t>8,000</w:t>
            </w:r>
          </w:p>
        </w:tc>
        <w:tc>
          <w:tcPr>
            <w:tcW w:type="dxa" w:w="2880"/>
          </w:tcPr>
          <w:p>
            <w:r>
              <w:t>0.8%</w:t>
            </w:r>
          </w:p>
        </w:tc>
      </w:tr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Marketing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115,000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11.0%</w:t>
            </w:r>
          </w:p>
        </w:tc>
      </w:tr>
      <w:tr>
        <w:tc>
          <w:tcPr>
            <w:tcW w:type="dxa" w:w="2880"/>
          </w:tcPr>
          <w:p>
            <w:r>
              <w:t xml:space="preserve">    Digital Ads</w:t>
            </w:r>
          </w:p>
        </w:tc>
        <w:tc>
          <w:tcPr>
            <w:tcW w:type="dxa" w:w="2880"/>
          </w:tcPr>
          <w:p>
            <w:r>
              <w:t>60,000</w:t>
            </w:r>
          </w:p>
        </w:tc>
        <w:tc>
          <w:tcPr>
            <w:tcW w:type="dxa" w:w="2880"/>
          </w:tcPr>
          <w:p>
            <w:r>
              <w:t>5.7%</w:t>
            </w:r>
          </w:p>
        </w:tc>
      </w:tr>
      <w:tr>
        <w:tc>
          <w:tcPr>
            <w:tcW w:type="dxa" w:w="2880"/>
          </w:tcPr>
          <w:p>
            <w:r>
              <w:t xml:space="preserve">    Events</w:t>
            </w:r>
          </w:p>
        </w:tc>
        <w:tc>
          <w:tcPr>
            <w:tcW w:type="dxa" w:w="2880"/>
          </w:tcPr>
          <w:p>
            <w:r>
              <w:t>35,000</w:t>
            </w:r>
          </w:p>
        </w:tc>
        <w:tc>
          <w:tcPr>
            <w:tcW w:type="dxa" w:w="2880"/>
          </w:tcPr>
          <w:p>
            <w:r>
              <w:t>3.4%</w:t>
            </w:r>
          </w:p>
        </w:tc>
      </w:tr>
      <w:tr>
        <w:tc>
          <w:tcPr>
            <w:tcW w:type="dxa" w:w="2880"/>
          </w:tcPr>
          <w:p>
            <w:r>
              <w:t xml:space="preserve">    Content</w:t>
            </w:r>
          </w:p>
        </w:tc>
        <w:tc>
          <w:tcPr>
            <w:tcW w:type="dxa" w:w="2880"/>
          </w:tcPr>
          <w:p>
            <w:r>
              <w:t>20,000</w:t>
            </w:r>
          </w:p>
        </w:tc>
        <w:tc>
          <w:tcPr>
            <w:tcW w:type="dxa" w:w="2880"/>
          </w:tcPr>
          <w:p>
            <w:r>
              <w:t>1.9%</w:t>
            </w:r>
          </w:p>
        </w:tc>
      </w:tr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GRAND TOTAL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1,044,000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100.0%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