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Bibliography</w:t>
      </w:r>
    </w:p>
    <w:p/>
    <w:p>
      <w:pPr>
        <w:ind w:left="720" w:hanging="720"/>
      </w:pPr>
      <w:r>
        <w:rPr>
          <w:b/>
        </w:rPr>
        <w:t xml:space="preserve">[1] </w:t>
      </w:r>
      <w:r>
        <w:t xml:space="preserve">Smith, J., &amp; Johnson, R. (2025). </w:t>
      </w:r>
      <w:r>
        <w:rPr>
          <w:i/>
        </w:rPr>
        <w:t xml:space="preserve">Modern Document Processing: A Comprehensive Survey. </w:t>
      </w:r>
      <w:r>
        <w:t>Journal of Software Engineering</w:t>
      </w:r>
      <w:r>
        <w:t>, 42(3), 125-148.</w:t>
      </w:r>
    </w:p>
    <w:p>
      <w:pPr>
        <w:ind w:left="720" w:hanging="720"/>
      </w:pPr>
      <w:r>
        <w:rPr>
          <w:b/>
        </w:rPr>
        <w:t xml:space="preserve">[2] </w:t>
      </w:r>
      <w:r>
        <w:t xml:space="preserve">Chen, L., Wang, M., &amp; Liu, X. (2024). </w:t>
      </w:r>
      <w:r>
        <w:rPr>
          <w:i/>
        </w:rPr>
        <w:t xml:space="preserve">Benchmarking PDF Generation Libraries: Quality and Performance. </w:t>
      </w:r>
      <w:r>
        <w:t>ACM Computing Surveys</w:t>
      </w:r>
      <w:r>
        <w:t>, 57(1), 1-35.</w:t>
      </w:r>
    </w:p>
    <w:p>
      <w:pPr>
        <w:ind w:left="720" w:hanging="720"/>
      </w:pPr>
      <w:r>
        <w:rPr>
          <w:b/>
        </w:rPr>
        <w:t xml:space="preserve">[3] </w:t>
      </w:r>
      <w:r>
        <w:t xml:space="preserve">Brown, A. (2025). </w:t>
      </w:r>
      <w:r>
        <w:rPr>
          <w:i/>
        </w:rPr>
        <w:t xml:space="preserve">Office Open XML: Architecture and Implementation. </w:t>
      </w:r>
      <w:r>
        <w:t>IEEE Transactions on Document Analysis</w:t>
      </w:r>
      <w:r>
        <w:t>, 28(4), 890-905.</w:t>
      </w:r>
    </w:p>
    <w:p>
      <w:pPr>
        <w:ind w:left="720" w:hanging="720"/>
      </w:pPr>
      <w:r>
        <w:rPr>
          <w:b/>
        </w:rPr>
        <w:t xml:space="preserve">[4] </w:t>
      </w:r>
      <w:r>
        <w:t xml:space="preserve">ISO (2020). </w:t>
      </w:r>
      <w:r>
        <w:rPr>
          <w:i/>
        </w:rPr>
        <w:t xml:space="preserve">ISO 32000-2:2020 Document Management - Portable Document Format. </w:t>
      </w:r>
      <w:r>
        <w:t>International Organization for Standardization</w:t>
      </w:r>
      <w:r>
        <w:t>.</w:t>
      </w:r>
    </w:p>
    <w:p>
      <w:pPr>
        <w:ind w:left="720" w:hanging="720"/>
      </w:pPr>
      <w:r>
        <w:rPr>
          <w:b/>
        </w:rPr>
        <w:t xml:space="preserve">[5] </w:t>
      </w:r>
      <w:r>
        <w:t xml:space="preserve">ECMA International (2016). </w:t>
      </w:r>
      <w:r>
        <w:rPr>
          <w:i/>
        </w:rPr>
        <w:t xml:space="preserve">ECMA-376: Office Open XML File Formats. </w:t>
      </w:r>
      <w:r>
        <w:t>ECMA International</w:t>
      </w:r>
      <w:r>
        <w:t>, 5th Edition.</w:t>
      </w:r>
    </w:p>
    <w:p>
      <w:pPr>
        <w:ind w:left="720" w:hanging="720"/>
      </w:pPr>
      <w:r>
        <w:rPr>
          <w:b/>
        </w:rPr>
        <w:t xml:space="preserve">[6] </w:t>
      </w:r>
      <w:r>
        <w:t xml:space="preserve">Davis, K., &amp; Martinez, S. (2024). </w:t>
      </w:r>
      <w:r>
        <w:rPr>
          <w:i/>
        </w:rPr>
        <w:t xml:space="preserve">AI-Driven Code Review: Patterns and Anti-Patterns. </w:t>
      </w:r>
      <w:r>
        <w:t>Proceedings of ICSE 2024</w:t>
      </w:r>
      <w:r>
        <w:t>, pp. 445-460.</w:t>
      </w:r>
    </w:p>
    <w:p>
      <w:pPr>
        <w:ind w:left="720" w:hanging="720"/>
      </w:pPr>
      <w:r>
        <w:rPr>
          <w:b/>
        </w:rPr>
        <w:t xml:space="preserve">[7] </w:t>
      </w:r>
      <w:r>
        <w:t xml:space="preserve">Taylor, P. (2025). </w:t>
      </w:r>
      <w:r>
        <w:rPr>
          <w:i/>
        </w:rPr>
        <w:t xml:space="preserve">CJK Font Embedding in Portable Documents. </w:t>
      </w:r>
      <w:r>
        <w:t>International Journal of Digital Typography</w:t>
      </w:r>
      <w:r>
        <w:t>, 15(2), 78-92.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