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2F5496"/>
          <w:sz w:val="56"/>
        </w:rPr>
        <w:t>MINIPDF CORPORATION</w:t>
      </w:r>
    </w:p>
    <w:p>
      <w:pPr>
        <w:jc w:val="center"/>
      </w:pPr>
      <w:r>
        <w:rPr>
          <w:sz w:val="36"/>
        </w:rPr>
        <w:t>Annual Report 2025-2026</w:t>
      </w:r>
    </w:p>
    <w:p>
      <w:r>
        <w:drawing>
          <wp:inline xmlns:a="http://schemas.openxmlformats.org/drawingml/2006/main" xmlns:pic="http://schemas.openxmlformats.org/drawingml/2006/picture">
            <wp:extent cx="4572000" cy="1714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1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</w:rPr>
        <w:t>Published: March 2026</w:t>
      </w:r>
    </w:p>
    <w:p/>
    <w:p>
      <w:r>
        <w:br w:type="page"/>
      </w:r>
    </w:p>
    <w:p>
      <w:pPr>
        <w:pStyle w:val="Heading1"/>
      </w:pPr>
      <w:r>
        <w:t>Table of Contents</w:t>
      </w:r>
    </w:p>
    <w:p>
      <w:r>
        <w:t>Executive Summary</w:t>
      </w:r>
      <w:r>
        <w:t>.................................2</w:t>
      </w:r>
    </w:p>
    <w:p>
      <w:r>
        <w:t>Financial Highlights</w:t>
      </w:r>
      <w:r>
        <w:t>..............................3</w:t>
      </w:r>
    </w:p>
    <w:p>
      <w:r>
        <w:t>Product Development</w:t>
      </w:r>
      <w:r>
        <w:t>...............................5</w:t>
      </w:r>
    </w:p>
    <w:p>
      <w:r>
        <w:t>Market Analysis</w:t>
      </w:r>
      <w:r>
        <w:t>...................................7</w:t>
      </w:r>
    </w:p>
    <w:p>
      <w:r>
        <w:t>Team &amp; Organization</w:t>
      </w:r>
      <w:r>
        <w:t>...............................9</w:t>
      </w:r>
    </w:p>
    <w:p>
      <w:r>
        <w:t>Outlook &amp; Strategy</w:t>
      </w:r>
      <w:r>
        <w:t>................................10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rPr>
          <w:b/>
        </w:rPr>
        <w:t xml:space="preserve">Dear Stakeholders, </w:t>
      </w:r>
      <w:r>
        <w:t>We are pleased to present the annual report for MiniPdf Corporation. This year marked significant milestones in our product development, including the launch of DOCX-to-PDF conversion and expansion of our benchmark suite to 180 test cases.</w:t>
      </w:r>
    </w:p>
    <w:p>
      <w:pPr>
        <w:pStyle w:val="Heading2"/>
      </w:pPr>
      <w:r>
        <w:t>Key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548235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Revenue</w:t>
              <w:br/>
              <w:t>$2.4M</w:t>
            </w:r>
          </w:p>
        </w:tc>
        <w:tc>
          <w:tcPr>
            <w:tcW w:type="dxa" w:w="216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Users</w:t>
              <w:br/>
              <w:t>12,500</w:t>
            </w:r>
          </w:p>
        </w:tc>
        <w:tc>
          <w:tcPr>
            <w:tcW w:type="dxa" w:w="2160"/>
            <w:shd w:val="clear" w:color="auto" w:fill="BF8F00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Test Cases</w:t>
              <w:br/>
              <w:t>180</w:t>
            </w:r>
          </w:p>
        </w:tc>
        <w:tc>
          <w:tcPr>
            <w:tcW w:type="dxa" w:w="2160"/>
            <w:shd w:val="clear" w:color="auto" w:fill="7030A0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Quality Score</w:t>
              <w:br/>
              <w:t>97.2%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008000"/>
              </w:rPr>
              <w:t>+45%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008000"/>
              </w:rPr>
              <w:t>+120%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008000"/>
              </w:rPr>
              <w:t>+200%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008000"/>
              </w:rPr>
              <w:t>+5.1%</w:t>
            </w:r>
          </w:p>
        </w:tc>
      </w:tr>
    </w:tbl>
    <w:p/>
    <w:p>
      <w:pPr>
        <w:pStyle w:val="Heading1"/>
      </w:pPr>
      <w:r>
        <w:t>Financial Highlights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</w:rPr>
              <w:t>FY2024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</w:rPr>
              <w:t>FY2025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</w:rPr>
              <w:t>FY2026</w:t>
            </w:r>
          </w:p>
        </w:tc>
      </w:tr>
      <w:tr>
        <w:tc>
          <w:tcPr>
            <w:tcW w:type="dxa" w:w="2160"/>
          </w:tcPr>
          <w:p>
            <w:r>
              <w:t>Revenue</w:t>
            </w:r>
          </w:p>
        </w:tc>
        <w:tc>
          <w:tcPr>
            <w:tcW w:type="dxa" w:w="2160"/>
          </w:tcPr>
          <w:p>
            <w:r>
              <w:t>$800K</w:t>
            </w:r>
          </w:p>
        </w:tc>
        <w:tc>
          <w:tcPr>
            <w:tcW w:type="dxa" w:w="2160"/>
          </w:tcPr>
          <w:p>
            <w:r>
              <w:t>$1.6M</w:t>
            </w:r>
          </w:p>
        </w:tc>
        <w:tc>
          <w:tcPr>
            <w:tcW w:type="dxa" w:w="2160"/>
          </w:tcPr>
          <w:p>
            <w:r>
              <w:t>$2.4M</w:t>
            </w:r>
          </w:p>
        </w:tc>
      </w:tr>
      <w:tr>
        <w:tc>
          <w:tcPr>
            <w:tcW w:type="dxa" w:w="2160"/>
          </w:tcPr>
          <w:p>
            <w:r>
              <w:t>Expenses</w:t>
            </w:r>
          </w:p>
        </w:tc>
        <w:tc>
          <w:tcPr>
            <w:tcW w:type="dxa" w:w="2160"/>
          </w:tcPr>
          <w:p>
            <w:r>
              <w:t>$650K</w:t>
            </w:r>
          </w:p>
        </w:tc>
        <w:tc>
          <w:tcPr>
            <w:tcW w:type="dxa" w:w="2160"/>
          </w:tcPr>
          <w:p>
            <w:r>
              <w:t>$1.1M</w:t>
            </w:r>
          </w:p>
        </w:tc>
        <w:tc>
          <w:tcPr>
            <w:tcW w:type="dxa" w:w="2160"/>
          </w:tcPr>
          <w:p>
            <w:r>
              <w:t>$1.5M</w:t>
            </w:r>
          </w:p>
        </w:tc>
      </w:tr>
      <w:tr>
        <w:tc>
          <w:tcPr>
            <w:tcW w:type="dxa" w:w="2160"/>
            <w:shd w:val="clear" w:color="auto" w:fill="E2EFDA"/>
          </w:tcPr>
          <w:p>
            <w:r>
              <w:rPr>
                <w:b/>
              </w:rPr>
              <w:t>Net Income</w:t>
            </w:r>
          </w:p>
        </w:tc>
        <w:tc>
          <w:tcPr>
            <w:tcW w:type="dxa" w:w="2160"/>
            <w:shd w:val="clear" w:color="auto" w:fill="E2EFDA"/>
          </w:tcPr>
          <w:p>
            <w:r>
              <w:rPr>
                <w:b/>
              </w:rPr>
              <w:t>$150K</w:t>
            </w:r>
          </w:p>
        </w:tc>
        <w:tc>
          <w:tcPr>
            <w:tcW w:type="dxa" w:w="2160"/>
            <w:shd w:val="clear" w:color="auto" w:fill="E2EFDA"/>
          </w:tcPr>
          <w:p>
            <w:r>
              <w:rPr>
                <w:b/>
              </w:rPr>
              <w:t>$500K</w:t>
            </w:r>
          </w:p>
        </w:tc>
        <w:tc>
          <w:tcPr>
            <w:tcW w:type="dxa" w:w="2160"/>
            <w:shd w:val="clear" w:color="auto" w:fill="E2EFDA"/>
          </w:tcPr>
          <w:p>
            <w:r>
              <w:rPr>
                <w:b/>
              </w:rPr>
              <w:t>$900K</w:t>
            </w:r>
          </w:p>
        </w:tc>
      </w:tr>
      <w:tr>
        <w:tc>
          <w:tcPr>
            <w:tcW w:type="dxa" w:w="2160"/>
          </w:tcPr>
          <w:p>
            <w:r>
              <w:t>R&amp;D Investment</w:t>
            </w:r>
          </w:p>
        </w:tc>
        <w:tc>
          <w:tcPr>
            <w:tcW w:type="dxa" w:w="2160"/>
          </w:tcPr>
          <w:p>
            <w:r>
              <w:t>$200K</w:t>
            </w:r>
          </w:p>
        </w:tc>
        <w:tc>
          <w:tcPr>
            <w:tcW w:type="dxa" w:w="2160"/>
          </w:tcPr>
          <w:p>
            <w:r>
              <w:t>$400K</w:t>
            </w:r>
          </w:p>
        </w:tc>
        <w:tc>
          <w:tcPr>
            <w:tcW w:type="dxa" w:w="2160"/>
          </w:tcPr>
          <w:p>
            <w:r>
              <w:t>$600K</w:t>
            </w:r>
          </w:p>
        </w:tc>
      </w:tr>
      <w:tr>
        <w:tc>
          <w:tcPr>
            <w:tcW w:type="dxa" w:w="2160"/>
          </w:tcPr>
          <w:p>
            <w:r>
              <w:t>Headcount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25</w:t>
            </w:r>
          </w:p>
        </w:tc>
      </w:tr>
    </w:tbl>
    <w:p>
      <w:pPr>
        <w:pStyle w:val="Heading1"/>
      </w:pPr>
      <w:r>
        <w:t>Product Development</w:t>
      </w:r>
    </w:p>
    <w:p>
      <w:pPr>
        <w:pStyle w:val="Heading2"/>
      </w:pPr>
      <w:r>
        <w:t>Milestones Achieved</w:t>
      </w:r>
    </w:p>
    <w:p>
      <w:pPr>
        <w:pStyle w:val="ListBullet"/>
      </w:pPr>
      <w:r>
        <w:t>XLSX-to-PDF conversion with chart support</w:t>
      </w:r>
    </w:p>
    <w:p>
      <w:pPr>
        <w:pStyle w:val="ListBullet"/>
      </w:pPr>
      <w:r>
        <w:t>DOCX-to-PDF conversion achieving 97% quality score</w:t>
      </w:r>
    </w:p>
    <w:p>
      <w:pPr>
        <w:pStyle w:val="ListBullet"/>
      </w:pPr>
      <w:r>
        <w:t>CJK font embedding for Chinese, Japanese, and Korean</w:t>
      </w:r>
    </w:p>
    <w:p>
      <w:pPr>
        <w:pStyle w:val="ListBullet"/>
      </w:pPr>
      <w:r>
        <w:t>Automated benchmark pipeline with 180 test cases</w:t>
      </w:r>
    </w:p>
    <w:p>
      <w:pPr>
        <w:pStyle w:val="ListBullet"/>
      </w:pPr>
      <w:r>
        <w:t>AI-powered code review integration</w:t>
      </w:r>
    </w:p>
    <w:p>
      <w:pPr>
        <w:pStyle w:val="Heading2"/>
      </w:pPr>
      <w:r>
        <w:t>Quality Metrics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Outlook &amp; Strategy</w:t>
      </w:r>
    </w:p>
    <w:p>
      <w:pPr>
        <w:pStyle w:val="ListNumber"/>
      </w:pPr>
      <w:r>
        <w:t>Expand format support to include PPTX</w:t>
      </w:r>
    </w:p>
    <w:p>
      <w:pPr>
        <w:pStyle w:val="ListNumber"/>
      </w:pPr>
      <w:r>
        <w:t>Achieve 99% average quality score</w:t>
      </w:r>
    </w:p>
    <w:p>
      <w:pPr>
        <w:pStyle w:val="ListNumber"/>
      </w:pPr>
      <w:r>
        <w:t>Release v2.0 on NuGet with full documentation</w:t>
      </w:r>
    </w:p>
    <w:p>
      <w:pPr>
        <w:pStyle w:val="ListNumber"/>
      </w:pPr>
      <w:r>
        <w:t>Build enterprise partnerships</w:t>
      </w:r>
    </w:p>
    <w:p>
      <w:pPr>
        <w:pStyle w:val="ListNumber"/>
      </w:pPr>
      <w:r>
        <w:t>Establish community contributor program</w:t>
      </w:r>
    </w:p>
    <w:p/>
    <w:p>
      <w:pPr>
        <w:jc w:val="center"/>
      </w:pPr>
      <w:r>
        <w:rPr>
          <w:i/>
          <w:color w:val="808080"/>
        </w:rPr>
        <w:t>--- End of Annual Report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