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Landscape Page Layout</w:t>
      </w:r>
    </w:p>
    <w:p>
      <w:r>
        <w:t>This document uses landscape orientation, commonly used for wide tables, charts, and presentation-style content.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Q1 Jan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Q1 Feb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Q1 Mar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Q2 Apr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Q2 May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Q2 Jun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Q3 Jul</w:t>
            </w:r>
          </w:p>
        </w:tc>
        <w:tc>
          <w:tcPr>
            <w:tcW w:type="dxa" w:w="153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Q3 Aug</w:t>
            </w:r>
          </w:p>
        </w:tc>
      </w:tr>
      <w:tr>
        <w:tc>
          <w:tcPr>
            <w:tcW w:type="dxa" w:w="1530"/>
          </w:tcPr>
          <w:p>
            <w:r>
              <w:t>$20K</w:t>
            </w:r>
          </w:p>
        </w:tc>
        <w:tc>
          <w:tcPr>
            <w:tcW w:type="dxa" w:w="1530"/>
          </w:tcPr>
          <w:p>
            <w:r>
              <w:t>$85K</w:t>
            </w:r>
          </w:p>
        </w:tc>
        <w:tc>
          <w:tcPr>
            <w:tcW w:type="dxa" w:w="1530"/>
          </w:tcPr>
          <w:p>
            <w:r>
              <w:t>$32K</w:t>
            </w:r>
          </w:p>
        </w:tc>
        <w:tc>
          <w:tcPr>
            <w:tcW w:type="dxa" w:w="1530"/>
          </w:tcPr>
          <w:p>
            <w:r>
              <w:t>$97K</w:t>
            </w:r>
          </w:p>
        </w:tc>
        <w:tc>
          <w:tcPr>
            <w:tcW w:type="dxa" w:w="1530"/>
          </w:tcPr>
          <w:p>
            <w:r>
              <w:t>$96K</w:t>
            </w:r>
          </w:p>
        </w:tc>
        <w:tc>
          <w:tcPr>
            <w:tcW w:type="dxa" w:w="1530"/>
          </w:tcPr>
          <w:p>
            <w:r>
              <w:t>$30K</w:t>
            </w:r>
          </w:p>
        </w:tc>
        <w:tc>
          <w:tcPr>
            <w:tcW w:type="dxa" w:w="1530"/>
          </w:tcPr>
          <w:p>
            <w:r>
              <w:t>$61K</w:t>
            </w:r>
          </w:p>
        </w:tc>
        <w:tc>
          <w:tcPr>
            <w:tcW w:type="dxa" w:w="1530"/>
          </w:tcPr>
          <w:p>
            <w:r>
              <w:t>$68K</w:t>
            </w:r>
          </w:p>
        </w:tc>
      </w:tr>
      <w:tr>
        <w:tc>
          <w:tcPr>
            <w:tcW w:type="dxa" w:w="1530"/>
          </w:tcPr>
          <w:p>
            <w:r>
              <w:t>$66K</w:t>
            </w:r>
          </w:p>
        </w:tc>
        <w:tc>
          <w:tcPr>
            <w:tcW w:type="dxa" w:w="1530"/>
          </w:tcPr>
          <w:p>
            <w:r>
              <w:t>$69K</w:t>
            </w:r>
          </w:p>
        </w:tc>
        <w:tc>
          <w:tcPr>
            <w:tcW w:type="dxa" w:w="1530"/>
          </w:tcPr>
          <w:p>
            <w:r>
              <w:t>$68K</w:t>
            </w:r>
          </w:p>
        </w:tc>
        <w:tc>
          <w:tcPr>
            <w:tcW w:type="dxa" w:w="1530"/>
          </w:tcPr>
          <w:p>
            <w:r>
              <w:t>$42K</w:t>
            </w:r>
          </w:p>
        </w:tc>
        <w:tc>
          <w:tcPr>
            <w:tcW w:type="dxa" w:w="1530"/>
          </w:tcPr>
          <w:p>
            <w:r>
              <w:t>$41K</w:t>
            </w:r>
          </w:p>
        </w:tc>
        <w:tc>
          <w:tcPr>
            <w:tcW w:type="dxa" w:w="1530"/>
          </w:tcPr>
          <w:p>
            <w:r>
              <w:t>$34K</w:t>
            </w:r>
          </w:p>
        </w:tc>
        <w:tc>
          <w:tcPr>
            <w:tcW w:type="dxa" w:w="1530"/>
          </w:tcPr>
          <w:p>
            <w:r>
              <w:t>$87K</w:t>
            </w:r>
          </w:p>
        </w:tc>
        <w:tc>
          <w:tcPr>
            <w:tcW w:type="dxa" w:w="1530"/>
          </w:tcPr>
          <w:p>
            <w:r>
              <w:t>$57K</w:t>
            </w:r>
          </w:p>
        </w:tc>
      </w:tr>
      <w:tr>
        <w:tc>
          <w:tcPr>
            <w:tcW w:type="dxa" w:w="1530"/>
          </w:tcPr>
          <w:p>
            <w:r>
              <w:t>$72K</w:t>
            </w:r>
          </w:p>
        </w:tc>
        <w:tc>
          <w:tcPr>
            <w:tcW w:type="dxa" w:w="1530"/>
          </w:tcPr>
          <w:p>
            <w:r>
              <w:t>$37K</w:t>
            </w:r>
          </w:p>
        </w:tc>
        <w:tc>
          <w:tcPr>
            <w:tcW w:type="dxa" w:w="1530"/>
          </w:tcPr>
          <w:p>
            <w:r>
              <w:t>$37K</w:t>
            </w:r>
          </w:p>
        </w:tc>
        <w:tc>
          <w:tcPr>
            <w:tcW w:type="dxa" w:w="1530"/>
          </w:tcPr>
          <w:p>
            <w:r>
              <w:t>$59K</w:t>
            </w:r>
          </w:p>
        </w:tc>
        <w:tc>
          <w:tcPr>
            <w:tcW w:type="dxa" w:w="1530"/>
          </w:tcPr>
          <w:p>
            <w:r>
              <w:t>$21K</w:t>
            </w:r>
          </w:p>
        </w:tc>
        <w:tc>
          <w:tcPr>
            <w:tcW w:type="dxa" w:w="1530"/>
          </w:tcPr>
          <w:p>
            <w:r>
              <w:t>$21K</w:t>
            </w:r>
          </w:p>
        </w:tc>
        <w:tc>
          <w:tcPr>
            <w:tcW w:type="dxa" w:w="1530"/>
          </w:tcPr>
          <w:p>
            <w:r>
              <w:t>$97K</w:t>
            </w:r>
          </w:p>
        </w:tc>
        <w:tc>
          <w:tcPr>
            <w:tcW w:type="dxa" w:w="1530"/>
          </w:tcPr>
          <w:p>
            <w:r>
              <w:t>$67K</w:t>
            </w:r>
          </w:p>
        </w:tc>
      </w:tr>
    </w:tbl>
    <w:p/>
    <w:p>
      <w:r>
        <w:t>Wide tables benefit from landscape orientation as it provides more horizontal space for columns.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