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DE450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DE450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DE450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w:t>
      </w:r>
      <w:r w:rsidRPr="005C5EE4">
        <w:rPr>
          <w:rFonts w:asciiTheme="majorHAnsi" w:eastAsiaTheme="minorEastAsia" w:hAnsiTheme="majorHAnsi" w:cstheme="majorHAnsi"/>
          <w:sz w:val="21"/>
          <w:szCs w:val="21"/>
        </w:rPr>
        <w:lastRenderedPageBreak/>
        <w:t>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w:t>
      </w:r>
      <w:proofErr w:type="gramStart"/>
      <w:r w:rsidRPr="005C5EE4">
        <w:rPr>
          <w:rFonts w:asciiTheme="majorHAnsi" w:eastAsiaTheme="minorEastAsia" w:hAnsiTheme="majorHAnsi" w:cstheme="majorHAnsi"/>
          <w:sz w:val="21"/>
          <w:szCs w:val="21"/>
          <w:u w:val="single"/>
        </w:rPr>
        <w:t>缆</w:t>
      </w:r>
      <w:proofErr w:type="gramEnd"/>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lastRenderedPageBreak/>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0"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1" w:name="_Hlk15075486"/>
      <w:bookmarkStart w:id="2"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1"/>
      <w:bookmarkEnd w:id="2"/>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0"/>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lastRenderedPageBreak/>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ABAAD48" w14:textId="77777777" w:rsidR="00833316" w:rsidRDefault="00833316">
      <w:pPr>
        <w:rPr>
          <w:rFonts w:asciiTheme="majorHAnsi" w:eastAsiaTheme="minorEastAsia" w:hAnsiTheme="majorHAnsi" w:cstheme="majorHAnsi"/>
          <w:sz w:val="21"/>
          <w:szCs w:val="21"/>
          <w:u w:val="single"/>
        </w:rPr>
      </w:pPr>
      <w:bookmarkStart w:id="3" w:name="_GoBack"/>
      <w:bookmarkEnd w:id="3"/>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2389" w14:textId="77777777" w:rsidR="00DE4504" w:rsidRDefault="00DE4504">
      <w:r>
        <w:separator/>
      </w:r>
    </w:p>
  </w:endnote>
  <w:endnote w:type="continuationSeparator" w:id="0">
    <w:p w14:paraId="1170FF0A" w14:textId="77777777" w:rsidR="00DE4504" w:rsidRDefault="00DE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B79E1" w14:textId="77777777" w:rsidR="00DE4504" w:rsidRDefault="00DE4504">
      <w:r>
        <w:separator/>
      </w:r>
    </w:p>
  </w:footnote>
  <w:footnote w:type="continuationSeparator" w:id="0">
    <w:p w14:paraId="73C8C02C" w14:textId="77777777" w:rsidR="00DE4504" w:rsidRDefault="00DE4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1AB3"/>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06DEC"/>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4FBA"/>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4504"/>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1B6952D-4E76-402A-8D14-342BF55826FE}">
  <ds:schemaRefs>
    <ds:schemaRef ds:uri="office.server.policy"/>
  </ds:schemaRefs>
</ds:datastoreItem>
</file>

<file path=customXml/itemProps5.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3F84A1FA-5E58-4C36-A59F-FDFC3AEB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2474</Words>
  <Characters>14107</Characters>
  <Application>Microsoft Office Word</Application>
  <DocSecurity>0</DocSecurity>
  <Lines>117</Lines>
  <Paragraphs>33</Paragraphs>
  <ScaleCrop>false</ScaleCrop>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2023-04-27T06:37:00Z</dcterms:created>
  <dcterms:modified xsi:type="dcterms:W3CDTF">2024-04-15T10:47:00Z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