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  <w:r/>
    </w:p>
    <w:p>
      <w:pPr>
        <w:spacing w:before="0" w:after="0" w:line="360" w:lineRule="auto"/>
      </w:pPr>
      <w:r/>
    </w:p>
    <w:p>
      <w:pPr>
        <w:spacing w:before="0" w:after="0" w:line="360" w:lineRule="auto"/>
      </w:pPr>
      <w:r/>
    </w:p>
    <w:p>
      <w:pPr>
        <w:spacing w:before="0" w:after="80" w:line="360" w:lineRule="auto"/>
      </w:pPr>
      <w:r>
        <w:rPr>
          <w:rFonts w:ascii="Segoe UI" w:hAnsi="Segoe UI" w:eastAsia="微软雅黑"/>
          <w:b/>
          <w:color w:val="64748B"/>
          <w:sz w:val="20"/>
        </w:rPr>
        <w:t>B</w:t>
      </w:r>
      <w:r>
        <w:rPr>
          <w:rFonts w:ascii="Segoe UI" w:hAnsi="Segoe UI" w:eastAsia="微软雅黑"/>
          <w:b/>
          <w:color w:val="64748B"/>
          <w:sz w:val="20"/>
        </w:rPr>
        <w:t>u</w:t>
      </w:r>
      <w:r>
        <w:rPr>
          <w:rFonts w:ascii="Segoe UI" w:hAnsi="Segoe UI" w:eastAsia="微软雅黑"/>
          <w:b/>
          <w:color w:val="64748B"/>
          <w:sz w:val="20"/>
        </w:rPr>
        <w:t>s</w:t>
      </w:r>
      <w:r>
        <w:rPr>
          <w:rFonts w:ascii="Segoe UI" w:hAnsi="Segoe UI" w:eastAsia="微软雅黑"/>
          <w:b/>
          <w:color w:val="64748B"/>
          <w:sz w:val="20"/>
        </w:rPr>
        <w:t>i</w:t>
      </w:r>
      <w:r>
        <w:rPr>
          <w:rFonts w:ascii="Segoe UI" w:hAnsi="Segoe UI" w:eastAsia="微软雅黑"/>
          <w:b/>
          <w:color w:val="64748B"/>
          <w:sz w:val="20"/>
        </w:rPr>
        <w:t>n</w:t>
      </w:r>
      <w:r>
        <w:rPr>
          <w:rFonts w:ascii="Segoe UI" w:hAnsi="Segoe UI" w:eastAsia="微软雅黑"/>
          <w:b/>
          <w:color w:val="64748B"/>
          <w:sz w:val="20"/>
        </w:rPr>
        <w:t>e</w:t>
      </w:r>
      <w:r>
        <w:rPr>
          <w:rFonts w:ascii="Segoe UI" w:hAnsi="Segoe UI" w:eastAsia="微软雅黑"/>
          <w:b/>
          <w:color w:val="64748B"/>
          <w:sz w:val="20"/>
        </w:rPr>
        <w:t>s</w:t>
      </w:r>
      <w:r>
        <w:rPr>
          <w:rFonts w:ascii="Segoe UI" w:hAnsi="Segoe UI" w:eastAsia="微软雅黑"/>
          <w:b/>
          <w:color w:val="64748B"/>
          <w:sz w:val="20"/>
        </w:rPr>
        <w:t>s</w:t>
      </w:r>
      <w:r>
        <w:rPr>
          <w:rFonts w:ascii="Segoe UI" w:hAnsi="Segoe UI" w:eastAsia="微软雅黑"/>
          <w:b/>
          <w:color w:val="64748B"/>
          <w:sz w:val="20"/>
        </w:rPr>
        <w:t xml:space="preserve"> </w:t>
      </w:r>
      <w:r>
        <w:rPr>
          <w:rFonts w:ascii="Segoe UI" w:hAnsi="Segoe UI" w:eastAsia="微软雅黑"/>
          <w:b/>
          <w:color w:val="64748B"/>
          <w:sz w:val="20"/>
        </w:rPr>
        <w:t>P</w:t>
      </w:r>
      <w:r>
        <w:rPr>
          <w:rFonts w:ascii="Segoe UI" w:hAnsi="Segoe UI" w:eastAsia="微软雅黑"/>
          <w:b/>
          <w:color w:val="64748B"/>
          <w:sz w:val="20"/>
        </w:rPr>
        <w:t>l</w:t>
      </w:r>
      <w:r>
        <w:rPr>
          <w:rFonts w:ascii="Segoe UI" w:hAnsi="Segoe UI" w:eastAsia="微软雅黑"/>
          <w:b/>
          <w:color w:val="64748B"/>
          <w:sz w:val="20"/>
        </w:rPr>
        <w:t>a</w:t>
      </w:r>
      <w:r>
        <w:rPr>
          <w:rFonts w:ascii="Segoe UI" w:hAnsi="Segoe UI" w:eastAsia="微软雅黑"/>
          <w:b/>
          <w:color w:val="64748B"/>
          <w:sz w:val="20"/>
        </w:rPr>
        <w:t>n</w:t>
      </w:r>
      <w:r>
        <w:rPr>
          <w:rFonts w:ascii="Segoe UI" w:hAnsi="Segoe UI" w:eastAsia="微软雅黑"/>
          <w:b/>
          <w:color w:val="64748B"/>
          <w:sz w:val="20"/>
        </w:rPr>
        <w:t xml:space="preserve"> </w:t>
      </w:r>
      <w:r>
        <w:rPr>
          <w:rFonts w:ascii="Segoe UI" w:hAnsi="Segoe UI" w:eastAsia="微软雅黑"/>
          <w:b/>
          <w:color w:val="64748B"/>
          <w:sz w:val="20"/>
        </w:rPr>
        <w:t>·</w:t>
      </w:r>
      <w:r>
        <w:rPr>
          <w:rFonts w:ascii="Segoe UI" w:hAnsi="Segoe UI" w:eastAsia="微软雅黑"/>
          <w:b/>
          <w:color w:val="64748B"/>
          <w:sz w:val="20"/>
        </w:rPr>
        <w:t xml:space="preserve"> </w:t>
      </w:r>
      <w:r>
        <w:rPr>
          <w:rFonts w:ascii="Segoe UI" w:hAnsi="Segoe UI" w:eastAsia="微软雅黑"/>
          <w:b/>
          <w:color w:val="64748B"/>
          <w:sz w:val="20"/>
        </w:rPr>
        <w:t>C</w:t>
      </w:r>
      <w:r>
        <w:rPr>
          <w:rFonts w:ascii="Segoe UI" w:hAnsi="Segoe UI" w:eastAsia="微软雅黑"/>
          <w:b/>
          <w:color w:val="64748B"/>
          <w:sz w:val="20"/>
        </w:rPr>
        <w:t>o</w:t>
      </w:r>
      <w:r>
        <w:rPr>
          <w:rFonts w:ascii="Segoe UI" w:hAnsi="Segoe UI" w:eastAsia="微软雅黑"/>
          <w:b/>
          <w:color w:val="64748B"/>
          <w:sz w:val="20"/>
        </w:rPr>
        <w:t>n</w:t>
      </w:r>
      <w:r>
        <w:rPr>
          <w:rFonts w:ascii="Segoe UI" w:hAnsi="Segoe UI" w:eastAsia="微软雅黑"/>
          <w:b/>
          <w:color w:val="64748B"/>
          <w:sz w:val="20"/>
        </w:rPr>
        <w:t>f</w:t>
      </w:r>
      <w:r>
        <w:rPr>
          <w:rFonts w:ascii="Segoe UI" w:hAnsi="Segoe UI" w:eastAsia="微软雅黑"/>
          <w:b/>
          <w:color w:val="64748B"/>
          <w:sz w:val="20"/>
        </w:rPr>
        <w:t>i</w:t>
      </w:r>
      <w:r>
        <w:rPr>
          <w:rFonts w:ascii="Segoe UI" w:hAnsi="Segoe UI" w:eastAsia="微软雅黑"/>
          <w:b/>
          <w:color w:val="64748B"/>
          <w:sz w:val="20"/>
        </w:rPr>
        <w:t>d</w:t>
      </w:r>
      <w:r>
        <w:rPr>
          <w:rFonts w:ascii="Segoe UI" w:hAnsi="Segoe UI" w:eastAsia="微软雅黑"/>
          <w:b/>
          <w:color w:val="64748B"/>
          <w:sz w:val="20"/>
        </w:rPr>
        <w:t>e</w:t>
      </w:r>
      <w:r>
        <w:rPr>
          <w:rFonts w:ascii="Segoe UI" w:hAnsi="Segoe UI" w:eastAsia="微软雅黑"/>
          <w:b/>
          <w:color w:val="64748B"/>
          <w:sz w:val="20"/>
        </w:rPr>
        <w:t>n</w:t>
      </w:r>
      <w:r>
        <w:rPr>
          <w:rFonts w:ascii="Segoe UI" w:hAnsi="Segoe UI" w:eastAsia="微软雅黑"/>
          <w:b/>
          <w:color w:val="64748B"/>
          <w:sz w:val="20"/>
        </w:rPr>
        <w:t>t</w:t>
      </w:r>
      <w:r>
        <w:rPr>
          <w:rFonts w:ascii="Segoe UI" w:hAnsi="Segoe UI" w:eastAsia="微软雅黑"/>
          <w:b/>
          <w:color w:val="64748B"/>
          <w:sz w:val="20"/>
        </w:rPr>
        <w:t>i</w:t>
      </w:r>
      <w:r>
        <w:rPr>
          <w:rFonts w:ascii="Segoe UI" w:hAnsi="Segoe UI" w:eastAsia="微软雅黑"/>
          <w:b/>
          <w:color w:val="64748B"/>
          <w:sz w:val="20"/>
        </w:rPr>
        <w:t>a</w:t>
      </w:r>
      <w:r>
        <w:rPr>
          <w:rFonts w:ascii="Segoe UI" w:hAnsi="Segoe UI" w:eastAsia="微软雅黑"/>
          <w:b/>
          <w:color w:val="64748B"/>
          <w:sz w:val="20"/>
        </w:rPr>
        <w:t>l</w:t>
      </w:r>
    </w:p>
    <w:p>
      <w:pPr>
        <w:spacing w:before="0" w:after="40" w:line="360" w:lineRule="auto"/>
      </w:pPr>
      <w:r>
        <w:rPr>
          <w:rFonts w:ascii="Segoe UI" w:hAnsi="Segoe UI" w:eastAsia="微软雅黑"/>
          <w:b/>
          <w:color w:val="12263F"/>
          <w:sz w:val="56"/>
        </w:rPr>
        <w:t>《占地之王》商业计划书</w:t>
      </w:r>
    </w:p>
    <w:p>
      <w:pPr>
        <w:spacing w:before="0" w:after="200" w:line="360" w:lineRule="auto"/>
      </w:pPr>
      <w:r>
        <w:rPr>
          <w:rFonts w:ascii="Segoe UI" w:hAnsi="Segoe UI" w:eastAsia="微软雅黑"/>
          <w:color w:val="1E3A5F"/>
          <w:sz w:val="26"/>
        </w:rPr>
        <w:t>基于成熟技术资产的微信小游戏商业化方案</w:t>
      </w:r>
    </w:p>
    <w:p>
      <w:pPr>
        <w:spacing w:before="120" w:after="320" w:line="360" w:lineRule="auto"/>
        <w:pBdr>
          <w:bottom w:val="single" w:sz="8" w:space="1" w:color="12263F"/>
        </w:pBdr>
      </w:pPr>
      <w:r>
        <w:rPr>
          <w:rFonts w:ascii="Segoe UI" w:hAnsi="Segoe UI" w:eastAsia="微软雅黑"/>
          <w:color w:val="64748B"/>
          <w:sz w:val="19"/>
        </w:rPr>
        <w:t>产品定位：六边形占地 SLG × 自走棋养成内核　|　平台：微信小游戏　|　版本：v1.0　|　编制日期：2026 年 10 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EF2F7"/>
          </w:tcPr>
          <w:p>
            <w:pPr>
              <w:spacing w:after="40" w:before="40"/>
            </w:pPr>
            <w:r/>
            <w:r>
              <w:rPr>
                <w:rFonts w:ascii="Segoe UI" w:hAnsi="Segoe UI" w:eastAsia="微软雅黑"/>
                <w:b/>
                <w:color w:val="C0392B"/>
                <w:sz w:val="32"/>
              </w:rPr>
              <w:t>316.6 亿</w:t>
            </w:r>
          </w:p>
          <w:p>
            <w:pPr>
              <w:spacing w:after="40"/>
            </w:pPr>
            <w:r>
              <w:rPr>
                <w:rFonts w:ascii="Segoe UI" w:hAnsi="Segoe UI" w:eastAsia="微软雅黑"/>
                <w:color w:val="64748B"/>
                <w:sz w:val="18"/>
              </w:rPr>
              <w:t>2026 上半年小程序游戏收入 同比增长 36%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40" w:before="40"/>
            </w:pPr>
            <w:r/>
            <w:r>
              <w:rPr>
                <w:rFonts w:ascii="Segoe UI" w:hAnsi="Segoe UI" w:eastAsia="微软雅黑"/>
                <w:b/>
                <w:color w:val="C0392B"/>
                <w:sz w:val="32"/>
              </w:rPr>
              <w:t>5 亿+</w:t>
            </w:r>
          </w:p>
          <w:p>
            <w:pPr>
              <w:spacing w:after="40"/>
            </w:pPr>
            <w:r>
              <w:rPr>
                <w:rFonts w:ascii="Segoe UI" w:hAnsi="Segoe UI" w:eastAsia="微软雅黑"/>
                <w:color w:val="64748B"/>
                <w:sz w:val="18"/>
              </w:rPr>
              <w:t>微信小游戏 MAU DAU 破 1 亿</w:t>
            </w:r>
          </w:p>
        </w:tc>
      </w:tr>
      <w:tr>
        <w:tc>
          <w:tcPr>
            <w:tcW w:type="dxa" w:w="4706"/>
            <w:shd w:val="clear" w:color="auto" w:fill="EEF2F7"/>
          </w:tcPr>
          <w:p>
            <w:pPr>
              <w:spacing w:after="40" w:before="40"/>
            </w:pPr>
            <w:r/>
            <w:r>
              <w:rPr>
                <w:rFonts w:ascii="Segoe UI" w:hAnsi="Segoe UI" w:eastAsia="微软雅黑"/>
                <w:b/>
                <w:color w:val="C0392B"/>
                <w:sz w:val="32"/>
              </w:rPr>
              <w:t>5000 万</w:t>
            </w:r>
          </w:p>
          <w:p>
            <w:pPr>
              <w:spacing w:after="40"/>
            </w:pPr>
            <w:r>
              <w:rPr>
                <w:rFonts w:ascii="Segoe UI" w:hAnsi="Segoe UI" w:eastAsia="微软雅黑"/>
                <w:color w:val="64748B"/>
                <w:sz w:val="18"/>
              </w:rPr>
              <w:t>IAP 首发流水免分成额度 约合额外留存 1500 万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40" w:before="40"/>
            </w:pPr>
            <w:r/>
            <w:r>
              <w:rPr>
                <w:rFonts w:ascii="Segoe UI" w:hAnsi="Segoe UI" w:eastAsia="微软雅黑"/>
                <w:b/>
                <w:color w:val="C0392B"/>
                <w:sz w:val="32"/>
              </w:rPr>
              <w:t>19830 行</w:t>
            </w:r>
          </w:p>
          <w:p>
            <w:pPr>
              <w:spacing w:after="40"/>
            </w:pPr>
            <w:r>
              <w:rPr>
                <w:rFonts w:ascii="Segoe UI" w:hAnsi="Segoe UI" w:eastAsia="微软雅黑"/>
                <w:color w:val="64748B"/>
                <w:sz w:val="18"/>
              </w:rPr>
              <w:t>已完成源码规模 研发风险已前置消化</w:t>
            </w:r>
          </w:p>
        </w:tc>
      </w:tr>
    </w:tbl>
    <w:p>
      <w:r>
        <w:br w:type="page"/>
      </w:r>
    </w:p>
    <w:p>
      <w:pPr>
        <w:spacing w:before="0" w:after="160" w:line="360" w:lineRule="auto"/>
      </w:pPr>
      <w:r>
        <w:rPr>
          <w:rFonts w:ascii="Segoe UI" w:hAnsi="Segoe UI" w:eastAsia="微软雅黑"/>
          <w:b/>
          <w:color w:val="12263F"/>
          <w:sz w:val="30"/>
        </w:rPr>
        <w:t>目录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01  </w:t>
      </w:r>
      <w:r>
        <w:rPr>
          <w:rFonts w:ascii="Segoe UI" w:hAnsi="Segoe UI" w:eastAsia="微软雅黑"/>
          <w:color w:val="1F2937"/>
          <w:sz w:val="21"/>
        </w:rPr>
        <w:t>执行摘要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02  </w:t>
      </w:r>
      <w:r>
        <w:rPr>
          <w:rFonts w:ascii="Segoe UI" w:hAnsi="Segoe UI" w:eastAsia="微软雅黑"/>
          <w:color w:val="1F2937"/>
          <w:sz w:val="21"/>
        </w:rPr>
        <w:t>产品概况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03  </w:t>
      </w:r>
      <w:r>
        <w:rPr>
          <w:rFonts w:ascii="Segoe UI" w:hAnsi="Segoe UI" w:eastAsia="微软雅黑"/>
          <w:color w:val="1F2937"/>
          <w:sz w:val="21"/>
        </w:rPr>
        <w:t>市场分析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04  </w:t>
      </w:r>
      <w:r>
        <w:rPr>
          <w:rFonts w:ascii="Segoe UI" w:hAnsi="Segoe UI" w:eastAsia="微软雅黑"/>
          <w:color w:val="1F2937"/>
          <w:sz w:val="21"/>
        </w:rPr>
        <w:t>竞争与定位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05  </w:t>
      </w:r>
      <w:r>
        <w:rPr>
          <w:rFonts w:ascii="Segoe UI" w:hAnsi="Segoe UI" w:eastAsia="微软雅黑"/>
          <w:color w:val="1F2937"/>
          <w:sz w:val="21"/>
        </w:rPr>
        <w:t>产品力与留存设计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06  </w:t>
      </w:r>
      <w:r>
        <w:rPr>
          <w:rFonts w:ascii="Segoe UI" w:hAnsi="Segoe UI" w:eastAsia="微软雅黑"/>
          <w:color w:val="1F2937"/>
          <w:sz w:val="21"/>
        </w:rPr>
        <w:t>商业化模型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07  </w:t>
      </w:r>
      <w:r>
        <w:rPr>
          <w:rFonts w:ascii="Segoe UI" w:hAnsi="Segoe UI" w:eastAsia="微软雅黑"/>
          <w:color w:val="1F2937"/>
          <w:sz w:val="21"/>
        </w:rPr>
        <w:t>技术与成本优势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08  </w:t>
      </w:r>
      <w:r>
        <w:rPr>
          <w:rFonts w:ascii="Segoe UI" w:hAnsi="Segoe UI" w:eastAsia="微软雅黑"/>
          <w:color w:val="1F2937"/>
          <w:sz w:val="21"/>
        </w:rPr>
        <w:t>后续优化攻克方向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09  </w:t>
      </w:r>
      <w:r>
        <w:rPr>
          <w:rFonts w:ascii="Segoe UI" w:hAnsi="Segoe UI" w:eastAsia="微软雅黑"/>
          <w:color w:val="1F2937"/>
          <w:sz w:val="21"/>
        </w:rPr>
        <w:t>运营与获客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10  </w:t>
      </w:r>
      <w:r>
        <w:rPr>
          <w:rFonts w:ascii="Segoe UI" w:hAnsi="Segoe UI" w:eastAsia="微软雅黑"/>
          <w:color w:val="1F2937"/>
          <w:sz w:val="21"/>
        </w:rPr>
        <w:t>路线图与里程碑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11  </w:t>
      </w:r>
      <w:r>
        <w:rPr>
          <w:rFonts w:ascii="Segoe UI" w:hAnsi="Segoe UI" w:eastAsia="微软雅黑"/>
          <w:color w:val="1F2937"/>
          <w:sz w:val="21"/>
        </w:rPr>
        <w:t>财务测算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12  </w:t>
      </w:r>
      <w:r>
        <w:rPr>
          <w:rFonts w:ascii="Segoe UI" w:hAnsi="Segoe UI" w:eastAsia="微软雅黑"/>
          <w:color w:val="1F2937"/>
          <w:sz w:val="21"/>
        </w:rPr>
        <w:t>风险管理</w:t>
      </w:r>
    </w:p>
    <w:p>
      <w:pPr>
        <w:spacing w:before="0" w:after="40" w:line="360" w:lineRule="auto"/>
        <w:ind w:left="227"/>
      </w:pPr>
      <w:r>
        <w:rPr>
          <w:rFonts w:ascii="Segoe UI" w:hAnsi="Segoe UI" w:eastAsia="微软雅黑"/>
          <w:b/>
          <w:color w:val="C0392B"/>
          <w:sz w:val="21"/>
        </w:rPr>
        <w:t xml:space="preserve">13  </w:t>
      </w:r>
      <w:r>
        <w:rPr>
          <w:rFonts w:ascii="Segoe UI" w:hAnsi="Segoe UI" w:eastAsia="微软雅黑"/>
          <w:color w:val="1F2937"/>
          <w:sz w:val="21"/>
        </w:rPr>
        <w:t>资源需求</w:t>
      </w:r>
    </w:p>
    <w:p>
      <w:r>
        <w:br w:type="page"/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01  </w:t>
      </w:r>
      <w:r>
        <w:rPr>
          <w:rFonts w:ascii="Segoe UI" w:hAnsi="Segoe UI" w:eastAsia="微软雅黑"/>
          <w:b/>
          <w:color w:val="12263F"/>
          <w:sz w:val="32"/>
        </w:rPr>
        <w:t>执行摘要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核心主张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以一套</w:t>
      </w:r>
      <w:r>
        <w:rPr>
          <w:rFonts w:ascii="Segoe UI" w:hAnsi="Segoe UI" w:eastAsia="微软雅黑"/>
          <w:b/>
          <w:color w:val="1F2937"/>
          <w:sz w:val="21"/>
        </w:rPr>
        <w:t>已完成、已测试、可运行的成熟代码库</w:t>
      </w:r>
      <w:r>
        <w:rPr>
          <w:rFonts w:ascii="Segoe UI" w:hAnsi="Segoe UI" w:eastAsia="微软雅黑"/>
          <w:b w:val="0"/>
          <w:color w:val="1F2937"/>
          <w:sz w:val="21"/>
        </w:rPr>
        <w:t>为底座，在微信小游戏这个年收入即将突破 700 亿元、月活 5 亿以上的赛道上，落地一款「六边形占地 SLG 外壳 + 自走棋养成内核」的中重度产品。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这不是一次新玩法豪赌，而是一次</w:t>
      </w:r>
      <w:r>
        <w:rPr>
          <w:rFonts w:ascii="Segoe UI" w:hAnsi="Segoe UI" w:eastAsia="微软雅黑"/>
          <w:b/>
          <w:color w:val="1F2937"/>
          <w:sz w:val="21"/>
        </w:rPr>
        <w:t>研发效率的变现</w:t>
      </w:r>
      <w:r>
        <w:rPr>
          <w:rFonts w:ascii="Segoe UI" w:hAnsi="Segoe UI" w:eastAsia="微软雅黑"/>
          <w:b w:val="0"/>
          <w:color w:val="1F2937"/>
          <w:sz w:val="21"/>
        </w:rPr>
        <w:t>：把通常要 8～10 个月、耗费百万级的底层工程建设前置消化掉，把有限的资金与时间集中投向真正决定成败的地方——</w:t>
      </w:r>
      <w:r>
        <w:rPr>
          <w:rFonts w:ascii="Segoe UI" w:hAnsi="Segoe UI" w:eastAsia="微软雅黑"/>
          <w:b/>
          <w:color w:val="1F2937"/>
          <w:sz w:val="21"/>
        </w:rPr>
        <w:t>内容差异化和用户获取</w:t>
      </w:r>
      <w:r>
        <w:rPr>
          <w:rFonts w:ascii="Segoe UI" w:hAnsi="Segoe UI" w:eastAsia="微软雅黑"/>
          <w:b w:val="0"/>
          <w:color w:val="1F2937"/>
          <w:sz w:val="21"/>
        </w:rPr>
        <w:t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工程就绪度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93%</w:t>
            </w:r>
          </w:p>
        </w:tc>
      </w:tr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商业化模块就绪度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80%</w:t>
            </w:r>
          </w:p>
        </w:tc>
      </w:tr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内容差异化储备度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35%</w:t>
            </w:r>
          </w:p>
        </w:tc>
      </w:tr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运营数据积累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待启动</w:t>
            </w:r>
          </w:p>
        </w:tc>
      </w:tr>
    </w:tbl>
    <w:p>
      <w:pPr>
        <w:spacing w:after="80"/>
      </w:pPr>
    </w:p>
    <w:p>
      <w:pPr>
        <w:spacing w:before="0" w:after="10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 xml:space="preserve"> 就绪度为本计划书基于代码盘点的主观评估。工程与商业化模块已完成闭环、处于可投产状态；</w:t>
      </w:r>
      <w:r>
        <w:rPr>
          <w:rFonts w:ascii="Segoe UI" w:hAnsi="Segoe UI" w:eastAsia="微软雅黑"/>
          <w:b/>
          <w:color w:val="1F2937"/>
          <w:sz w:val="21"/>
        </w:rPr>
        <w:t>内容差异化与运营数据是两个方向明确、路径清晰的后续攻坚点</w:t>
      </w:r>
      <w:r>
        <w:rPr>
          <w:rFonts w:ascii="Segoe UI" w:hAnsi="Segoe UI" w:eastAsia="微软雅黑"/>
          <w:b w:val="0"/>
          <w:color w:val="1F2937"/>
          <w:sz w:val="21"/>
        </w:rPr>
        <w:t xml:space="preserve">，也正是全部预算的投向所在。 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三大核心判断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时间窗比钱重要。</w:t>
      </w:r>
      <w:r>
        <w:rPr>
          <w:rFonts w:ascii="Segoe UI" w:hAnsi="Segoe UI" w:eastAsia="微软雅黑"/>
          <w:b w:val="0"/>
          <w:color w:val="1F2937"/>
          <w:sz w:val="21"/>
        </w:rPr>
        <w:t xml:space="preserve"> 微信 2026 年给出 IAP 首发新游「前 5000 万流水不分成」的史无前例力度。按常规 30% 分成计，这等于直接增加 </w:t>
      </w:r>
      <w:r>
        <w:rPr>
          <w:rFonts w:ascii="Segoe UI" w:hAnsi="Segoe UI" w:eastAsia="微软雅黑"/>
          <w:b/>
          <w:color w:val="1F2937"/>
          <w:sz w:val="21"/>
        </w:rPr>
        <w:t>1500 万元</w:t>
      </w:r>
      <w:r>
        <w:rPr>
          <w:rFonts w:ascii="Segoe UI" w:hAnsi="Segoe UI" w:eastAsia="微软雅黑"/>
          <w:b w:val="0"/>
          <w:color w:val="1F2937"/>
          <w:sz w:val="21"/>
        </w:rPr>
        <w:t>留存。政策按自然年滚动，越早首发越有利。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赛道 Validator。</w:t>
      </w:r>
      <w:r>
        <w:rPr>
          <w:rFonts w:ascii="Segoe UI" w:hAnsi="Segoe UI" w:eastAsia="微软雅黑"/>
          <w:b w:val="0"/>
          <w:color w:val="1F2937"/>
          <w:sz w:val="21"/>
        </w:rPr>
        <w:t xml:space="preserve"> 平台官方在 2026 开发者大会上点名的四大高确定性方向中，第三条明确写着「将自走棋、桌游等硬核套路在小游戏上做轻量化重新设计，近期多款此类新品月流水迅速跑到千万元级别」——这与本项目内核高度吻合。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产品已具备坚实的运行能力，下一步的攻坚点是「被记住的理由」。</w:t>
      </w:r>
      <w:r>
        <w:rPr>
          <w:rFonts w:ascii="Segoe UI" w:hAnsi="Segoe UI" w:eastAsia="微软雅黑"/>
          <w:b w:val="0"/>
          <w:color w:val="1F2937"/>
          <w:sz w:val="21"/>
        </w:rPr>
        <w:t xml:space="preserve"> 玩法体系继承自既有项目且核心机制已冻结稳定运行，这意味着</w:t>
      </w:r>
      <w:r>
        <w:rPr>
          <w:rFonts w:ascii="Segoe UI" w:hAnsi="Segoe UI" w:eastAsia="微软雅黑"/>
          <w:b/>
          <w:color w:val="1F2937"/>
          <w:sz w:val="21"/>
        </w:rPr>
        <w:t>题材包装、社交链路、内容厚度</w:t>
      </w:r>
      <w:r>
        <w:rPr>
          <w:rFonts w:ascii="Segoe UI" w:hAnsi="Segoe UI" w:eastAsia="微软雅黑"/>
          <w:b w:val="0"/>
          <w:color w:val="1F2937"/>
          <w:sz w:val="21"/>
        </w:rPr>
        <w:t>三个维度预留了清晰的优化空间。工程侧已经就绪，后续价值释放的关键在于这三个方向的持续投入——它们构成了后续全部工作的主线。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产品当前所处阶段：</w:t>
      </w:r>
      <w:r>
        <w:rPr>
          <w:rFonts w:ascii="Segoe UI" w:hAnsi="Segoe UI" w:eastAsia="微软雅黑"/>
          <w:b w:val="0"/>
          <w:color w:val="1F2937"/>
          <w:sz w:val="20"/>
        </w:rPr>
        <w:t>本项目处于</w:t>
      </w:r>
      <w:r>
        <w:rPr>
          <w:rFonts w:ascii="Segoe UI" w:hAnsi="Segoe UI" w:eastAsia="微软雅黑"/>
          <w:b/>
          <w:color w:val="1F2937"/>
          <w:sz w:val="20"/>
        </w:rPr>
        <w:t>工程就绪、运营数据待采集</w:t>
      </w:r>
      <w:r>
        <w:rPr>
          <w:rFonts w:ascii="Segoe UI" w:hAnsi="Segoe UI" w:eastAsia="微软雅黑"/>
          <w:b w:val="0"/>
          <w:color w:val="1F2937"/>
          <w:sz w:val="20"/>
        </w:rPr>
        <w:t xml:space="preserve">的阶段。第 11 章财务推演基于行业基准假设，第 10 章 M3 阶段的小规模实测将提供首个真实数据锚点。在此之前，相关数字用于标识业务的规模弹性与资源配置逻辑，而非已验证的业绩基准。 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02  </w:t>
      </w:r>
      <w:r>
        <w:rPr>
          <w:rFonts w:ascii="Segoe UI" w:hAnsi="Segoe UI" w:eastAsia="微软雅黑"/>
          <w:b/>
          <w:color w:val="12263F"/>
          <w:sz w:val="32"/>
        </w:rPr>
        <w:t>产品概况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它是什么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一块 radius=4 的六边形网格（</w:t>
      </w:r>
      <w:r>
        <w:rPr>
          <w:rFonts w:ascii="Segoe UI" w:hAnsi="Segoe UI" w:eastAsia="微软雅黑"/>
          <w:b/>
          <w:color w:val="1F2937"/>
          <w:sz w:val="21"/>
        </w:rPr>
        <w:t>仅 61 格</w:t>
      </w:r>
      <w:r>
        <w:rPr>
          <w:rFonts w:ascii="Segoe UI" w:hAnsi="Segoe UI" w:eastAsia="微软雅黑"/>
          <w:b w:val="0"/>
          <w:color w:val="1F2937"/>
          <w:sz w:val="21"/>
        </w:rPr>
        <w:t>）上的实时占地 SLG。玩家派兵出征、接管地块、产出资源，再用资源做抽卡、装备、科技升级，形成更强兵力继续扩张。</w:t>
      </w:r>
    </w:p>
    <w:p>
      <w:pPr>
        <w:spacing w:before="120" w:after="160" w:line="360" w:lineRule="auto"/>
        <w:ind w:left="113"/>
        <w:shd w:val="clear" w:color="auto" w:fill="0F172A"/>
      </w:pPr>
      <w:r>
        <w:rPr>
          <w:rFonts w:ascii="Consolas" w:hAnsi="Consolas" w:eastAsia="Consolas"/>
          <w:b w:val="0"/>
          <w:color w:val="E2E8F0"/>
          <w:sz w:val="19"/>
        </w:rPr>
        <w:t xml:space="preserve"> 核心循环：</w:t>
      </w:r>
      <w:r>
        <w:rPr>
          <w:rFonts w:ascii="Consolas" w:hAnsi="Consolas" w:eastAsia="Consolas"/>
          <w:b/>
          <w:color w:val="FBBF24"/>
          <w:sz w:val="19"/>
        </w:rPr>
        <w:t>派兵出征</w:t>
      </w:r>
      <w:r>
        <w:rPr>
          <w:rFonts w:ascii="Consolas" w:hAnsi="Consolas" w:eastAsia="Consolas"/>
          <w:b w:val="0"/>
          <w:color w:val="E2E8F0"/>
          <w:sz w:val="19"/>
        </w:rPr>
        <w:t xml:space="preserve"> → 占地接管 → 资源产出 → </w:t>
      </w:r>
      <w:r>
        <w:rPr>
          <w:rFonts w:ascii="Consolas" w:hAnsi="Consolas" w:eastAsia="Consolas"/>
          <w:b/>
          <w:color w:val="FBBF24"/>
          <w:sz w:val="19"/>
        </w:rPr>
        <w:t>抽卡 / 养成</w:t>
      </w:r>
      <w:r>
        <w:rPr>
          <w:rFonts w:ascii="Consolas" w:hAnsi="Consolas" w:eastAsia="Consolas"/>
          <w:b w:val="0"/>
          <w:color w:val="E2E8F0"/>
          <w:sz w:val="19"/>
        </w:rPr>
        <w:t xml:space="preserve"> → 战力提升 → 更强出征</w:t>
      </w:r>
      <w:r>
        <w:br/>
      </w:r>
      <w:r>
        <w:rPr>
          <w:rFonts w:ascii="Consolas" w:hAnsi="Consolas" w:eastAsia="Consolas"/>
          <w:b w:val="0"/>
          <w:color w:val="E2E8F0"/>
          <w:sz w:val="19"/>
        </w:rPr>
        <w:t xml:space="preserve"> 外围循环：</w:t>
      </w:r>
      <w:r>
        <w:rPr>
          <w:rFonts w:ascii="Consolas" w:hAnsi="Consolas" w:eastAsia="Consolas"/>
          <w:b/>
          <w:color w:val="FBBF24"/>
          <w:sz w:val="19"/>
        </w:rPr>
        <w:t>异步 PvP 天梯</w:t>
      </w:r>
      <w:r>
        <w:rPr>
          <w:rFonts w:ascii="Consolas" w:hAnsi="Consolas" w:eastAsia="Consolas"/>
          <w:b w:val="0"/>
          <w:color w:val="E2E8F0"/>
          <w:sz w:val="19"/>
        </w:rPr>
        <w:t xml:space="preserve"> + </w:t>
      </w:r>
      <w:r>
        <w:rPr>
          <w:rFonts w:ascii="Consolas" w:hAnsi="Consolas" w:eastAsia="Consolas"/>
          <w:b/>
          <w:color w:val="FBBF24"/>
          <w:sz w:val="19"/>
        </w:rPr>
        <w:t>战令 / 任务</w:t>
      </w:r>
      <w:r>
        <w:rPr>
          <w:rFonts w:ascii="Consolas" w:hAnsi="Consolas" w:eastAsia="Consolas"/>
          <w:b w:val="0"/>
          <w:color w:val="E2E8F0"/>
          <w:sz w:val="19"/>
        </w:rPr>
        <w:t xml:space="preserve"> + 装备科技树 → 长线留存与付费 </w:t>
      </w:r>
    </w:p>
    <w:p>
      <w:pPr>
        <w:spacing w:before="0" w:after="120" w:line="360" w:lineRule="auto"/>
      </w:pPr>
      <w:r>
        <w:rPr>
          <w:rFonts w:ascii="Segoe UI" w:hAnsi="Segoe UI" w:eastAsia="微软雅黑"/>
          <w:b/>
          <w:color w:val="1F2937"/>
          <w:sz w:val="21"/>
        </w:rPr>
        <w:t>它不是一个传统 SLG。</w:t>
      </w:r>
      <w:r>
        <w:rPr>
          <w:rFonts w:ascii="Segoe UI" w:hAnsi="Segoe UI" w:eastAsia="微软雅黑"/>
          <w:b w:val="0"/>
          <w:color w:val="1F2937"/>
          <w:sz w:val="21"/>
        </w:rPr>
        <w:t>战斗结算采用「总力对决」——双方交战时按战力比值判定完胜／大胜／小胜／惨胜／同归于尽五档结果，过程</w:t>
      </w:r>
      <w:r>
        <w:rPr>
          <w:rFonts w:ascii="Segoe UI" w:hAnsi="Segoe UI" w:eastAsia="微软雅黑"/>
          <w:b/>
          <w:color w:val="1F2937"/>
          <w:sz w:val="21"/>
        </w:rPr>
        <w:t>完全不可微操</w:t>
      </w:r>
      <w:r>
        <w:rPr>
          <w:rFonts w:ascii="Segoe UI" w:hAnsi="Segoe UI" w:eastAsia="微软雅黑"/>
          <w:b w:val="0"/>
          <w:color w:val="1F2937"/>
          <w:sz w:val="21"/>
        </w:rPr>
        <w:t>。胜负在派兵那一刻就由数值、技能、羁绊算完了。加上只有 61 格的小盘面，策略深度不在「大军团调度」，而在</w:t>
      </w:r>
      <w:r>
        <w:rPr>
          <w:rFonts w:ascii="Segoe UI" w:hAnsi="Segoe UI" w:eastAsia="微软雅黑"/>
          <w:b/>
          <w:color w:val="1F2937"/>
          <w:sz w:val="21"/>
        </w:rPr>
        <w:t>每一次行军的质量</w:t>
      </w:r>
      <w:r>
        <w:rPr>
          <w:rFonts w:ascii="Segoe UI" w:hAnsi="Segoe UI" w:eastAsia="微软雅黑"/>
          <w:b w:val="0"/>
          <w:color w:val="1F2937"/>
          <w:sz w:val="21"/>
        </w:rPr>
        <w:t>——这正是自走棋的骨架，SLG 只是包装。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技术资产盘点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体量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就绪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地图引擎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HexMap / HexMath / HexTile / PathfindingSystem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轴向坐标 + A* 寻路 + 像素连续移动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[完成]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战斗内核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CombatSystem / MarchGroup / DeploymentSystem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2278 行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[完成]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数值深度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SkillSystem / SynergySystem / TechTreeSystem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skills.json 111 KB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[完成]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局外养成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BattlePass / Quest / Shop / Equipment / Power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5 个 System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[完成]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对战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AsyncMatch / Ladder / AIPlayer / SnapshotPlayer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异步 PvP + Elo 结算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[需云端]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商业化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AdManager / ShopSystem / BonusCalculator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广告 ×8 + 内购闭环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[待接真值]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渲染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RenderSystem / AnimationManager / AudioManager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5480 行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[完成]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适配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SafeArea / Layout / InputSystem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639 行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[真机未验]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</w:tbl>
    <w:p>
      <w:pPr>
        <w:spacing w:after="80"/>
      </w:pP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当前状态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源码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47 模块 / 19830 行</w:t>
            </w:r>
          </w:p>
        </w:tc>
      </w:tr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配置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16 个 JSON / 233 KB</w:t>
            </w:r>
          </w:p>
        </w:tc>
      </w:tr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回归测试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46 通过 / 0 失败</w:t>
            </w:r>
          </w:p>
        </w:tc>
      </w:tr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包体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1.22 MB / 4 MB</w:t>
            </w:r>
          </w:p>
        </w:tc>
      </w:tr>
    </w:tbl>
    <w:p>
      <w:pPr>
        <w:spacing w:after="80"/>
      </w:pP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工程底座、Git 协同链路、正式 AppID 均已到位，微信开发者工具</w:t>
      </w:r>
      <w:r>
        <w:rPr>
          <w:rFonts w:ascii="Segoe UI" w:hAnsi="Segoe UI" w:eastAsia="微软雅黑"/>
          <w:b/>
          <w:color w:val="1F2937"/>
          <w:sz w:val="21"/>
        </w:rPr>
        <w:t>已编译通过</w:t>
      </w:r>
      <w:r>
        <w:rPr>
          <w:rFonts w:ascii="Segoe UI" w:hAnsi="Segoe UI" w:eastAsia="微软雅黑"/>
          <w:b w:val="0"/>
          <w:color w:val="1F2937"/>
          <w:sz w:val="21"/>
        </w:rPr>
        <w:t>。这意味着产品已越过「能不能跑」这一关，进入「值不值得玩」的阶段。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与「占城先锋」的关系 —— 需要向任何出资方明确说明：</w:t>
      </w:r>
      <w:r>
        <w:rPr>
          <w:rFonts w:ascii="Segoe UI" w:hAnsi="Segoe UI" w:eastAsia="微软雅黑"/>
          <w:b w:val="0"/>
          <w:color w:val="1F2937"/>
          <w:sz w:val="20"/>
        </w:rPr>
        <w:t>玩法体系继承自既有项目，且已确定</w:t>
      </w:r>
      <w:r>
        <w:rPr>
          <w:rFonts w:ascii="Segoe UI" w:hAnsi="Segoe UI" w:eastAsia="微软雅黑"/>
          <w:b/>
          <w:color w:val="1F2937"/>
          <w:sz w:val="20"/>
        </w:rPr>
        <w:t>冻结不再改动</w:t>
      </w:r>
      <w:r>
        <w:rPr>
          <w:rFonts w:ascii="Segoe UI" w:hAnsi="Segoe UI" w:eastAsia="微软雅黑"/>
          <w:b w:val="0"/>
          <w:color w:val="1F2937"/>
          <w:sz w:val="20"/>
        </w:rPr>
        <w:t>。</w:t>
      </w:r>
      <w:r>
        <w:br/>
      </w:r>
      <w:r>
        <w:br/>
      </w:r>
      <w:r>
        <w:rPr>
          <w:rFonts w:ascii="Segoe UI" w:hAnsi="Segoe UI" w:eastAsia="微软雅黑"/>
          <w:b/>
          <w:color w:val="1F2937"/>
          <w:sz w:val="20"/>
        </w:rPr>
        <w:t>战略含义：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基石 —— 研发确定性已前置消化，技术品控基线已知且受控，交付不依赖运气；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优化空间 —— 题材与 IP 维度尚待建设，</w:t>
      </w:r>
      <w:r>
        <w:rPr>
          <w:rFonts w:ascii="Segoe UI" w:hAnsi="Segoe UI" w:eastAsia="微软雅黑"/>
          <w:b/>
          <w:color w:val="1F2937"/>
          <w:sz w:val="20"/>
        </w:rPr>
        <w:t>补足后可显著改善自然获客能力</w:t>
      </w:r>
      <w:r>
        <w:rPr>
          <w:rFonts w:ascii="Segoe UI" w:hAnsi="Segoe UI" w:eastAsia="微软雅黑"/>
          <w:b w:val="0"/>
          <w:color w:val="1F2937"/>
          <w:sz w:val="20"/>
        </w:rPr>
        <w:t>，从纯买量驱动转向自带话题；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路径 —— 见第 5 章「三大优化攻坚方向」，核心是</w:t>
      </w:r>
      <w:r>
        <w:rPr>
          <w:rFonts w:ascii="Segoe UI" w:hAnsi="Segoe UI" w:eastAsia="微软雅黑"/>
          <w:b/>
          <w:color w:val="1F2937"/>
          <w:sz w:val="20"/>
        </w:rPr>
        <w:t>在不触碰核心机制的前提下做深内容层</w:t>
      </w:r>
      <w:r>
        <w:rPr>
          <w:rFonts w:ascii="Segoe UI" w:hAnsi="Segoe UI" w:eastAsia="微软雅黑"/>
          <w:b w:val="0"/>
          <w:color w:val="1F2937"/>
          <w:sz w:val="20"/>
        </w:rPr>
        <w:t xml:space="preserve">。 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03  </w:t>
      </w:r>
      <w:r>
        <w:rPr>
          <w:rFonts w:ascii="Segoe UI" w:hAnsi="Segoe UI" w:eastAsia="微软雅黑"/>
          <w:b/>
          <w:color w:val="12263F"/>
          <w:sz w:val="32"/>
        </w:rPr>
        <w:t>市场分析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3.1 大盘仍在扩容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2025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2026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国内小程序游戏实际销售收入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398.36 亿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535.35 亿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预计突破 700 亿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 xml:space="preserve">2025 同比 </w:t>
            </w:r>
            <w:r>
              <w:rPr>
                <w:rFonts w:ascii="Segoe UI" w:hAnsi="Segoe UI" w:eastAsia="微软雅黑"/>
                <w:b/>
                <w:color w:val="C0392B"/>
                <w:sz w:val="18"/>
              </w:rPr>
              <w:t>+34.39%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2026 上半年收入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316.6 亿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 xml:space="preserve">同比 </w:t>
            </w:r>
            <w:r>
              <w:rPr>
                <w:rFonts w:ascii="Segoe UI" w:hAnsi="Segoe UI" w:eastAsia="微软雅黑"/>
                <w:b/>
                <w:color w:val="C0392B"/>
                <w:sz w:val="18"/>
              </w:rPr>
              <w:t>+36%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占游戏市场整体比重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15%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持续提升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已越过主流赛道门槛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DataEye 测算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约 610 亿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预测 700 亿+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第三方口径，略高于官方</w:t>
            </w:r>
          </w:p>
        </w:tc>
      </w:tr>
    </w:tbl>
    <w:p>
      <w:pPr>
        <w:spacing w:after="80"/>
      </w:pP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值得注意的是，小游戏增速显著高于整体游戏市场。这不是一个存量博弈市场，而是</w:t>
      </w:r>
      <w:r>
        <w:rPr>
          <w:rFonts w:ascii="Segoe UI" w:hAnsi="Segoe UI" w:eastAsia="微软雅黑"/>
          <w:b/>
          <w:color w:val="1F2937"/>
          <w:sz w:val="21"/>
        </w:rPr>
        <w:t>仍在抬升的电梯</w:t>
      </w:r>
      <w:r>
        <w:rPr>
          <w:rFonts w:ascii="Segoe UI" w:hAnsi="Segoe UI" w:eastAsia="微软雅黑"/>
          <w:b w:val="0"/>
          <w:color w:val="1F2937"/>
          <w:sz w:val="21"/>
        </w:rPr>
        <w:t>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3.2 用户结构：与传统手游不同的增量人群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月活跃用户 MAU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5 亿+</w:t>
            </w:r>
          </w:p>
        </w:tc>
      </w:tr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日活跃 DAU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1 亿+</w:t>
            </w:r>
          </w:p>
        </w:tc>
      </w:tr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人均日时长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&gt; 60 分钟</w:t>
            </w:r>
          </w:p>
        </w:tc>
      </w:tr>
      <w:tr>
        <w:trPr>
          <w:cantSplit/>
        </w:trPr>
        <w:tc>
          <w:tcPr>
            <w:tcW w:type="dxa" w:w="3953"/>
            <w:shd w:val="clear" w:color="auto" w:fill="F8FAFC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 w:val="0"/>
                <w:color w:val="64748B"/>
                <w:sz w:val="18"/>
              </w:rPr>
              <w:t>累计注册</w:t>
            </w:r>
          </w:p>
        </w:tc>
        <w:tc>
          <w:tcPr>
            <w:tcW w:type="dxa" w:w="5458"/>
          </w:tcPr>
          <w:p>
            <w:pPr>
              <w:spacing w:after="20" w:line="288" w:lineRule="auto"/>
            </w:pPr>
            <w:r>
              <w:rPr>
                <w:rFonts w:ascii="Segoe UI" w:hAnsi="Segoe UI" w:eastAsia="微软雅黑"/>
                <w:b/>
                <w:color w:val="1E3A5F"/>
                <w:sz w:val="23"/>
              </w:rPr>
              <w:t>10 亿+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分布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对本项目的意义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年龄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24–40 岁占 50%，40 岁以上占 40%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中年用户支付能力强但时间碎片化，正好匹配「单局短、随时停」的 61 格设计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地域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三线及以下占 55%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下沉市场付费心智成熟，是 SLG 类目的传统票仓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性别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男 53% / 女 47%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接近均衡，不排斥女性向题材做增量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与腾讯系 APP 游戏重合度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低于 50%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这是真增量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，触达了大量传统 APP 游戏够不到的人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主动访问习惯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超 50% MAU 主动访问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用户已养成主动回流习惯，降低二次触达成本</w:t>
            </w:r>
          </w:p>
        </w:tc>
      </w:tr>
    </w:tbl>
    <w:p>
      <w:pPr>
        <w:spacing w:after="80"/>
      </w:pP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3.3 变现结构：IAP 已成主流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2022 收入占比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2025 收入占比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趋势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IAP（内购）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38.81%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68.11%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↑ 成为主力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IAA（广告）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61.19%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31.89%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↓ 退居次要</w:t>
            </w:r>
          </w:p>
        </w:tc>
      </w:tr>
    </w:tbl>
    <w:p>
      <w:pPr>
        <w:spacing w:after="80"/>
      </w:pP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小游戏生态完成了从「广告驱动的轻量娱乐」到「内购驱动的精品内容」的迁移。本项目拥有装备、科技树、羁绊、技能等完整数值体系，天然适配 IAP 主导模式，</w:t>
      </w:r>
      <w:r>
        <w:rPr>
          <w:rFonts w:ascii="Segoe UI" w:hAnsi="Segoe UI" w:eastAsia="微软雅黑"/>
          <w:b/>
          <w:color w:val="1F2937"/>
          <w:sz w:val="21"/>
        </w:rPr>
        <w:t>赛道结构对它是顺风的</w:t>
      </w:r>
      <w:r>
        <w:rPr>
          <w:rFonts w:ascii="Segoe UI" w:hAnsi="Segoe UI" w:eastAsia="微软雅黑"/>
          <w:b w:val="0"/>
          <w:color w:val="1F2937"/>
          <w:sz w:val="21"/>
        </w:rPr>
        <w:t>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3.4 2026 平台政策红利（重要时间窗）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政策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对本项目价值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IAP 首发免分成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首发新游前 5000 万流水平台不分成，另享最高 2000 万现金激励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最高价值项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。按常规抽 30% 计，等于增加 1500 万留存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非首发兜底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首 100 万流水同样免分成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即使错过首发仍有基础保障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安卓额外激励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70% 基础分成外，首发游戏达成首个 1000 万后可获额外 40% 广告性激励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放大再投入预算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iOS 优惠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70% 分成基础上额外 +15%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改善 iOS 端毛利率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IAA 双分成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可选快回收 90% 分成 或 长线留存 85% 激励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可按产品阶段灵活切换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PC 专属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额外 10% 专属广告金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见第 3.5 节第二曲线</w:t>
            </w:r>
          </w:p>
        </w:tc>
      </w:tr>
    </w:tbl>
    <w:p>
      <w:pPr>
        <w:spacing w:after="80"/>
      </w:pPr>
    </w:p>
    <w:p>
      <w:pPr>
        <w:spacing w:before="120" w:after="160" w:line="360" w:lineRule="auto"/>
        <w:ind w:left="142" w:right="85"/>
        <w:shd w:val="clear" w:color="auto" w:fill="F0FDF4"/>
        <w:pBdr>
          <w:left w:val="single" w:sz="18" w:space="8" w:color="15803D"/>
        </w:pBdr>
      </w:pPr>
      <w:r>
        <w:rPr>
          <w:rFonts w:ascii="Segoe UI" w:hAnsi="Segoe UI" w:eastAsia="微软雅黑"/>
          <w:b/>
          <w:color w:val="1F2937"/>
          <w:sz w:val="20"/>
        </w:rPr>
        <w:t>红利折算：</w:t>
      </w:r>
      <w:r>
        <w:rPr>
          <w:rFonts w:ascii="Segoe UI" w:hAnsi="Segoe UI" w:eastAsia="微软雅黑"/>
          <w:b w:val="0"/>
          <w:color w:val="1F2937"/>
          <w:sz w:val="20"/>
        </w:rPr>
        <w:t>若首发期实现 5000 万流水，本应支付平台约 1500 万元分成获得豁免，叠加最高 2000 万激励金（单款上限 400 万，需以后台实际政策为准），</w:t>
      </w:r>
      <w:r>
        <w:rPr>
          <w:rFonts w:ascii="Segoe UI" w:hAnsi="Segoe UI" w:eastAsia="微软雅黑"/>
          <w:b/>
          <w:color w:val="1F2937"/>
          <w:sz w:val="20"/>
        </w:rPr>
        <w:t>合计可影响现金流 1500 万量级</w:t>
      </w:r>
      <w:r>
        <w:rPr>
          <w:rFonts w:ascii="Segoe UI" w:hAnsi="Segoe UI" w:eastAsia="微软雅黑"/>
          <w:b w:val="0"/>
          <w:color w:val="1F2937"/>
          <w:sz w:val="20"/>
        </w:rPr>
        <w:t xml:space="preserve">。这是本项目最大的一笔外部杠杆，也是本计划书强调「抢时间」的原因。 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3.5 被低估的第二曲线：PC 小游戏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过去一年 PC 端数据极为亮眼：</w:t>
      </w:r>
      <w:r>
        <w:rPr>
          <w:rFonts w:ascii="Segoe UI" w:hAnsi="Segoe UI" w:eastAsia="微软雅黑"/>
          <w:b/>
          <w:color w:val="1F2937"/>
          <w:sz w:val="21"/>
        </w:rPr>
        <w:t>40% 为 PC 平台独占用户</w:t>
      </w:r>
      <w:r>
        <w:rPr>
          <w:rFonts w:ascii="Segoe UI" w:hAnsi="Segoe UI" w:eastAsia="微软雅黑"/>
          <w:b w:val="0"/>
          <w:color w:val="1F2937"/>
          <w:sz w:val="21"/>
        </w:rPr>
        <w:t>，人均在线时长增长 100%，</w:t>
      </w:r>
      <w:r>
        <w:rPr>
          <w:rFonts w:ascii="Segoe UI" w:hAnsi="Segoe UI" w:eastAsia="微软雅黑"/>
          <w:b/>
          <w:color w:val="1F2937"/>
          <w:sz w:val="21"/>
        </w:rPr>
        <w:t>付费增长 130%</w:t>
      </w:r>
      <w:r>
        <w:rPr>
          <w:rFonts w:ascii="Segoe UI" w:hAnsi="Segoe UI" w:eastAsia="微软雅黑"/>
          <w:b w:val="0"/>
          <w:color w:val="1F2937"/>
          <w:sz w:val="21"/>
        </w:rPr>
        <w:t>，ARPU 高出移动端 120% 以上。用户筏完全错位于移动端，属于纯增量而非分流。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本项目基于 Canvas 2D + 键鼠无关的触摸输入，移植 PC 端的边际成本极低，应当作为</w:t>
      </w:r>
      <w:r>
        <w:rPr>
          <w:rFonts w:ascii="Segoe UI" w:hAnsi="Segoe UI" w:eastAsia="微软雅黑"/>
          <w:b/>
          <w:color w:val="1F2937"/>
          <w:sz w:val="21"/>
        </w:rPr>
        <w:t>首年内的低优先级高回报项</w:t>
      </w:r>
      <w:r>
        <w:rPr>
          <w:rFonts w:ascii="Segoe UI" w:hAnsi="Segoe UI" w:eastAsia="微软雅黑"/>
          <w:b w:val="0"/>
          <w:color w:val="1F2937"/>
          <w:sz w:val="21"/>
        </w:rPr>
        <w:t>纳入规划（见第 10 章 M5）。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04  </w:t>
      </w:r>
      <w:r>
        <w:rPr>
          <w:rFonts w:ascii="Segoe UI" w:hAnsi="Segoe UI" w:eastAsia="微软雅黑"/>
          <w:b/>
          <w:color w:val="12263F"/>
          <w:sz w:val="32"/>
        </w:rPr>
        <w:t>竞争与定位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4.1 必须对标的标杆</w:t>
      </w:r>
    </w:p>
    <w:p>
      <w:pPr>
        <w:spacing w:before="0" w:after="120" w:line="360" w:lineRule="auto"/>
      </w:pPr>
      <w:r>
        <w:rPr>
          <w:rFonts w:ascii="Segoe UI" w:hAnsi="Segoe UI" w:eastAsia="微软雅黑"/>
          <w:b/>
          <w:color w:val="1F2937"/>
          <w:sz w:val="21"/>
        </w:rPr>
        <w:t>《无尽冬日》</w:t>
      </w:r>
      <w:r>
        <w:rPr>
          <w:rFonts w:ascii="Segoe UI" w:hAnsi="Segoe UI" w:eastAsia="微软雅黑"/>
          <w:b w:val="0"/>
          <w:color w:val="1F2937"/>
          <w:sz w:val="21"/>
        </w:rPr>
        <w:t>（点点互动）是这个赛道绕不开的参照：冰雪末日题材外壳 + 轻量化 4X SLG，国内小游戏版 MAU 曾破 3600 万，连续百日霸榜微信畅销榜，累计流水超 300 亿元。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它做对了什么 —— 也是本项目最该学的：</w:t>
      </w:r>
      <w:r>
        <w:rPr>
          <w:rFonts w:ascii="Segoe UI" w:hAnsi="Segoe UI" w:eastAsia="微软雅黑"/>
          <w:b w:val="0"/>
          <w:color w:val="1F2937"/>
          <w:sz w:val="20"/>
        </w:rPr>
        <w:t>把传统 SLG 陡峭的早期曲线</w:t>
      </w:r>
      <w:r>
        <w:rPr>
          <w:rFonts w:ascii="Segoe UI" w:hAnsi="Segoe UI" w:eastAsia="微软雅黑"/>
          <w:b/>
          <w:color w:val="1F2937"/>
          <w:sz w:val="20"/>
        </w:rPr>
        <w:t>削平</w:t>
      </w:r>
      <w:r>
        <w:rPr>
          <w:rFonts w:ascii="Segoe UI" w:hAnsi="Segoe UI" w:eastAsia="微软雅黑"/>
          <w:b w:val="0"/>
          <w:color w:val="1F2937"/>
          <w:sz w:val="20"/>
        </w:rPr>
        <w:t>。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前期用「放置经营 + 模拟建造 + 抽卡」做低门槛引流，把休闲玩家拉进来；中后期才切到 4X 核心（探索、扩张、占领、服战），靠社交绑定与军备竞赛吃长线留存与付费。</w:t>
      </w:r>
      <w:r>
        <w:br/>
      </w:r>
      <w:r>
        <w:br/>
      </w:r>
      <w:r>
        <w:rPr>
          <w:rFonts w:ascii="Segoe UI" w:hAnsi="Segoe UI" w:eastAsia="微软雅黑"/>
          <w:b/>
          <w:color w:val="1F2937"/>
          <w:sz w:val="20"/>
        </w:rPr>
        <w:t>这是把休闲流量转化成 SLG 付费用户的关键设计。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4.2 本项目的位置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传统 / 头部 SLG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《占地之王》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地图尺度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大世界，成百上千格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仅 61 格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，单局极短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上手曲线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前期陡峭，需攻略带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盘面一览无余，几乎零学习成本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战斗微操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行军路径、时机把控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不可微操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，纯数值对决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策略深度来源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战略调度 + 数值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搭配 + 时机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（自走棋式）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单次投入时长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长，需持续在线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碎片化友好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IP / 题材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强（冰雪末日 / 三国）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无</w:t>
            </w:r>
            <w:r>
              <w:rPr>
                <w:rFonts w:ascii="Segoe UI" w:hAnsi="Segoe UI" w:eastAsia="微软雅黑"/>
                <w:b/>
                <w:color w:val="C0392B"/>
                <w:sz w:val="15"/>
              </w:rPr>
              <w:t>[风险]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联盟社交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核心留存手段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缺失</w:t>
            </w:r>
            <w:r>
              <w:rPr>
                <w:rFonts w:ascii="Segoe UI" w:hAnsi="Segoe UI" w:eastAsia="微软雅黑"/>
                <w:b/>
                <w:color w:val="C0392B"/>
                <w:sz w:val="15"/>
              </w:rPr>
              <w:t>[风险]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0" w:after="120" w:line="360" w:lineRule="auto"/>
      </w:pPr>
      <w:r>
        <w:rPr>
          <w:rFonts w:ascii="Segoe UI" w:hAnsi="Segoe UI" w:eastAsia="微软雅黑"/>
          <w:b/>
          <w:color w:val="1F2937"/>
          <w:sz w:val="21"/>
        </w:rPr>
        <w:t>结论：不与《无尽冬日》正面争夺 SLG 大盘用户。</w:t>
      </w:r>
      <w:r>
        <w:rPr>
          <w:rFonts w:ascii="Segoe UI" w:hAnsi="Segoe UI" w:eastAsia="微软雅黑"/>
          <w:b w:val="0"/>
          <w:color w:val="1F2937"/>
          <w:sz w:val="21"/>
        </w:rPr>
        <w:t>本项目应当切入「自走棋养成 × 轻占地」的交叉地带——用自走棋的收集搭配乐趣承接泛用户，用占地 SLG 的扩张反馈提供长线目标。目标人群是</w:t>
      </w:r>
      <w:r>
        <w:rPr>
          <w:rFonts w:ascii="Segoe UI" w:hAnsi="Segoe UI" w:eastAsia="微软雅黑"/>
          <w:b/>
          <w:color w:val="1F2937"/>
          <w:sz w:val="21"/>
        </w:rPr>
        <w:t>玩得懂自走棋、但对传统 SLG 太重的节奏不耐烦</w:t>
      </w:r>
      <w:r>
        <w:rPr>
          <w:rFonts w:ascii="Segoe UI" w:hAnsi="Segoe UI" w:eastAsia="微软雅黑"/>
          <w:b w:val="0"/>
          <w:color w:val="1F2937"/>
          <w:sz w:val="21"/>
        </w:rPr>
        <w:t>的那批人。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4.3 平台官方的赛道背书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2026 开发者大会上，平台方结合数据给出四个高确定性立项方向：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平台依据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本项目契合度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成熟玩法框架 + 经典 IP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月收入可破 5000 万；50% 新玩家来自 IP 圈外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[半契合]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有框架，无 IP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释放高粘性「她力量」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女性付费用户 +20%，ARPPU +10%；头部重度 SLG 女性付费占比已达 20%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[可作为题材方向]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可玩性玩法「微创新」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自走棋、桌游等硬核套路轻量重设计，多款新品月流水迅速跑到千万级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[高度契合]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经典成熟品类阶段性蓝海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放置、卡牌、塔防历史底盘大，付费心智成熟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[契合]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05  </w:t>
      </w:r>
      <w:r>
        <w:rPr>
          <w:rFonts w:ascii="Segoe UI" w:hAnsi="Segoe UI" w:eastAsia="微软雅黑"/>
          <w:b/>
          <w:color w:val="12263F"/>
          <w:sz w:val="32"/>
        </w:rPr>
        <w:t>产品力与留存设计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5.1 已具备的长线钩子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异步 PvP + Elo 天梯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提供长线对抗目标与段位追求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[已实现]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需云服务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战令 BattlePass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周期性回归 + 付费钩子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[已实现]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任务 Quest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每日目标，稳定日活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[已实现]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技能 / 羁绊 / 科技树 / 装备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数值深度与 Build 多样性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[已实现]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深度充足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抽卡 gacha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核心付费驱动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[已实现]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分享 ShareSystem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社交裂变入口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[已实现]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</w:tbl>
    <w:p>
      <w:pPr>
        <w:spacing w:after="80"/>
      </w:pP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5.2 三大优化攻坚方向 —— 后续工作主线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攻坚方向一：解锁社交链路。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这是全部优化方向中</w:t>
      </w:r>
      <w:r>
        <w:rPr>
          <w:rFonts w:ascii="Segoe UI" w:hAnsi="Segoe UI" w:eastAsia="微软雅黑"/>
          <w:b/>
          <w:color w:val="1F2937"/>
          <w:sz w:val="20"/>
        </w:rPr>
        <w:t>杠杆最高、见效最快</w:t>
      </w:r>
      <w:r>
        <w:rPr>
          <w:rFonts w:ascii="Segoe UI" w:hAnsi="Segoe UI" w:eastAsia="微软雅黑"/>
          <w:b w:val="0"/>
          <w:color w:val="1F2937"/>
          <w:sz w:val="20"/>
        </w:rPr>
        <w:t>的一项。平台数据显示：社交玩法表现较好的游戏中，</w:t>
      </w:r>
      <w:r>
        <w:rPr>
          <w:rFonts w:ascii="Segoe UI" w:hAnsi="Segoe UI" w:eastAsia="微软雅黑"/>
          <w:b/>
          <w:color w:val="1F2937"/>
          <w:sz w:val="20"/>
        </w:rPr>
        <w:t>来自社交场景的新用户占比可达 87%，具备社交玩法的游戏活跃留存可达 88%，社交相关用户贡献收入约 80%</w:t>
      </w:r>
      <w:r>
        <w:rPr>
          <w:rFonts w:ascii="Segoe UI" w:hAnsi="Segoe UI" w:eastAsia="微软雅黑"/>
          <w:b w:val="0"/>
          <w:color w:val="1F2937"/>
          <w:sz w:val="20"/>
        </w:rPr>
        <w:t>。</w:t>
      </w:r>
      <w:r>
        <w:br/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当前代码中，开放数据域相关接口（</w:t>
      </w:r>
      <w:r>
        <w:rPr>
          <w:rFonts w:ascii="Consolas" w:hAnsi="Consolas" w:eastAsia="Consolas"/>
          <w:b w:val="0"/>
          <w:color w:val="1F2937"/>
          <w:sz w:val="20"/>
        </w:rPr>
        <w:t>wx.setUserCloudStorage</w:t>
      </w:r>
      <w:r>
        <w:rPr>
          <w:rFonts w:ascii="Segoe UI" w:hAnsi="Segoe UI" w:eastAsia="微软雅黑"/>
          <w:b w:val="0"/>
          <w:color w:val="1F2937"/>
          <w:sz w:val="20"/>
        </w:rPr>
        <w:t xml:space="preserve"> / </w:t>
      </w:r>
      <w:r>
        <w:rPr>
          <w:rFonts w:ascii="Consolas" w:hAnsi="Consolas" w:eastAsia="Consolas"/>
          <w:b w:val="0"/>
          <w:color w:val="1F2937"/>
          <w:sz w:val="20"/>
        </w:rPr>
        <w:t>wx.getFriendCloudStorage</w:t>
      </w:r>
      <w:r>
        <w:rPr>
          <w:rFonts w:ascii="Segoe UI" w:hAnsi="Segoe UI" w:eastAsia="微软雅黑"/>
          <w:b w:val="0"/>
          <w:color w:val="1F2937"/>
          <w:sz w:val="20"/>
        </w:rPr>
        <w:t>）的</w:t>
      </w:r>
      <w:r>
        <w:rPr>
          <w:rFonts w:ascii="Segoe UI" w:hAnsi="Segoe UI" w:eastAsia="微软雅黑"/>
          <w:b/>
          <w:color w:val="1F2937"/>
          <w:sz w:val="20"/>
        </w:rPr>
        <w:t>调用设计与实现方案已在注释中完整标注</w:t>
      </w:r>
      <w:r>
        <w:rPr>
          <w:rFonts w:ascii="Segoe UI" w:hAnsi="Segoe UI" w:eastAsia="微软雅黑"/>
          <w:b w:val="0"/>
          <w:color w:val="1F2937"/>
          <w:sz w:val="20"/>
        </w:rPr>
        <w:t>，尚未正式接入——意味着好友榜、战绩分享、围观对战这三项能力已具备直接落地的工程基础，属于「设计已完成、等待接入」的状态。</w:t>
      </w:r>
      <w:r>
        <w:br/>
      </w:r>
      <w:r>
        <w:br/>
      </w:r>
      <w:r>
        <w:rPr>
          <w:rFonts w:ascii="Segoe UI" w:hAnsi="Segoe UI" w:eastAsia="微软雅黑"/>
          <w:b/>
          <w:color w:val="1F2937"/>
          <w:sz w:val="20"/>
        </w:rPr>
        <w:t>实施路径：</w:t>
      </w:r>
      <w:r>
        <w:rPr>
          <w:rFonts w:ascii="Segoe UI" w:hAnsi="Segoe UI" w:eastAsia="微软雅黑"/>
          <w:b w:val="0"/>
          <w:color w:val="1F2937"/>
          <w:sz w:val="20"/>
        </w:rPr>
        <w:t>接入开放数据域子包实现好友排行榜；结合已成熟的 Elo 系统做段位展示与好友 PK。</w:t>
      </w:r>
      <w:r>
        <w:rPr>
          <w:rFonts w:ascii="Segoe UI" w:hAnsi="Segoe UI" w:eastAsia="微软雅黑"/>
          <w:b/>
          <w:color w:val="1F2937"/>
          <w:sz w:val="20"/>
        </w:rPr>
        <w:t>投入产出比在所有方向中最高，建议列为首个攻坚目标。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攻坚方向二：扩充 PvE 内容储备。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当前关卡配置 levels.json 为 </w:t>
      </w:r>
      <w:r>
        <w:rPr>
          <w:rFonts w:ascii="Segoe UI" w:hAnsi="Segoe UI" w:eastAsia="微软雅黑"/>
          <w:b/>
          <w:color w:val="1F2937"/>
          <w:sz w:val="20"/>
        </w:rPr>
        <w:t>17 KB</w:t>
      </w:r>
      <w:r>
        <w:rPr>
          <w:rFonts w:ascii="Segoe UI" w:hAnsi="Segoe UI" w:eastAsia="微软雅黑"/>
          <w:b w:val="0"/>
          <w:color w:val="1F2937"/>
          <w:sz w:val="20"/>
        </w:rPr>
        <w:t xml:space="preserve">，而技能体系 skills.json 已达 </w:t>
      </w:r>
      <w:r>
        <w:rPr>
          <w:rFonts w:ascii="Segoe UI" w:hAnsi="Segoe UI" w:eastAsia="微软雅黑"/>
          <w:b/>
          <w:color w:val="1F2937"/>
          <w:sz w:val="20"/>
        </w:rPr>
        <w:t>111 KB</w:t>
      </w:r>
      <w:r>
        <w:rPr>
          <w:rFonts w:ascii="Segoe UI" w:hAnsi="Segoe UI" w:eastAsia="微软雅黑"/>
          <w:b w:val="0"/>
          <w:color w:val="1F2937"/>
          <w:sz w:val="20"/>
        </w:rPr>
        <w:t>——</w:t>
      </w:r>
      <w:r>
        <w:rPr>
          <w:rFonts w:ascii="Segoe UI" w:hAnsi="Segoe UI" w:eastAsia="微软雅黑"/>
          <w:b/>
          <w:color w:val="1F2937"/>
          <w:sz w:val="20"/>
        </w:rPr>
        <w:t>内容层相对系统层的填充空间非常可观</w:t>
      </w:r>
      <w:r>
        <w:rPr>
          <w:rFonts w:ascii="Segoe UI" w:hAnsi="Segoe UI" w:eastAsia="微软雅黑"/>
          <w:b w:val="0"/>
          <w:color w:val="1F2937"/>
          <w:sz w:val="20"/>
        </w:rPr>
        <w:t>。这说明机制深度已经到位，正等待内容去填满它，是一条方向清晰、可以直接投入资源的增长路线。</w:t>
      </w:r>
      <w:r>
        <w:br/>
      </w:r>
      <w:r>
        <w:br/>
      </w:r>
      <w:r>
        <w:rPr>
          <w:rFonts w:ascii="Segoe UI" w:hAnsi="Segoe UI" w:eastAsia="微软雅黑"/>
          <w:b/>
          <w:color w:val="1F2937"/>
          <w:sz w:val="20"/>
        </w:rPr>
        <w:t>实施路径：</w:t>
      </w:r>
      <w:r>
        <w:rPr>
          <w:rFonts w:ascii="Segoe UI" w:hAnsi="Segoe UI" w:eastAsia="微软雅黑"/>
          <w:b w:val="0"/>
          <w:color w:val="1F2937"/>
          <w:sz w:val="20"/>
        </w:rPr>
        <w:t>一条</w:t>
      </w:r>
      <w:r>
        <w:rPr>
          <w:rFonts w:ascii="Segoe UI" w:hAnsi="Segoe UI" w:eastAsia="微软雅黑"/>
          <w:b/>
          <w:color w:val="1F2937"/>
          <w:sz w:val="20"/>
        </w:rPr>
        <w:t>无需改动任何核心机制、可并行推进</w:t>
      </w:r>
      <w:r>
        <w:rPr>
          <w:rFonts w:ascii="Segoe UI" w:hAnsi="Segoe UI" w:eastAsia="微软雅黑"/>
          <w:b w:val="0"/>
          <w:color w:val="1F2937"/>
          <w:sz w:val="20"/>
        </w:rPr>
        <w:t xml:space="preserve">的内容增量路线——新增题材外壳、战役章节、关卡编排与剧情包装。优势在于风险极低（不影响既有 46 项回归测试），可规模化量产，直接用于拉长新手期的体验曲线。 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攻坚方向三：建立题材与 IP 辨识度。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平台明确认可「成熟玩法框架 + 经典 IP」的商业价值（对标产品月收入可破 5000 万），且其中 </w:t>
      </w:r>
      <w:r>
        <w:rPr>
          <w:rFonts w:ascii="Segoe UI" w:hAnsi="Segoe UI" w:eastAsia="微软雅黑"/>
          <w:b/>
          <w:color w:val="1F2937"/>
          <w:sz w:val="20"/>
        </w:rPr>
        <w:t>50% 新玩家来自 IP 圈外</w:t>
      </w:r>
      <w:r>
        <w:rPr>
          <w:rFonts w:ascii="Segoe UI" w:hAnsi="Segoe UI" w:eastAsia="微软雅黑"/>
          <w:b w:val="0"/>
          <w:color w:val="1F2937"/>
          <w:sz w:val="20"/>
        </w:rPr>
        <w:t>——这部分是纯粹增量人群，触达先机即占有优势，构成一个清晰的机会窗口。</w:t>
      </w:r>
      <w:r>
        <w:br/>
      </w:r>
      <w:r>
        <w:br/>
      </w:r>
      <w:r>
        <w:rPr>
          <w:rFonts w:ascii="Segoe UI" w:hAnsi="Segoe UI" w:eastAsia="微软雅黑"/>
          <w:b/>
          <w:color w:val="1F2937"/>
          <w:sz w:val="20"/>
        </w:rPr>
        <w:t>实施路径（两条并行）：</w:t>
      </w:r>
      <w:r>
        <w:rPr>
          <w:rFonts w:ascii="Segoe UI" w:hAnsi="Segoe UI" w:eastAsia="微软雅黑"/>
          <w:b w:val="0"/>
          <w:color w:val="1F2937"/>
          <w:sz w:val="20"/>
        </w:rPr>
        <w:t xml:space="preserve">① 接入平台「权益库」——后台已开放 </w:t>
      </w:r>
      <w:r>
        <w:rPr>
          <w:rFonts w:ascii="Segoe UI" w:hAnsi="Segoe UI" w:eastAsia="微软雅黑"/>
          <w:b/>
          <w:color w:val="1F2937"/>
          <w:sz w:val="20"/>
        </w:rPr>
        <w:t>400 余个 IP</w:t>
      </w:r>
      <w:r>
        <w:rPr>
          <w:rFonts w:ascii="Segoe UI" w:hAnsi="Segoe UI" w:eastAsia="微软雅黑"/>
          <w:b w:val="0"/>
          <w:color w:val="1F2937"/>
          <w:sz w:val="20"/>
        </w:rPr>
        <w:t xml:space="preserve">，对接门槛较低，见效快但需让渡部分分成；② 自建记忆点——若无 IP 预算，则用品类清晰的美术风格与题材包装构建用户认知。前者快而分润，后者慢而利厚，可按资金节奏分阶段推进。 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06  </w:t>
      </w:r>
      <w:r>
        <w:rPr>
          <w:rFonts w:ascii="Segoe UI" w:hAnsi="Segoe UI" w:eastAsia="微软雅黑"/>
          <w:b/>
          <w:color w:val="12263F"/>
          <w:sz w:val="32"/>
        </w:rPr>
        <w:t>商业化模型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6.1 骨架已完工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变现所需的代码模块基本齐备，这是相对同类早期项目的显著优势：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待办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ShopSystem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商品陈列、购买流程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配置真实商品与定价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BattlePassSystem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战令、赛季、奖励阶梯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定价与内容填充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EquipmentSystem / TechTreeSystem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数值付费深度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平衡性调优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AdManager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激励视频 ×6 / 插屏 / Banner，含完整容错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申请真实广告位 ID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PowerSystem / BonusCalculator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战力与加成结算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启用前置事项：</w:t>
      </w:r>
      <w:r>
        <w:rPr>
          <w:rFonts w:ascii="Segoe UI" w:hAnsi="Segoe UI" w:eastAsia="微软雅黑"/>
          <w:b w:val="0"/>
          <w:color w:val="1F2937"/>
          <w:sz w:val="20"/>
        </w:rPr>
        <w:t xml:space="preserve">当前 </w:t>
      </w:r>
      <w:r>
        <w:rPr>
          <w:rFonts w:ascii="Consolas" w:hAnsi="Consolas" w:eastAsia="Consolas"/>
          <w:b w:val="0"/>
          <w:color w:val="1F2937"/>
          <w:sz w:val="20"/>
        </w:rPr>
        <w:t>config/ads.json</w:t>
      </w:r>
      <w:r>
        <w:rPr>
          <w:rFonts w:ascii="Segoe UI" w:hAnsi="Segoe UI" w:eastAsia="微软雅黑"/>
          <w:b w:val="0"/>
          <w:color w:val="1F2937"/>
          <w:sz w:val="20"/>
        </w:rPr>
        <w:t xml:space="preserve"> 中 8 个广告位 ID 为占位示例值，</w:t>
      </w:r>
      <w:r>
        <w:rPr>
          <w:rFonts w:ascii="Consolas" w:hAnsi="Consolas" w:eastAsia="Consolas"/>
          <w:b w:val="0"/>
          <w:color w:val="1F2937"/>
          <w:sz w:val="20"/>
        </w:rPr>
        <w:t>enabled</w:t>
      </w:r>
      <w:r>
        <w:rPr>
          <w:rFonts w:ascii="Segoe UI" w:hAnsi="Segoe UI" w:eastAsia="微软雅黑"/>
          <w:b w:val="0"/>
          <w:color w:val="1F2937"/>
          <w:sz w:val="20"/>
        </w:rPr>
        <w:t xml:space="preserve"> 已在工程侧主动置为 </w:t>
      </w:r>
      <w:r>
        <w:rPr>
          <w:rFonts w:ascii="Consolas" w:hAnsi="Consolas" w:eastAsia="Consolas"/>
          <w:b w:val="0"/>
          <w:color w:val="1F2937"/>
          <w:sz w:val="20"/>
        </w:rPr>
        <w:t>false</w:t>
      </w:r>
      <w:r>
        <w:rPr>
          <w:rFonts w:ascii="Segoe UI" w:hAnsi="Segoe UI" w:eastAsia="微软雅黑"/>
          <w:b w:val="0"/>
          <w:color w:val="1F2937"/>
          <w:sz w:val="20"/>
        </w:rPr>
        <w:t>（避免在 ID 就绪前产生无效调用、影响玩家体验）。</w:t>
      </w:r>
      <w:r>
        <w:br/>
      </w:r>
      <w:r>
        <w:br/>
      </w:r>
      <w:r>
        <w:rPr>
          <w:rFonts w:ascii="Segoe UI" w:hAnsi="Segoe UI" w:eastAsia="微软雅黑"/>
          <w:b/>
          <w:color w:val="1F2937"/>
          <w:sz w:val="20"/>
        </w:rPr>
        <w:t>生产切换仅需两步</w:t>
      </w:r>
      <w:r>
        <w:rPr>
          <w:rFonts w:ascii="Segoe UI" w:hAnsi="Segoe UI" w:eastAsia="微软雅黑"/>
          <w:b w:val="0"/>
          <w:color w:val="1F2937"/>
          <w:sz w:val="20"/>
        </w:rPr>
        <w:t xml:space="preserve">：① 申请流量主获取真实广告位 ID；② 回填配置并执行 </w:t>
      </w:r>
      <w:r>
        <w:rPr>
          <w:rFonts w:ascii="Consolas" w:hAnsi="Consolas" w:eastAsia="Consolas"/>
          <w:b w:val="0"/>
          <w:color w:val="1F2937"/>
          <w:sz w:val="20"/>
        </w:rPr>
        <w:t>build-config-js</w:t>
      </w:r>
      <w:r>
        <w:rPr>
          <w:rFonts w:ascii="Segoe UI" w:hAnsi="Segoe UI" w:eastAsia="微软雅黑"/>
          <w:b w:val="0"/>
          <w:color w:val="1F2937"/>
          <w:sz w:val="20"/>
        </w:rPr>
        <w:t xml:space="preserve"> 重新编译。</w:t>
      </w:r>
      <w:r>
        <w:rPr>
          <w:rFonts w:ascii="Segoe UI" w:hAnsi="Segoe UI" w:eastAsia="微软雅黑"/>
          <w:b/>
          <w:color w:val="1F2937"/>
          <w:sz w:val="20"/>
        </w:rPr>
        <w:t>工程已完成完整开关设计，切换过程零代码改动。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6.2 建议的收入结构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目标占比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设计要点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IAP — 抽卡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35%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核心付费驱动，配合保底与卡池轮换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IAP — 战令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20%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高性价比感知，拉月留存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IAP — 礼包 / 资源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20%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首充 6 元破冰，成长基金承接中 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IAA — 激励视频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20%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关键</w:t>
            </w:r>
            <w:r>
              <w:rPr>
                <w:rFonts w:ascii="Segoe UI" w:hAnsi="Segoe UI" w:eastAsia="微软雅黑"/>
                <w:b/>
                <w:color w:val="1F2937"/>
                <w:sz w:val="18"/>
              </w:rPr>
              <w:t>双轨制设计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：付费点同时提供广告替代（抽卡、复活、双倍收益）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IAA — 插屏 / Banner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5%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克制使用，避免破坏节奏</w:t>
            </w:r>
          </w:p>
        </w:tc>
      </w:tr>
    </w:tbl>
    <w:p>
      <w:pPr>
        <w:spacing w:after="80"/>
      </w:pPr>
    </w:p>
    <w:p>
      <w:pPr>
        <w:spacing w:before="120" w:after="160" w:line="360" w:lineRule="auto"/>
        <w:ind w:left="142" w:right="85"/>
        <w:shd w:val="clear" w:color="auto" w:fill="F0FDF4"/>
        <w:pBdr>
          <w:left w:val="single" w:sz="18" w:space="8" w:color="15803D"/>
        </w:pBdr>
      </w:pPr>
      <w:r>
        <w:rPr>
          <w:rFonts w:ascii="Segoe UI" w:hAnsi="Segoe UI" w:eastAsia="微软雅黑"/>
          <w:b/>
          <w:color w:val="1F2937"/>
          <w:sz w:val="20"/>
        </w:rPr>
        <w:t>双轨制是关键。</w:t>
      </w:r>
      <w:r>
        <w:rPr>
          <w:rFonts w:ascii="Segoe UI" w:hAnsi="Segoe UI" w:eastAsia="微软雅黑"/>
          <w:b w:val="0"/>
          <w:color w:val="1F2937"/>
          <w:sz w:val="20"/>
        </w:rPr>
        <w:t>行业经验表明：在同一点位同时提供「付费」与「看广告」两种路径，让愿意付费的人付费、不愿付费的人贡献广告收益。这既提升总收入，也降低非付费玩家的挫败感——对本项目这种无 IP 买量型产品尤其重要，因为</w:t>
      </w:r>
      <w:r>
        <w:rPr>
          <w:rFonts w:ascii="Segoe UI" w:hAnsi="Segoe UI" w:eastAsia="微软雅黑"/>
          <w:b/>
          <w:color w:val="1F2937"/>
          <w:sz w:val="20"/>
        </w:rPr>
        <w:t>买量来的流量里非付费是绝大多数</w:t>
      </w:r>
      <w:r>
        <w:rPr>
          <w:rFonts w:ascii="Segoe UI" w:hAnsi="Segoe UI" w:eastAsia="微软雅黑"/>
          <w:b w:val="0"/>
          <w:color w:val="1F2937"/>
          <w:sz w:val="20"/>
        </w:rPr>
        <w:t xml:space="preserve">。 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6.3 定价带建议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首充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6 元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极低价破冰，把首次付费门槛压到最低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月卡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30 元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稳定现金流，培养付费习惯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战令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68 元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主要收入来源之一，配合赛季节奏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成长基金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128 元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承接中 R，锁定长期留存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高阶礼包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328 / 648 元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服务大 R，含特殊卡池与外观</w:t>
            </w:r>
          </w:p>
        </w:tc>
      </w:tr>
    </w:tbl>
    <w:p>
      <w:pPr>
        <w:spacing w:after="80"/>
      </w:pP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07  </w:t>
      </w:r>
      <w:r>
        <w:rPr>
          <w:rFonts w:ascii="Segoe UI" w:hAnsi="Segoe UI" w:eastAsia="微软雅黑"/>
          <w:b/>
          <w:color w:val="12263F"/>
          <w:sz w:val="32"/>
        </w:rPr>
        <w:t>技术与成本优势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7.1 接入 AI 的研发提效对比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以「重建当前同等体量资产」为统一测算对象（</w:t>
      </w:r>
      <w:r>
        <w:rPr>
          <w:rFonts w:ascii="Segoe UI" w:hAnsi="Segoe UI" w:eastAsia="微软雅黑"/>
          <w:b/>
          <w:color w:val="1F2937"/>
          <w:sz w:val="21"/>
        </w:rPr>
        <w:t>19830 行源码 / 16 个配置 / 46 项测试</w:t>
      </w:r>
      <w:r>
        <w:rPr>
          <w:rFonts w:ascii="Segoe UI" w:hAnsi="Segoe UI" w:eastAsia="微软雅黑"/>
          <w:b w:val="0"/>
          <w:color w:val="1F2937"/>
          <w:sz w:val="21"/>
        </w:rPr>
        <w:t>），对比传统研发路径与接入 AI 协作后的路径差异：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研发环节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传统模式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协作模式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压缩比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AI 主要承担的工作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立项调研与数值框架设计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1.5 人月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0.2 人月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87%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竞品结构拆解、数值表草案、方案比稿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核心战斗 · 行军 · 布阵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1.5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0.3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80%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结算逻辑、寻路算法、边界用例生成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数值深度（技能 111 KB / 羁绊 / 科技树）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 人月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0.4 人月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87%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配置条目批量生产、格式校验、平衡性初筛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局外养成闭环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2.5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0.4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84%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模板化模块搭建、奖励阶梯推导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渲染与交互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4 人月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0.6 人月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85%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布局函数、动画曲线、坐标对齐检查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商业化模块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0.3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85%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商品结构、购买流程、容错兜底分支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异步对战与确定性同步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 人月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0.4 人月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80%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种子一致性逻辑、快照与回放用例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测试与回归体系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1.5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0.2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87%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用例批量生成、回归脚本、依赖自检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美术与音频资产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另行采购 / 外包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以 AI 生成为主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显著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风格稿、批量切图、音频克隆与剪辑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纯开发合计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18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约 2.8 人月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约 84%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160" w:after="60" w:line="360" w:lineRule="auto"/>
      </w:pPr>
      <w:r>
        <w:rPr>
          <w:rFonts w:ascii="Segoe UI" w:hAnsi="Segoe UI" w:eastAsia="微软雅黑"/>
          <w:b/>
          <w:color w:val="334155"/>
          <w:sz w:val="23"/>
        </w:rPr>
        <w:t>折算为日历工期与投入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传统研发路径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接入 AI 协作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总投入（含管理与返工冗余）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约 27～30 人月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约 7 人月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团队规模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3～4 人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3～4 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日历工期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8～10 个月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1～2 个月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综合人力成本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约 120～200 万元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约 28～35 万元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AI 工具与算力订阅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约 3～6 万元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合计投入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约 120～200 万元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约 30～40 万元</w:t>
            </w:r>
          </w:p>
        </w:tc>
      </w:tr>
    </w:tbl>
    <w:p>
      <w:pPr>
        <w:spacing w:after="80"/>
      </w:pPr>
    </w:p>
    <w:p>
      <w:pPr>
        <w:spacing w:before="120" w:after="160" w:line="360" w:lineRule="auto"/>
        <w:ind w:left="142" w:right="85"/>
        <w:shd w:val="clear" w:color="auto" w:fill="F0FDF4"/>
        <w:pBdr>
          <w:left w:val="single" w:sz="18" w:space="8" w:color="15803D"/>
        </w:pBdr>
      </w:pPr>
      <w:r>
        <w:rPr>
          <w:rFonts w:ascii="Segoe UI" w:hAnsi="Segoe UI" w:eastAsia="微软雅黑"/>
          <w:b/>
          <w:color w:val="1F2937"/>
          <w:sz w:val="20"/>
        </w:rPr>
        <w:t>核心结论：</w:t>
      </w:r>
      <w:r>
        <w:rPr>
          <w:rFonts w:ascii="Segoe UI" w:hAnsi="Segoe UI" w:eastAsia="微软雅黑"/>
          <w:b w:val="0"/>
          <w:color w:val="1F2937"/>
          <w:sz w:val="20"/>
        </w:rPr>
        <w:t>在同等产出标准下，接入 AI 协作后，</w:t>
      </w:r>
      <w:r>
        <w:rPr>
          <w:rFonts w:ascii="Segoe UI" w:hAnsi="Segoe UI" w:eastAsia="微软雅黑"/>
          <w:b/>
          <w:color w:val="1F2937"/>
          <w:sz w:val="20"/>
        </w:rPr>
        <w:t>研发周期从 8～10 个月压缩到 1～2 个月，整体投入降至常规路径的约五分之一</w:t>
      </w:r>
      <w:r>
        <w:rPr>
          <w:rFonts w:ascii="Segoe UI" w:hAnsi="Segoe UI" w:eastAsia="微软雅黑"/>
          <w:b w:val="0"/>
          <w:color w:val="1F2937"/>
          <w:sz w:val="20"/>
        </w:rPr>
        <w:t>。</w:t>
      </w:r>
      <w:r>
        <w:br/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这不是估算——2026 微信小游戏开发者大会上，平台方已明确表态：</w:t>
      </w:r>
      <w:r>
        <w:rPr>
          <w:rFonts w:ascii="Segoe UI" w:hAnsi="Segoe UI" w:eastAsia="微软雅黑"/>
          <w:b/>
          <w:color w:val="1F2937"/>
          <w:sz w:val="20"/>
        </w:rPr>
        <w:t>「AI 深度融入立项调研、美术生成、代码测试等全流程，大幅缩短研发周期并降低全链路成本」</w:t>
      </w:r>
      <w:r>
        <w:rPr>
          <w:rFonts w:ascii="Segoe UI" w:hAnsi="Segoe UI" w:eastAsia="微软雅黑"/>
          <w:b w:val="0"/>
          <w:color w:val="1F2937"/>
          <w:sz w:val="20"/>
        </w:rPr>
        <w:t xml:space="preserve">。这一判断由平台官方给出，并非本项目的主观乐观。 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提效的边界在哪里 —— 保持对 AI 能力的清醒认知：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AI 的优势集中在</w:t>
      </w:r>
      <w:r>
        <w:rPr>
          <w:rFonts w:ascii="Segoe UI" w:hAnsi="Segoe UI" w:eastAsia="微软雅黑"/>
          <w:b/>
          <w:color w:val="1F2937"/>
          <w:sz w:val="20"/>
        </w:rPr>
        <w:t>重复性编码、配置批量生成、测试用例编写、美术素材生产</w:t>
      </w:r>
      <w:r>
        <w:rPr>
          <w:rFonts w:ascii="Segoe UI" w:hAnsi="Segoe UI" w:eastAsia="微软雅黑"/>
          <w:b w:val="0"/>
          <w:color w:val="1F2937"/>
          <w:sz w:val="20"/>
        </w:rPr>
        <w:t>这些高密度确定性环节；而</w:t>
      </w:r>
      <w:r>
        <w:rPr>
          <w:rFonts w:ascii="Segoe UI" w:hAnsi="Segoe UI" w:eastAsia="微软雅黑"/>
          <w:b/>
          <w:color w:val="1F2937"/>
          <w:sz w:val="20"/>
        </w:rPr>
        <w:t>核心数值平衡、战斗手感调优、题材创意 concept、付费节奏设计</w:t>
      </w:r>
      <w:r>
        <w:rPr>
          <w:rFonts w:ascii="Segoe UI" w:hAnsi="Segoe UI" w:eastAsia="微软雅黑"/>
          <w:b w:val="0"/>
          <w:color w:val="1F2937"/>
          <w:sz w:val="20"/>
        </w:rPr>
        <w:t>仍需人工判断与反复验证。</w:t>
      </w:r>
      <w:r>
        <w:br/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因此「1～2 个月」的实现前提是：</w:t>
      </w:r>
      <w:r>
        <w:rPr>
          <w:rFonts w:ascii="Segoe UI" w:hAnsi="Segoe UI" w:eastAsia="微软雅黑"/>
          <w:b/>
          <w:color w:val="1F2937"/>
          <w:sz w:val="20"/>
        </w:rPr>
        <w:t>AI 承担约 80% 的生产工作 + 人工把关关键决策与最终质量</w:t>
      </w:r>
      <w:r>
        <w:rPr>
          <w:rFonts w:ascii="Segoe UI" w:hAnsi="Segoe UI" w:eastAsia="微软雅黑"/>
          <w:b w:val="0"/>
          <w:color w:val="1F2937"/>
          <w:sz w:val="20"/>
        </w:rPr>
        <w:t xml:space="preserve">。若完全期望 AI 无人化产出，既不现实，也会把风险转移到最不可控的环节。 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对本项目的直接价值 —— 指向第 5 章的三个攻坚方向：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更值得关注的是，AI 提效最显著的环节恰好覆盖了本项目的后续重心：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</w:t>
      </w:r>
      <w:r>
        <w:rPr>
          <w:rFonts w:ascii="Segoe UI" w:hAnsi="Segoe UI" w:eastAsia="微软雅黑"/>
          <w:b/>
          <w:color w:val="1F2937"/>
          <w:sz w:val="20"/>
        </w:rPr>
        <w:t>美术与音频资产</w:t>
      </w:r>
      <w:r>
        <w:rPr>
          <w:rFonts w:ascii="Segoe UI" w:hAnsi="Segoe UI" w:eastAsia="微软雅黑"/>
          <w:b w:val="0"/>
          <w:color w:val="1F2937"/>
          <w:sz w:val="20"/>
        </w:rPr>
        <w:t>（压缩最显著）→ 直接加速「题材与差异化包装」；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</w:t>
      </w:r>
      <w:r>
        <w:rPr>
          <w:rFonts w:ascii="Segoe UI" w:hAnsi="Segoe UI" w:eastAsia="微软雅黑"/>
          <w:b/>
          <w:color w:val="1F2937"/>
          <w:sz w:val="20"/>
        </w:rPr>
        <w:t>配置条目批量生产</w:t>
      </w:r>
      <w:r>
        <w:rPr>
          <w:rFonts w:ascii="Segoe UI" w:hAnsi="Segoe UI" w:eastAsia="微软雅黑"/>
          <w:b w:val="0"/>
          <w:color w:val="1F2937"/>
          <w:sz w:val="20"/>
        </w:rPr>
        <w:t>（压缩 87%）→ 直接加速「PvE 内容扩容」，把 17 KB 的关卡配置快速填补起来；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</w:t>
      </w:r>
      <w:r>
        <w:rPr>
          <w:rFonts w:ascii="Segoe UI" w:hAnsi="Segoe UI" w:eastAsia="微软雅黑"/>
          <w:b/>
          <w:color w:val="1F2937"/>
          <w:sz w:val="20"/>
        </w:rPr>
        <w:t>测试用例生成</w:t>
      </w:r>
      <w:r>
        <w:rPr>
          <w:rFonts w:ascii="Segoe UI" w:hAnsi="Segoe UI" w:eastAsia="微软雅黑"/>
          <w:b w:val="0"/>
          <w:color w:val="1F2937"/>
          <w:sz w:val="20"/>
        </w:rPr>
        <w:t>（压缩 87%）→ 保证在既有 46 项回归测试保护下安全迭代。</w:t>
      </w:r>
      <w:r>
        <w:br/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这意味着第 5 章三个攻坚方向的</w:t>
      </w:r>
      <w:r>
        <w:rPr>
          <w:rFonts w:ascii="Segoe UI" w:hAnsi="Segoe UI" w:eastAsia="微软雅黑"/>
          <w:b/>
          <w:color w:val="1F2937"/>
          <w:sz w:val="20"/>
        </w:rPr>
        <w:t>实际执行成本，将显著低于常规预算经验值</w:t>
      </w:r>
      <w:r>
        <w:rPr>
          <w:rFonts w:ascii="Segoe UI" w:hAnsi="Segoe UI" w:eastAsia="微软雅黑"/>
          <w:b w:val="0"/>
          <w:color w:val="1F2937"/>
          <w:sz w:val="20"/>
        </w:rPr>
        <w:t xml:space="preserve">——这也是本项目敢于把资源集中压向内容侧的底气所在。 </w:t>
      </w:r>
    </w:p>
    <w:p>
      <w:pPr>
        <w:spacing w:before="0" w:after="10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 xml:space="preserve"> 测算口径：人月数据基于本项目实际代码体量（19830 行 / 47 模块 / 16 配置）与行业通行产能基准推算；综合人力成本按 4～5 万元/人月（含社保、管理分摊等的全成本口径）。以上为说明 AI 提效量级的对比性推算，非实际发生成本，不构成财务入账依据。 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7.2 这项优势的战略含义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交付确定性已锁定。</w:t>
      </w:r>
      <w:r>
        <w:rPr>
          <w:rFonts w:ascii="Segoe UI" w:hAnsi="Segoe UI" w:eastAsia="微软雅黑"/>
          <w:b w:val="0"/>
          <w:color w:val="1F2937"/>
          <w:sz w:val="21"/>
        </w:rPr>
        <w:t>项目最常见的三类不确定性——做不出来、周期失控、工程质量不可控——在现有 19830 行代码与 46 项回归测试的支撑下均已排除。这意味着后续的全部注意力可以集中在市场侧</w:t>
      </w:r>
      <w:r>
        <w:rPr>
          <w:rFonts w:ascii="Segoe UI" w:hAnsi="Segoe UI" w:eastAsia="微软雅黑"/>
          <w:b/>
          <w:color w:val="1F2937"/>
          <w:sz w:val="21"/>
        </w:rPr>
        <w:t>价值的构建与释放</w:t>
      </w:r>
      <w:r>
        <w:rPr>
          <w:rFonts w:ascii="Segoe UI" w:hAnsi="Segoe UI" w:eastAsia="微软雅黑"/>
          <w:b w:val="0"/>
          <w:color w:val="1F2937"/>
          <w:sz w:val="21"/>
        </w:rPr>
        <w:t>上。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资金投向可以高度集中。</w:t>
      </w:r>
      <w:r>
        <w:rPr>
          <w:rFonts w:ascii="Segoe UI" w:hAnsi="Segoe UI" w:eastAsia="微软雅黑"/>
          <w:b w:val="0"/>
          <w:color w:val="1F2937"/>
          <w:sz w:val="21"/>
        </w:rPr>
        <w:t>不必为底层工程付费，预算可以压到</w:t>
      </w:r>
      <w:r>
        <w:rPr>
          <w:rFonts w:ascii="Segoe UI" w:hAnsi="Segoe UI" w:eastAsia="微软雅黑"/>
          <w:b/>
          <w:color w:val="1F2937"/>
          <w:sz w:val="21"/>
        </w:rPr>
        <w:t>内容生产 + 买量验证</w:t>
      </w:r>
      <w:r>
        <w:rPr>
          <w:rFonts w:ascii="Segoe UI" w:hAnsi="Segoe UI" w:eastAsia="微软雅黑"/>
          <w:b w:val="0"/>
          <w:color w:val="1F2937"/>
          <w:sz w:val="21"/>
        </w:rPr>
        <w:t>这两件真正决定成败的事上。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迭代速度快。</w:t>
      </w:r>
      <w:r>
        <w:rPr>
          <w:rFonts w:ascii="Segoe UI" w:hAnsi="Segoe UI" w:eastAsia="微软雅黑"/>
          <w:b w:val="0"/>
          <w:color w:val="1F2937"/>
          <w:sz w:val="21"/>
        </w:rPr>
        <w:t>模块化 + 配置驱动 + 46 个回归测试保护，意味着调优周期以天计而非周计——这在买量迭代中直接换算为成本优势。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AI 进一步放大了上述全部优势。</w:t>
      </w:r>
      <w:r>
        <w:rPr>
          <w:rFonts w:ascii="Segoe UI" w:hAnsi="Segoe UI" w:eastAsia="微软雅黑"/>
          <w:b w:val="0"/>
          <w:color w:val="1F2937"/>
          <w:sz w:val="21"/>
        </w:rPr>
        <w:t>7.1 的测算显示 AI 协作可将研发周期压缩至常规路径的五分之一。更重要的是，</w:t>
      </w:r>
      <w:r>
        <w:rPr>
          <w:rFonts w:ascii="Segoe UI" w:hAnsi="Segoe UI" w:eastAsia="微软雅黑"/>
          <w:b/>
          <w:color w:val="1F2937"/>
          <w:sz w:val="21"/>
        </w:rPr>
        <w:t>被压缩幅度最大的恰好是本项目后续最需要的四个环节</w:t>
      </w:r>
      <w:r>
        <w:rPr>
          <w:rFonts w:ascii="Segoe UI" w:hAnsi="Segoe UI" w:eastAsia="微软雅黑"/>
          <w:b w:val="0"/>
          <w:color w:val="1F2937"/>
          <w:sz w:val="21"/>
        </w:rPr>
        <w:t>——内容批量生产（87%）、测试用例生成（87%）、配置数据填充（87%）、美术音频资产（显著）。这意味着第 5 章三个攻坚方向的实际预算需求，将明显低于常规行业的经验值。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价值换算：</w:t>
      </w:r>
      <w:r>
        <w:rPr>
          <w:rFonts w:ascii="Segoe UI" w:hAnsi="Segoe UI" w:eastAsia="微软雅黑"/>
          <w:b w:val="0"/>
          <w:color w:val="1F2937"/>
          <w:sz w:val="20"/>
        </w:rPr>
        <w:t>技术资产的核心作用是</w:t>
      </w:r>
      <w:r>
        <w:rPr>
          <w:rFonts w:ascii="Segoe UI" w:hAnsi="Segoe UI" w:eastAsia="微软雅黑"/>
          <w:b/>
          <w:color w:val="1F2937"/>
          <w:sz w:val="20"/>
        </w:rPr>
        <w:t>锁定交付下限</w:t>
      </w:r>
      <w:r>
        <w:rPr>
          <w:rFonts w:ascii="Segoe UI" w:hAnsi="Segoe UI" w:eastAsia="微软雅黑"/>
          <w:b w:val="0"/>
          <w:color w:val="1F2937"/>
          <w:sz w:val="20"/>
        </w:rPr>
        <w:t>——它确保了产品能够按预期交付，且质量始终可控。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而增长上限由第 5 章的三个攻坚方向决定：内容差异化、社交链路、题材辨识度。</w:t>
      </w:r>
      <w:r>
        <w:br/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因此资源评估的重心应放在这三项的投入力度上，同时把 19830 行代码视为</w:t>
      </w:r>
      <w:r>
        <w:rPr>
          <w:rFonts w:ascii="Segoe UI" w:hAnsi="Segoe UI" w:eastAsia="微软雅黑"/>
          <w:b/>
          <w:color w:val="1F2937"/>
          <w:sz w:val="20"/>
        </w:rPr>
        <w:t>「已支付完成的前置投入」</w:t>
      </w:r>
      <w:r>
        <w:rPr>
          <w:rFonts w:ascii="Segoe UI" w:hAnsi="Segoe UI" w:eastAsia="微软雅黑"/>
          <w:b w:val="0"/>
          <w:color w:val="1F2937"/>
          <w:sz w:val="20"/>
        </w:rPr>
        <w:t xml:space="preserve">——它是入场券与地基，不是天花板；它的意义在于让后续每一分钱都可以直接投向用户侧。 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08  </w:t>
      </w:r>
      <w:r>
        <w:rPr>
          <w:rFonts w:ascii="Segoe UI" w:hAnsi="Segoe UI" w:eastAsia="微软雅黑"/>
          <w:b/>
          <w:color w:val="12263F"/>
          <w:sz w:val="32"/>
        </w:rPr>
        <w:t>后续优化攻克方向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以下清单不构成「待修复的问题」，而是</w:t>
      </w:r>
      <w:r>
        <w:rPr>
          <w:rFonts w:ascii="Segoe UI" w:hAnsi="Segoe UI" w:eastAsia="微软雅黑"/>
          <w:b/>
          <w:color w:val="1F2937"/>
          <w:sz w:val="21"/>
        </w:rPr>
        <w:t>价值尚未释放的空间</w:t>
      </w:r>
      <w:r>
        <w:rPr>
          <w:rFonts w:ascii="Segoe UI" w:hAnsi="Segoe UI" w:eastAsia="微软雅黑"/>
          <w:b w:val="0"/>
          <w:color w:val="1F2937"/>
          <w:sz w:val="21"/>
        </w:rPr>
        <w:t>。工程底座与商业化闭环已经完成，从「能运行」走向「有竞争力」的全部路径，都收敛在这七个方向里。它们均已识别出清晰的实施办法，区别只在优先级与资源节奏。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优化攻克方向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释放价值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实施路径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社交链路建设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当前状态：接口方案已标注，待接入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对应收入侧可达 80% 潜力、留存侧可达 88% 潜力（平台基准数据）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开放数据域子包 + 好友榜 + Elo 段位展示与好友 PK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[首攻]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题材与差异化包装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当前状态：内容层待充实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买量转化效率与长期留存的提升空间，直接决定有无记忆点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题材外壳重建 + 内容填充；玩法机制冻结后最大的创造自由度所在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[首攻]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数据资产积累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当前状态：待启动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为版本调优与投放决策提供真实锚点，是所有优化的前提依据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M3 阶段小规模买量实测，产出次日 / 7 日留存与付费率真值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[首攻]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PvE 内容扩容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关卡配置 17 KB / 技能体系 111 KB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拉长新手期体验曲线，改善早期留存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战役章节 + 关卡批量生产；纯内容增量，不触碰既有机制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[重点]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异步 PvP 云端化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当前状态：本地实现已完成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将已完工的 Elo 天梯转化为真实的跨用户对抗引擎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新建独立云环境（不复用既有环境，避免数据混淆）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[重点]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IAA 通道启用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当前状态：已做预防性关闭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解锁约 20% 的目标收入结构，完善双轨变现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申请流量主资质并回填真实广告位 ID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[常规]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真机体验打磨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当前状态：开发者工具已编译通过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刘海屏适配、触摸手感、低端机性能的完整调优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进入多点机型实跑阶段，建立性能基线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[常规]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120" w:after="160" w:line="360" w:lineRule="auto"/>
        <w:ind w:left="142" w:right="85"/>
        <w:shd w:val="clear" w:color="auto" w:fill="F0FDF4"/>
        <w:pBdr>
          <w:left w:val="single" w:sz="18" w:space="8" w:color="15803D"/>
        </w:pBdr>
      </w:pPr>
      <w:r>
        <w:rPr>
          <w:rFonts w:ascii="Segoe UI" w:hAnsi="Segoe UI" w:eastAsia="微软雅黑"/>
          <w:b/>
          <w:color w:val="1F2937"/>
          <w:sz w:val="20"/>
        </w:rPr>
        <w:t>资源分配建议：</w:t>
      </w:r>
      <w:r>
        <w:rPr>
          <w:rFonts w:ascii="Segoe UI" w:hAnsi="Segoe UI" w:eastAsia="微软雅黑"/>
          <w:b w:val="0"/>
          <w:color w:val="1F2937"/>
          <w:sz w:val="20"/>
        </w:rPr>
        <w:t>三个「首攻」方向应当优先于其他所有事项——社交链路决定流量能否自传播，差异化决定用户愿不愿意留下来，数据资产决定后续所有调优是否有依据。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三者之间存在明确的先后：</w:t>
      </w:r>
      <w:r>
        <w:rPr>
          <w:rFonts w:ascii="Segoe UI" w:hAnsi="Segoe UI" w:eastAsia="微软雅黑"/>
          <w:b/>
          <w:color w:val="1F2937"/>
          <w:sz w:val="20"/>
        </w:rPr>
        <w:t>先有差异化内容，再做社交放大，两者都就绪后才值得采集投放数据</w:t>
      </w:r>
      <w:r>
        <w:rPr>
          <w:rFonts w:ascii="Segoe UI" w:hAnsi="Segoe UI" w:eastAsia="微软雅黑"/>
          <w:b w:val="0"/>
          <w:color w:val="1F2937"/>
          <w:sz w:val="20"/>
        </w:rPr>
        <w:t xml:space="preserve">。顺序反过来会导致用未打磨的产品去买流量，既浪费预算又得到失真的结论。 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09  </w:t>
      </w:r>
      <w:r>
        <w:rPr>
          <w:rFonts w:ascii="Segoe UI" w:hAnsi="Segoe UI" w:eastAsia="微软雅黑"/>
          <w:b/>
          <w:color w:val="12263F"/>
          <w:sz w:val="32"/>
        </w:rPr>
        <w:t>运营与获客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9.1 微信生态内的天然优势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项目已集成 ShareSystem，支持转发好友与分享朋友圈，具备基础的社交裂变入口。配合平台「直玩 / 试玩」能力，可显著降低「广告曝光 → 实际体验」之间的转化损耗。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9.2 PC 端：低成本增量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 xml:space="preserve">PC 小游戏 </w:t>
      </w:r>
      <w:r>
        <w:rPr>
          <w:rFonts w:ascii="Segoe UI" w:hAnsi="Segoe UI" w:eastAsia="微软雅黑"/>
          <w:b/>
          <w:color w:val="1F2937"/>
          <w:sz w:val="21"/>
        </w:rPr>
        <w:t>40% 为独占用户</w:t>
      </w:r>
      <w:r>
        <w:rPr>
          <w:rFonts w:ascii="Segoe UI" w:hAnsi="Segoe UI" w:eastAsia="微软雅黑"/>
          <w:b w:val="0"/>
          <w:color w:val="1F2937"/>
          <w:sz w:val="21"/>
        </w:rPr>
        <w:t>、付费增长 130%、ARPU 高出移动端 120%+。本项目 Canvas 2D 架构移植成本低，建议纳入首年规划。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9.3 买量：分阶段释放的放大器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买量是放大器，不是动力源。</w:t>
      </w:r>
      <w:r>
        <w:rPr>
          <w:rFonts w:ascii="Segoe UI" w:hAnsi="Segoe UI" w:eastAsia="微软雅黑"/>
          <w:b w:val="0"/>
          <w:color w:val="1F2937"/>
          <w:sz w:val="20"/>
        </w:rPr>
        <w:t>它放大的是产品本身的效率——产品就绪时投放即刻产生复利，产品未就绪时投放会同步放大每一分浪费。因此节奏比金额更重要。</w:t>
      </w:r>
      <w:r>
        <w:br/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行业经验很具体：某轻 SLG 在放量阶段把日消耗从 10 万提升到 50 万，同期暴露出三个效率瓶颈——</w:t>
      </w:r>
      <w:r>
        <w:rPr>
          <w:rFonts w:ascii="Segoe UI" w:hAnsi="Segoe UI" w:eastAsia="微软雅黑"/>
          <w:b/>
          <w:color w:val="1F2937"/>
          <w:sz w:val="20"/>
        </w:rPr>
        <w:t>投放成本与回收周期不匹配、内容厚度不足以支撑留存、变现结构偏窄</w:t>
      </w:r>
      <w:r>
        <w:rPr>
          <w:rFonts w:ascii="Segoe UI" w:hAnsi="Segoe UI" w:eastAsia="微软雅黑"/>
          <w:b w:val="0"/>
          <w:color w:val="1F2937"/>
          <w:sz w:val="20"/>
        </w:rPr>
        <w:t>。这三点的解法都不在投放端。</w:t>
      </w:r>
      <w:r>
        <w:br/>
      </w:r>
      <w:r>
        <w:br/>
      </w:r>
      <w:r>
        <w:rPr>
          <w:rFonts w:ascii="Segoe UI" w:hAnsi="Segoe UI" w:eastAsia="微软雅黑"/>
          <w:b/>
          <w:color w:val="1F2937"/>
          <w:sz w:val="20"/>
        </w:rPr>
        <w:t>本项目的分阶段节奏：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第 5 章三项攻坚完成前，</w:t>
      </w:r>
      <w:r>
        <w:rPr>
          <w:rFonts w:ascii="Segoe UI" w:hAnsi="Segoe UI" w:eastAsia="微软雅黑"/>
          <w:b/>
          <w:color w:val="1F2937"/>
          <w:sz w:val="20"/>
        </w:rPr>
        <w:t>以学习性投放为主</w:t>
      </w:r>
      <w:r>
        <w:rPr>
          <w:rFonts w:ascii="Segoe UI" w:hAnsi="Segoe UI" w:eastAsia="微软雅黑"/>
          <w:b w:val="0"/>
          <w:color w:val="1F2937"/>
          <w:sz w:val="20"/>
        </w:rPr>
        <w:t>，目标是买数据而非买规模；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以「LTV &gt; CPI」作为放量闸门，不追 DAU 虚荣指标；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素材策略：</w:t>
      </w:r>
      <w:r>
        <w:rPr>
          <w:rFonts w:ascii="Segoe UI" w:hAnsi="Segoe UI" w:eastAsia="微软雅黑"/>
          <w:b/>
          <w:color w:val="1F2937"/>
          <w:sz w:val="20"/>
        </w:rPr>
        <w:t>图片素材整体表现更优</w:t>
      </w:r>
      <w:r>
        <w:rPr>
          <w:rFonts w:ascii="Segoe UI" w:hAnsi="Segoe UI" w:eastAsia="微软雅黑"/>
          <w:b w:val="0"/>
          <w:color w:val="1F2937"/>
          <w:sz w:val="20"/>
        </w:rPr>
        <w:t>，视频素材前 5 秒是转化关键；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把投放反馈当作产品信号来读——CPI 偏高的渠道往往意味着题材匹配度待提升，这是优化输入，不是投放技术问题。 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9.4 平台冷启动扶持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应主动争取 MP 后台闭环服务：测试期公域专区曝光与精准「流量补能」、调优期「分钟级流失」指标诊断、爆发期「新游」专属自然公域标签曝光。这些是免费且能显著降低冷启动成本的资源。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10  </w:t>
      </w:r>
      <w:r>
        <w:rPr>
          <w:rFonts w:ascii="Segoe UI" w:hAnsi="Segoe UI" w:eastAsia="微软雅黑"/>
          <w:b/>
          <w:color w:val="12263F"/>
          <w:sz w:val="32"/>
        </w:rPr>
        <w:t>路线图与里程碑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M0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工程底座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可运行、可测试、可协同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19830 行源码 / 46 测试 / Git 链路 / AppID / 开发者工具编译通过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5803D"/>
                <w:sz w:val="15"/>
              </w:rPr>
              <w:t>[已完成]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M1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真机验证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确认渲染、触摸、适配在真机可用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真机实跑报告、刘海屏适配修正、低端机性能基线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[进行中]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M2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差异化内容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完成三个攻坚方向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题材外壳 + 战役关卡包 + 好友榜 + 开放数据域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[待启动]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M3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数据与变现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拿到第一批真实数据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云环境 + 异步 PvP + 真实广告位 + IAP 上线 + 小规模买量实测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[待启动]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M4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首发上线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吃满平台红利窗口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首发申报 + 规模化放量 +赛季运营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[待启动]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M5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第二曲线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PC 端增量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PC 适配 + 10% 专属广告金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[机会项]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M3 是全项目的价值确认节点。</w:t>
      </w:r>
      <w:r>
        <w:rPr>
          <w:rFonts w:ascii="Segoe UI" w:hAnsi="Segoe UI" w:eastAsia="微软雅黑"/>
          <w:b w:val="0"/>
          <w:color w:val="1F2937"/>
          <w:sz w:val="20"/>
        </w:rPr>
        <w:t>在此之前财务推演依赖行业假设，通过这一阶段后业务将首次拥有自己的真实坐标。该阶段的核心交付物不是收入规模，而是三个关键参数：</w:t>
      </w:r>
      <w:r>
        <w:rPr>
          <w:rFonts w:ascii="Segoe UI" w:hAnsi="Segoe UI" w:eastAsia="微软雅黑"/>
          <w:b/>
          <w:color w:val="1F2937"/>
          <w:sz w:val="20"/>
        </w:rPr>
        <w:t>次日留存、7 日留存、付费率</w:t>
      </w:r>
      <w:r>
        <w:rPr>
          <w:rFonts w:ascii="Segoe UI" w:hAnsi="Segoe UI" w:eastAsia="微软雅黑"/>
          <w:b w:val="0"/>
          <w:color w:val="1F2937"/>
          <w:sz w:val="20"/>
        </w:rPr>
        <w:t xml:space="preserve">——它们决定了后续资源的投放量级与节奏，是早期阶段最值得投入购买的东西。 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11  </w:t>
      </w:r>
      <w:r>
        <w:rPr>
          <w:rFonts w:ascii="Segoe UI" w:hAnsi="Segoe UI" w:eastAsia="微软雅黑"/>
          <w:b/>
          <w:color w:val="12263F"/>
          <w:sz w:val="32"/>
        </w:rPr>
        <w:t>财务测算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阶段说明：</w:t>
      </w:r>
      <w:r>
        <w:rPr>
          <w:rFonts w:ascii="Segoe UI" w:hAnsi="Segoe UI" w:eastAsia="微软雅黑"/>
          <w:b w:val="0"/>
          <w:color w:val="1F2937"/>
          <w:sz w:val="20"/>
        </w:rPr>
        <w:t>本章全部数字为</w:t>
      </w:r>
      <w:r>
        <w:rPr>
          <w:rFonts w:ascii="Segoe UI" w:hAnsi="Segoe UI" w:eastAsia="微软雅黑"/>
          <w:b/>
          <w:color w:val="1F2937"/>
          <w:sz w:val="20"/>
        </w:rPr>
        <w:t>基于行业基准的弹性推演</w:t>
      </w:r>
      <w:r>
        <w:rPr>
          <w:rFonts w:ascii="Segoe UI" w:hAnsi="Segoe UI" w:eastAsia="微软雅黑"/>
          <w:b w:val="0"/>
          <w:color w:val="1F2937"/>
          <w:sz w:val="20"/>
        </w:rPr>
        <w:t>，用于呈现业务的规模区间与资源配置逻辑。本项目当前处于</w:t>
      </w:r>
      <w:r>
        <w:rPr>
          <w:rFonts w:ascii="Segoe UI" w:hAnsi="Segoe UI" w:eastAsia="微软雅黑"/>
          <w:b/>
          <w:color w:val="1F2937"/>
          <w:sz w:val="20"/>
        </w:rPr>
        <w:t>运营数据待采集</w:t>
      </w:r>
      <w:r>
        <w:rPr>
          <w:rFonts w:ascii="Segoe UI" w:hAnsi="Segoe UI" w:eastAsia="微软雅黑"/>
          <w:b w:val="0"/>
          <w:color w:val="1F2937"/>
          <w:sz w:val="20"/>
        </w:rPr>
        <w:t xml:space="preserve">阶段，第 10 章 M3 小规模实测将为这些推演提供首个真实校准点。 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11.1 核心假设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保守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中性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乐观</w:t>
            </w:r>
          </w:p>
        </w:tc>
        <w:tc>
          <w:tcPr>
            <w:tcW w:type="dxa" w:w="1882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稳态 MAU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 万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30 万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100 万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7 亿 IAP 大盘中 MAU&gt;100 万的产品超 700 款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月付费率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3.0%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4.0%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5.0%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中重度 IAP 区间，未验证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月 ARPPU（元）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60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80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100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参考《我叫 MT2》月 ARPU 80–120 元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IAA 占 IAP 比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20%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25%</w:t>
            </w:r>
          </w:p>
        </w:tc>
        <w:tc>
          <w:tcPr>
            <w:tcW w:type="dxa" w:w="1882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基于 6.2 节双轨制设计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平台分成后留存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70%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70%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70%</w:t>
            </w:r>
          </w:p>
        </w:tc>
        <w:tc>
          <w:tcPr>
            <w:tcW w:type="dxa" w:w="1882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常规基准；首发期可达 100%</w:t>
            </w:r>
          </w:p>
        </w:tc>
      </w:tr>
    </w:tbl>
    <w:p>
      <w:pPr>
        <w:spacing w:after="80"/>
      </w:pP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11.2 三档年度测算</w:t>
      </w:r>
    </w:p>
    <w:p>
      <w:pPr>
        <w:spacing w:before="120" w:after="160" w:line="360" w:lineRule="auto"/>
        <w:ind w:left="113"/>
        <w:shd w:val="clear" w:color="auto" w:fill="0F172A"/>
      </w:pPr>
      <w:r>
        <w:rPr>
          <w:rFonts w:ascii="Consolas" w:hAnsi="Consolas" w:eastAsia="Consolas"/>
          <w:b w:val="0"/>
          <w:color w:val="E2E8F0"/>
          <w:sz w:val="19"/>
        </w:rPr>
        <w:t xml:space="preserve"> 月 IAP 流水 = MAU × 月付费率 × 月 ARPPU</w:t>
      </w:r>
      <w:r>
        <w:br/>
      </w:r>
      <w:r>
        <w:rPr>
          <w:rFonts w:ascii="Consolas" w:hAnsi="Consolas" w:eastAsia="Consolas"/>
          <w:b w:val="0"/>
          <w:color w:val="E2E8F0"/>
          <w:sz w:val="19"/>
        </w:rPr>
        <w:t xml:space="preserve"> 月总收入 = 月 IAP 流水 × (1 + IAA 占比)</w:t>
      </w:r>
      <w:r>
        <w:br/>
      </w:r>
      <w:r>
        <w:rPr>
          <w:rFonts w:ascii="Consolas" w:hAnsi="Consolas" w:eastAsia="Consolas"/>
          <w:b w:val="0"/>
          <w:color w:val="E2E8F0"/>
          <w:sz w:val="19"/>
        </w:rPr>
        <w:t xml:space="preserve"> 月净收入 = 月总收入 × 平台分成留存比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保守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中性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乐观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稳态 MAU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8 万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30 万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100 万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付费用户数/月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2400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12000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50000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月 IAP 流水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14.4 万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96 万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500 万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月总收入（含 IAA）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17.3 万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120 万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625 万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年化总收入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约 207 万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约 1440 万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约 7500 万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扣除 30% 分成后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约 145 万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约 1008 万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约 5250 万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首发免分成增益（按 5000 万额度）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 xml:space="preserve">最高 </w:t>
            </w:r>
            <w:r>
              <w:rPr>
                <w:rFonts w:ascii="Segoe UI" w:hAnsi="Segoe UI" w:eastAsia="微软雅黑"/>
                <w:b/>
                <w:color w:val="1F2937"/>
                <w:sz w:val="18"/>
              </w:rPr>
              <w:t>+1500 万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 xml:space="preserve">最高 </w:t>
            </w:r>
            <w:r>
              <w:rPr>
                <w:rFonts w:ascii="Segoe UI" w:hAnsi="Segoe UI" w:eastAsia="微软雅黑"/>
                <w:b/>
                <w:color w:val="1F2937"/>
                <w:sz w:val="18"/>
              </w:rPr>
              <w:t>+1500 万</w:t>
            </w:r>
          </w:p>
        </w:tc>
      </w:tr>
    </w:tbl>
    <w:p>
      <w:pPr>
        <w:spacing w:after="80"/>
      </w:pP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11.3 关键在于 LTV 与 CPI 的关系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规模数字本身没有意义，</w:t>
      </w:r>
      <w:r>
        <w:rPr>
          <w:rFonts w:ascii="Segoe UI" w:hAnsi="Segoe UI" w:eastAsia="微软雅黑"/>
          <w:b/>
          <w:color w:val="1F2937"/>
          <w:sz w:val="21"/>
        </w:rPr>
        <w:t>真正决定可持续性的只有一个不等式</w:t>
      </w:r>
      <w:r>
        <w:rPr>
          <w:rFonts w:ascii="Segoe UI" w:hAnsi="Segoe UI" w:eastAsia="微软雅黑"/>
          <w:b w:val="0"/>
          <w:color w:val="1F2937"/>
          <w:sz w:val="21"/>
        </w:rPr>
        <w:t>：</w:t>
      </w:r>
    </w:p>
    <w:p>
      <w:pPr>
        <w:spacing w:before="120" w:after="160" w:line="360" w:lineRule="auto"/>
        <w:ind w:left="113"/>
        <w:shd w:val="clear" w:color="auto" w:fill="0F172A"/>
      </w:pPr>
      <w:r>
        <w:rPr>
          <w:rFonts w:ascii="Consolas" w:hAnsi="Consolas" w:eastAsia="Consolas"/>
          <w:b/>
          <w:color w:val="FBBF24"/>
          <w:sz w:val="19"/>
        </w:rPr>
        <w:t>LTV（用户生命周期价值） &gt; CPI（单用户获取成本）</w:t>
      </w:r>
      <w:r>
        <w:rPr>
          <w:rFonts w:ascii="Consolas" w:hAnsi="Consolas" w:eastAsia="Consolas"/>
          <w:b w:val="0"/>
          <w:color w:val="E2E8F0"/>
          <w:sz w:val="19"/>
        </w:rPr>
        <w:t xml:space="preserve"> → 可持续放量</w:t>
      </w:r>
      <w:r>
        <w:br/>
      </w:r>
      <w:r>
        <w:rPr>
          <w:rFonts w:ascii="Consolas" w:hAnsi="Consolas" w:eastAsia="Consolas"/>
          <w:b w:val="0"/>
          <w:color w:val="E2E8F0"/>
          <w:sz w:val="19"/>
        </w:rPr>
        <w:t xml:space="preserve"> LTV &lt; CPI → 每花一笔钱都扩大亏损，规模越大死得越快 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因此 M3 阶段的核心任务是</w:t>
      </w:r>
      <w:r>
        <w:rPr>
          <w:rFonts w:ascii="Segoe UI" w:hAnsi="Segoe UI" w:eastAsia="微软雅黑"/>
          <w:b/>
          <w:color w:val="1F2937"/>
          <w:sz w:val="21"/>
        </w:rPr>
        <w:t>测出这两个数</w:t>
      </w:r>
      <w:r>
        <w:rPr>
          <w:rFonts w:ascii="Segoe UI" w:hAnsi="Segoe UI" w:eastAsia="微软雅黑"/>
          <w:b w:val="0"/>
          <w:color w:val="1F2937"/>
          <w:sz w:val="21"/>
        </w:rPr>
        <w:t>，而不是追求 DAU。行业经验反复印证：规模本身从来不是难点，真正的分水岭在于</w:t>
      </w:r>
      <w:r>
        <w:rPr>
          <w:rFonts w:ascii="Segoe UI" w:hAnsi="Segoe UI" w:eastAsia="微软雅黑"/>
          <w:b/>
          <w:color w:val="1F2937"/>
          <w:sz w:val="21"/>
        </w:rPr>
        <w:t>是否在 LTV 得到验证之后才启动放量</w:t>
      </w:r>
      <w:r>
        <w:rPr>
          <w:rFonts w:ascii="Segoe UI" w:hAnsi="Segoe UI" w:eastAsia="微软雅黑"/>
          <w:b w:val="0"/>
          <w:color w:val="1F2937"/>
          <w:sz w:val="21"/>
        </w:rPr>
        <w:t>。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建议的投放纪律：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① M3 阶段测试预算建议控制在</w:t>
      </w:r>
      <w:r>
        <w:rPr>
          <w:rFonts w:ascii="Segoe UI" w:hAnsi="Segoe UI" w:eastAsia="微软雅黑"/>
          <w:b/>
          <w:color w:val="1F2937"/>
          <w:sz w:val="20"/>
        </w:rPr>
        <w:t>总预算的 10% 以内</w:t>
      </w:r>
      <w:r>
        <w:rPr>
          <w:rFonts w:ascii="Segoe UI" w:hAnsi="Segoe UI" w:eastAsia="微软雅黑"/>
          <w:b w:val="0"/>
          <w:color w:val="1F2937"/>
          <w:sz w:val="20"/>
        </w:rPr>
        <w:t>，先买数据不买规模；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② 只有当 </w:t>
      </w:r>
      <w:r>
        <w:rPr>
          <w:rFonts w:ascii="Segoe UI" w:hAnsi="Segoe UI" w:eastAsia="微软雅黑"/>
          <w:b/>
          <w:color w:val="1F2937"/>
          <w:sz w:val="20"/>
        </w:rPr>
        <w:t>LTV/CPI &gt; 1.5</w:t>
      </w:r>
      <w:r>
        <w:rPr>
          <w:rFonts w:ascii="Segoe UI" w:hAnsi="Segoe UI" w:eastAsia="微软雅黑"/>
          <w:b w:val="0"/>
          <w:color w:val="1F2937"/>
          <w:sz w:val="20"/>
        </w:rPr>
        <w:t xml:space="preserve"> 时，才允许进入 M4 规模化；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③ 若 7 日留存低于 </w:t>
      </w:r>
      <w:r>
        <w:rPr>
          <w:rFonts w:ascii="Segoe UI" w:hAnsi="Segoe UI" w:eastAsia="微软雅黑"/>
          <w:b/>
          <w:color w:val="1F2937"/>
          <w:sz w:val="20"/>
        </w:rPr>
        <w:t>15%</w:t>
      </w:r>
      <w:r>
        <w:rPr>
          <w:rFonts w:ascii="Segoe UI" w:hAnsi="Segoe UI" w:eastAsia="微软雅黑"/>
          <w:b w:val="0"/>
          <w:color w:val="1F2937"/>
          <w:sz w:val="20"/>
        </w:rPr>
        <w:t>，将预算转回第 5 章的三个攻坚方向——</w:t>
      </w:r>
      <w:r>
        <w:rPr>
          <w:rFonts w:ascii="Segoe UI" w:hAnsi="Segoe UI" w:eastAsia="微软雅黑"/>
          <w:b/>
          <w:color w:val="1F2937"/>
          <w:sz w:val="20"/>
        </w:rPr>
        <w:t>此时把钱投在产品上，回报高于投在流量上</w:t>
      </w:r>
      <w:r>
        <w:rPr>
          <w:rFonts w:ascii="Segoe UI" w:hAnsi="Segoe UI" w:eastAsia="微软雅黑"/>
          <w:b w:val="0"/>
          <w:color w:val="1F2937"/>
          <w:sz w:val="20"/>
        </w:rPr>
        <w:t xml:space="preserve">。 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12  </w:t>
      </w:r>
      <w:r>
        <w:rPr>
          <w:rFonts w:ascii="Segoe UI" w:hAnsi="Segoe UI" w:eastAsia="微软雅黑"/>
          <w:b/>
          <w:color w:val="12263F"/>
          <w:sz w:val="32"/>
        </w:rPr>
        <w:t>风险管理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>以下为标准的风险披露。</w:t>
      </w:r>
      <w:r>
        <w:rPr>
          <w:rFonts w:ascii="Segoe UI" w:hAnsi="Segoe UI" w:eastAsia="微软雅黑"/>
          <w:b/>
          <w:color w:val="1F2937"/>
          <w:sz w:val="21"/>
        </w:rPr>
        <w:t>表中绝大多数条目均已识别出明确的应对路径，属于可管理事项</w:t>
      </w:r>
      <w:r>
        <w:rPr>
          <w:rFonts w:ascii="Segoe UI" w:hAnsi="Segoe UI" w:eastAsia="微软雅黑"/>
          <w:b w:val="0"/>
          <w:color w:val="1F2937"/>
          <w:sz w:val="21"/>
        </w:rPr>
        <w:t>，其价值在于提示优先级而非否定可行性；仅「合规资质」一项属于</w:t>
      </w:r>
      <w:r>
        <w:rPr>
          <w:rFonts w:ascii="Segoe UI" w:hAnsi="Segoe UI" w:eastAsia="微软雅黑"/>
          <w:b/>
          <w:color w:val="1F2937"/>
          <w:sz w:val="21"/>
        </w:rPr>
        <w:t>前置检查项</w:t>
      </w:r>
      <w:r>
        <w:rPr>
          <w:rFonts w:ascii="Segoe UI" w:hAnsi="Segoe UI" w:eastAsia="微软雅黑"/>
          <w:b w:val="0"/>
          <w:color w:val="1F2937"/>
          <w:sz w:val="21"/>
        </w:rPr>
        <w:t>，需在规模化投入前逐项确认完毕。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优化 / 管理事项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关注度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2353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已有应对路径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差异化投入不足，留存未达预期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[重点]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[关键]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M2 题材重建 + 内容填充；并设有 M3 数据闸门，可在放量前完成验证与纠偏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投放节奏超前于 LTV 验证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[重点]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[关键]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M3 小规模实测；以 LTV/CPI &gt; 1.5 作为硬性放量闸门，从机制上规避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社交链路建设滞后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[重点]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[较高]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接口方案已在代码注释中完整标注，接入路径清晰；已列为首个攻坚目标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首发政策窗口的时间压力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[常规]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[中]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压缩 M1 / M2 周期抢窗口；即便错过仍有首 100 万流水免分成保底，损失可控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云端能力建设周期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[常规]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[中]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M3 前置启动；新建独立环境，与既有数据完全隔离，无交叉风险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真机适配调优深度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[常规]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[中]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M1 已在进行；多点机型覆盖并建立性能基线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凭据安全管理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[常规]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D4ED8"/>
                <w:sz w:val="15"/>
              </w:rPr>
              <w:t>[较高]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仅存 .env.local 与云环境变量，严禁入库；.gitignore 已覆盖相关路径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合规资质完备性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[前置]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B45309"/>
                <w:sz w:val="15"/>
              </w:rPr>
              <w:t>[一票项]</w:t>
            </w:r>
            <w:r>
              <w:rPr>
                <w:rFonts w:ascii="Segoe UI" w:hAnsi="Segoe UI" w:eastAsia="微软雅黑"/>
                <w:color w:val="1F2937"/>
                <w:sz w:val="18"/>
              </w:rPr>
              <w:t xml:space="preserve"> </w:t>
            </w:r>
          </w:p>
        </w:tc>
        <w:tc>
          <w:tcPr>
            <w:tcW w:type="dxa" w:w="2353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作为最早启动的并行工作线推进，见下方清单</w:t>
            </w:r>
          </w:p>
        </w:tc>
      </w:tr>
    </w:tbl>
    <w:p>
      <w:pPr>
        <w:spacing w:after="80"/>
      </w:pP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合规前置清单（优先级高于所有技术指标）：</w:t>
      </w:r>
      <w:r>
        <w:rPr>
          <w:rFonts w:ascii="Segoe UI" w:hAnsi="Segoe UI" w:eastAsia="微软雅黑"/>
          <w:b w:val="0"/>
          <w:color w:val="1F2937"/>
          <w:sz w:val="20"/>
        </w:rPr>
        <w:t>版号、著作权、隐私合规、支付资质。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这几项决定项目能否正式进入市场。建议将其作为</w:t>
      </w:r>
      <w:r>
        <w:rPr>
          <w:rFonts w:ascii="Segoe UI" w:hAnsi="Segoe UI" w:eastAsia="微软雅黑"/>
          <w:b/>
          <w:color w:val="1F2937"/>
          <w:sz w:val="20"/>
        </w:rPr>
        <w:t>最早启动、与其他研发工作并行推进</w:t>
      </w:r>
      <w:r>
        <w:rPr>
          <w:rFonts w:ascii="Segoe UI" w:hAnsi="Segoe UI" w:eastAsia="微软雅黑"/>
          <w:b w:val="0"/>
          <w:color w:val="1F2937"/>
          <w:sz w:val="20"/>
        </w:rPr>
        <w:t xml:space="preserve">的独立工作线——它与开发完全不互斥，提前启动即可在关键路径之外完成，不会拖慢任何技术进度，却能消除上线前最后一公里的不确定性。 </w:t>
      </w:r>
    </w:p>
    <w:p>
      <w:pPr>
        <w:spacing w:before="320" w:after="120" w:line="360" w:lineRule="auto"/>
        <w:keepNext/>
        <w:pBdr>
          <w:bottom w:val="single" w:sz="12" w:space="3" w:color="12263F"/>
        </w:pBdr>
      </w:pPr>
      <w:r>
        <w:rPr>
          <w:rFonts w:ascii="Segoe UI" w:hAnsi="Segoe UI" w:eastAsia="微软雅黑"/>
          <w:b/>
          <w:color w:val="C0392B"/>
          <w:sz w:val="32"/>
        </w:rPr>
        <w:t xml:space="preserve">13  </w:t>
      </w:r>
      <w:r>
        <w:rPr>
          <w:rFonts w:ascii="Segoe UI" w:hAnsi="Segoe UI" w:eastAsia="微软雅黑"/>
          <w:b/>
          <w:color w:val="12263F"/>
          <w:sz w:val="32"/>
        </w:rPr>
        <w:t>资源需求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13.1 两种推进节奏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精简节奏（验证为主）</w:t>
            </w:r>
          </w:p>
        </w:tc>
        <w:tc>
          <w:tcPr>
            <w:tcW w:type="dxa" w:w="3137"/>
            <w:shd w:val="clear" w:color="auto" w:fill="1E3A5F"/>
          </w:tcPr>
          <w:p>
            <w:pPr>
              <w:spacing w:after="20" w:before="20" w:line="276" w:lineRule="auto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推进节奏（规模为主）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研发周期</w:t>
            </w:r>
            <w:r>
              <w:br/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计入 AI 协作提效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2～3 个月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技术就绪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/>
                <w:color w:val="1F2937"/>
                <w:sz w:val="18"/>
              </w:rPr>
              <w:t>1～2 个月</w:t>
            </w: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技术就绪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人力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 主程 + 1 策划（可身兼）+ AI 辅助美术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2 程序 + 1 策划 + 1 美术 + 0.5 运营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内容投入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最小差异化套装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完整题材重建 + 多章节关卡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AI 工具 / 算力预算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1～2 万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3～6 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买量测试预算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10～20 万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50～100 万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服务器 / 云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低（用户量小）</w:t>
            </w:r>
          </w:p>
        </w:tc>
        <w:tc>
          <w:tcPr>
            <w:tcW w:type="dxa" w:w="3137"/>
            <w:shd w:val="clear" w:color="auto" w:fill="F8FAFC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中（含 PvP 状态同步）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核心目标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拿到真实数据，验证是否值得继续</w:t>
            </w:r>
          </w:p>
        </w:tc>
        <w:tc>
          <w:tcPr>
            <w:tcW w:type="dxa" w:w="3137"/>
          </w:tcPr>
          <w:p>
            <w:pPr>
              <w:spacing w:after="20" w:before="20" w:line="288" w:lineRule="auto"/>
            </w:pPr>
            <w:r>
              <w:rPr>
                <w:rFonts w:ascii="Segoe UI" w:hAnsi="Segoe UI" w:eastAsia="微软雅黑"/>
                <w:b w:val="0"/>
                <w:color w:val="1F2937"/>
                <w:sz w:val="18"/>
              </w:rPr>
              <w:t>冲击首发窗口，吃满政策红利</w:t>
            </w:r>
          </w:p>
        </w:tc>
      </w:tr>
    </w:tbl>
    <w:p>
      <w:pPr>
        <w:spacing w:after="80"/>
      </w:pP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周期口径说明：</w:t>
      </w:r>
      <w:r>
        <w:rPr>
          <w:rFonts w:ascii="Segoe UI" w:hAnsi="Segoe UI" w:eastAsia="微软雅黑"/>
          <w:b w:val="0"/>
          <w:color w:val="1F2937"/>
          <w:sz w:val="20"/>
        </w:rPr>
        <w:t xml:space="preserve">表中的「技术就绪」指研发侧完成 M1～M2（真机验证 + 差异化内容），这一阶段受 AI 提效影响最直接，可达 </w:t>
      </w:r>
      <w:r>
        <w:rPr>
          <w:rFonts w:ascii="Segoe UI" w:hAnsi="Segoe UI" w:eastAsia="微软雅黑"/>
          <w:b/>
          <w:color w:val="1F2937"/>
          <w:sz w:val="20"/>
        </w:rPr>
        <w:t>1～2 个月</w:t>
      </w:r>
      <w:r>
        <w:rPr>
          <w:rFonts w:ascii="Segoe UI" w:hAnsi="Segoe UI" w:eastAsia="微软雅黑"/>
          <w:b w:val="0"/>
          <w:color w:val="1F2937"/>
          <w:sz w:val="20"/>
        </w:rPr>
        <w:t>。</w:t>
      </w:r>
      <w:r>
        <w:br/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但要注意——</w:t>
      </w:r>
      <w:r>
        <w:rPr>
          <w:rFonts w:ascii="Segoe UI" w:hAnsi="Segoe UI" w:eastAsia="微软雅黑"/>
          <w:b/>
          <w:color w:val="1F2937"/>
          <w:sz w:val="20"/>
        </w:rPr>
        <w:t>上线时间表还叠加了两项不受 AI 影响的外部周期</w:t>
      </w:r>
      <w:r>
        <w:rPr>
          <w:rFonts w:ascii="Segoe UI" w:hAnsi="Segoe UI" w:eastAsia="微软雅黑"/>
          <w:b w:val="0"/>
          <w:color w:val="1F2937"/>
          <w:sz w:val="20"/>
        </w:rPr>
        <w:t>：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</w:t>
      </w:r>
      <w:r>
        <w:rPr>
          <w:rFonts w:ascii="Segoe UI" w:hAnsi="Segoe UI" w:eastAsia="微软雅黑"/>
          <w:b/>
          <w:color w:val="1F2937"/>
          <w:sz w:val="20"/>
        </w:rPr>
        <w:t>合规资质审批</w:t>
      </w:r>
      <w:r>
        <w:rPr>
          <w:rFonts w:ascii="Segoe UI" w:hAnsi="Segoe UI" w:eastAsia="微软雅黑"/>
          <w:b w:val="0"/>
          <w:color w:val="1F2937"/>
          <w:sz w:val="20"/>
        </w:rPr>
        <w:t>（版号、著作权等），时长由监管流程决定，通常远长于研发本身，因此必须最早启动、全程并行；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· </w:t>
      </w:r>
      <w:r>
        <w:rPr>
          <w:rFonts w:ascii="Segoe UI" w:hAnsi="Segoe UI" w:eastAsia="微软雅黑"/>
          <w:b/>
          <w:color w:val="1F2937"/>
          <w:sz w:val="20"/>
        </w:rPr>
        <w:t>平台审核与首发排期</w:t>
      </w:r>
      <w:r>
        <w:rPr>
          <w:rFonts w:ascii="Segoe UI" w:hAnsi="Segoe UI" w:eastAsia="微软雅黑"/>
          <w:b w:val="0"/>
          <w:color w:val="1F2937"/>
          <w:sz w:val="20"/>
        </w:rPr>
        <w:t>，取决于提审节奏与合作资源。</w:t>
      </w:r>
      <w:r>
        <w:br/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结论：</w:t>
      </w:r>
      <w:r>
        <w:rPr>
          <w:rFonts w:ascii="Segoe UI" w:hAnsi="Segoe UI" w:eastAsia="微软雅黑"/>
          <w:b/>
          <w:color w:val="1F2937"/>
          <w:sz w:val="20"/>
        </w:rPr>
        <w:t>研发不再是时间瓶颈，资质才是最需要提前规划的那条线。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13.2 预算投向优先级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内容差异化</w:t>
      </w:r>
      <w:r>
        <w:rPr>
          <w:rFonts w:ascii="Segoe UI" w:hAnsi="Segoe UI" w:eastAsia="微软雅黑"/>
          <w:b w:val="0"/>
          <w:color w:val="1F2937"/>
          <w:sz w:val="21"/>
        </w:rPr>
        <w:t>（题材、关卡、美术）— 直接作用于留存，是所有其他工作的前提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云服务</w:t>
      </w:r>
      <w:r>
        <w:rPr>
          <w:rFonts w:ascii="Segoe UI" w:hAnsi="Segoe UI" w:eastAsia="微软雅黑"/>
          <w:b w:val="0"/>
          <w:color w:val="1F2937"/>
          <w:sz w:val="21"/>
        </w:rPr>
        <w:t xml:space="preserve"> — 解锁异步 PvP 与好友榜，把已有的 Elo 系统变成真实的留存引擎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合规资质</w:t>
      </w:r>
      <w:r>
        <w:rPr>
          <w:rFonts w:ascii="Segoe UI" w:hAnsi="Segoe UI" w:eastAsia="微软雅黑"/>
          <w:b w:val="0"/>
          <w:color w:val="1F2937"/>
          <w:sz w:val="21"/>
        </w:rPr>
        <w:t xml:space="preserve"> — 一票否决项，必须前置</w:t>
      </w:r>
    </w:p>
    <w:p>
      <w:pPr>
        <w:spacing w:before="0" w:after="60" w:line="360" w:lineRule="auto"/>
        <w:ind w:left="709"/>
      </w:pPr>
      <w:r>
        <w:rPr>
          <w:rFonts w:ascii="Segoe UI" w:hAnsi="Segoe UI" w:eastAsia="微软雅黑"/>
          <w:b/>
          <w:color w:val="1E3A5F"/>
          <w:sz w:val="21"/>
        </w:rPr>
      </w:r>
      <w:r>
        <w:rPr>
          <w:rFonts w:ascii="Segoe UI" w:hAnsi="Segoe UI" w:eastAsia="微软雅黑"/>
          <w:b/>
          <w:color w:val="1F2937"/>
          <w:sz w:val="21"/>
        </w:rPr>
        <w:t>买量测试</w:t>
      </w:r>
      <w:r>
        <w:rPr>
          <w:rFonts w:ascii="Segoe UI" w:hAnsi="Segoe UI" w:eastAsia="微软雅黑"/>
          <w:b w:val="0"/>
          <w:color w:val="1F2937"/>
          <w:sz w:val="21"/>
        </w:rPr>
        <w:t xml:space="preserve"> — 放在最后，且必须在前三项完成后才启动</w:t>
      </w:r>
    </w:p>
    <w:p>
      <w:pPr>
        <w:spacing w:before="120" w:after="160" w:line="360" w:lineRule="auto"/>
        <w:ind w:left="142" w:right="85"/>
        <w:shd w:val="clear" w:color="auto" w:fill="FFF7ED"/>
        <w:pBdr>
          <w:left w:val="single" w:sz="18" w:space="8" w:color="B45309"/>
        </w:pBdr>
      </w:pPr>
      <w:r>
        <w:rPr>
          <w:rFonts w:ascii="Segoe UI" w:hAnsi="Segoe UI" w:eastAsia="微软雅黑"/>
          <w:b/>
          <w:color w:val="1F2937"/>
          <w:sz w:val="20"/>
        </w:rPr>
        <w:t>资源避让区（明确不投入的方向）：</w:t>
      </w:r>
      <w:r>
        <w:rPr>
          <w:rFonts w:ascii="Segoe UI" w:hAnsi="Segoe UI" w:eastAsia="微软雅黑"/>
          <w:b w:val="0"/>
          <w:color w:val="1F2937"/>
          <w:sz w:val="20"/>
        </w:rPr>
        <w:t>底层框架重构、技术栈更换、渲染层重写。</w:t>
      </w:r>
      <w:r>
        <w:br/>
      </w:r>
      <w:r>
        <w:rPr>
          <w:rFonts w:ascii="Segoe UI" w:hAnsi="Segoe UI" w:eastAsia="微软雅黑"/>
          <w:b w:val="0"/>
          <w:color w:val="1F2937"/>
          <w:sz w:val="20"/>
        </w:rPr>
        <w:t xml:space="preserve"> 现有 19830 行代码已通过 46 项回归测试验证可用，并支撑起完整商业化闭环。替换它等价于放弃「工程侧确定性」这项已支付完成的前置资产，同时把资源从真正决定成败的内容方向上挪走。</w:t>
      </w:r>
      <w:r>
        <w:br/>
      </w:r>
      <w:r>
        <w:rPr>
          <w:rFonts w:ascii="Segoe UI" w:hAnsi="Segoe UI" w:eastAsia="微软雅黑"/>
          <w:b/>
          <w:color w:val="1F2937"/>
          <w:sz w:val="20"/>
        </w:rPr>
        <w:t>结论：保持架构稳定，把资源全部压向内容与用户端。</w:t>
      </w:r>
    </w:p>
    <w:p>
      <w:pPr>
        <w:keepNext/>
        <w:spacing w:before="240" w:after="80" w:line="360" w:lineRule="auto"/>
      </w:pPr>
      <w:r>
        <w:rPr>
          <w:rFonts w:ascii="Segoe UI" w:hAnsi="Segoe UI" w:eastAsia="微软雅黑"/>
          <w:b/>
          <w:color w:val="1E3A5F"/>
          <w:sz w:val="26"/>
        </w:rPr>
        <w:t>13.3 一句话总结</w:t>
      </w:r>
    </w:p>
    <w:p>
      <w:pPr>
        <w:spacing w:before="0" w:after="120" w:line="360" w:lineRule="auto"/>
      </w:pPr>
      <w:r>
        <w:rPr>
          <w:rFonts w:ascii="Segoe UI" w:hAnsi="Segoe UI" w:eastAsia="微软雅黑"/>
          <w:b w:val="0"/>
          <w:color w:val="1F2937"/>
          <w:sz w:val="21"/>
        </w:rPr>
        <w:t xml:space="preserve"> 交付层面的不确定性已被前置消化——这是入场券，也是可以放心站立的地基。</w:t>
      </w:r>
      <w:r>
        <w:br/>
      </w:r>
      <w:r>
        <w:rPr>
          <w:rFonts w:ascii="Segoe UI" w:hAnsi="Segoe UI" w:eastAsia="微软雅黑"/>
          <w:b/>
          <w:color w:val="1F2937"/>
          <w:sz w:val="21"/>
        </w:rPr>
        <w:t>而增长的上限，取决于三件事：用差异化换留存、用社交换传播、用纪律放大买量效率。</w:t>
      </w:r>
      <w:r>
        <w:br/>
      </w:r>
      <w:r>
        <w:rPr>
          <w:rFonts w:ascii="Segoe UI" w:hAnsi="Segoe UI" w:eastAsia="微软雅黑"/>
          <w:b w:val="0"/>
          <w:color w:val="1F2937"/>
          <w:sz w:val="21"/>
        </w:rPr>
        <w:t xml:space="preserve"> 它们是三个方向清晰、路径明确、可量化验证的攻坚点——这三处的推进深度，决定这款产品最终能走多远。 </w:t>
      </w:r>
    </w:p>
    <w:p>
      <w:pPr>
        <w:spacing w:before="0" w:after="100" w:line="360" w:lineRule="auto"/>
      </w:pPr>
      <w:r>
        <w:rPr>
          <w:rFonts w:ascii="Segoe UI" w:hAnsi="Segoe UI" w:eastAsia="微软雅黑"/>
          <w:b/>
          <w:color w:val="1F2937"/>
          <w:sz w:val="21"/>
        </w:rPr>
        <w:t>数据来源：</w:t>
      </w:r>
      <w:r>
        <w:rPr>
          <w:rFonts w:ascii="Segoe UI" w:hAnsi="Segoe UI" w:eastAsia="微软雅黑"/>
          <w:b w:val="0"/>
          <w:color w:val="1F2937"/>
          <w:sz w:val="21"/>
        </w:rPr>
        <w:t>2026 微信小游戏开发者大会（5 月 27 日·杭州）官方披露数据；国信证券研究所；DataEye 研究院；QuestMobile；公开媒体报道。</w:t>
      </w:r>
      <w:r>
        <w:br/>
      </w:r>
      <w:r>
        <w:rPr>
          <w:rFonts w:ascii="Segoe UI" w:hAnsi="Segoe UI" w:eastAsia="微软雅黑"/>
          <w:b w:val="0"/>
          <w:color w:val="1F2937"/>
          <w:sz w:val="21"/>
        </w:rPr>
        <w:t xml:space="preserve"> 口径说明：官方口径 MAU「超 5 亿」，另有第三方机构给出 6.54 亿，本计划书采用保守的官方口径。</w:t>
      </w:r>
      <w:r>
        <w:br/>
      </w:r>
      <w:r>
        <w:rPr>
          <w:rFonts w:ascii="Segoe UI" w:hAnsi="Segoe UI" w:eastAsia="微软雅黑"/>
          <w:b/>
          <w:color w:val="1F2937"/>
          <w:sz w:val="21"/>
        </w:rPr>
        <w:t>免责声明：</w:t>
      </w:r>
      <w:r>
        <w:rPr>
          <w:rFonts w:ascii="Segoe UI" w:hAnsi="Segoe UI" w:eastAsia="微软雅黑"/>
          <w:b w:val="0"/>
          <w:color w:val="1F2937"/>
          <w:sz w:val="21"/>
        </w:rPr>
        <w:t xml:space="preserve">本文件所有预测性陈述均为基于公开数据与假设的分析意见，不构成投资建议或业绩承诺。第 11 章财务数字未经实测验证。 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64748B"/>
        <w:sz w:val="17"/>
      </w:rPr>
      <w:t xml:space="preserve">— </w:t>
    </w:r>
    <w:fldSimple w:instr="PAGE"/>
    <w:r>
      <w:rPr>
        <w:rFonts w:ascii="Segoe UI" w:hAnsi="Segoe UI" w:eastAsia="微软雅黑"/>
        <w:color w:val="64748B"/>
        <w:sz w:val="17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《占地之王》商业计划书</dc:title>
  <dc:subject>基于成熟技术资产的微信小游戏商业化方案</dc:subject>
  <dc:creator>占地之王项目组</dc:creator>
  <cp:keywords/>
  <dc:description>由 BUSINESS-PLAN.html 自动导出</dc:description>
  <cp:lastModifiedBy/>
  <cp:revision>1</cp:revision>
  <dcterms:created xsi:type="dcterms:W3CDTF">2013-12-23T23:15:00Z</dcterms:created>
  <dcterms:modified xsi:type="dcterms:W3CDTF">2013-12-23T23:15:00Z</dcterms:modified>
  <cp:category>商业计划书</cp:category>
</cp:coreProperties>
</file>