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CD72" w14:textId="24C47DB2" w:rsidR="002523E8" w:rsidRDefault="0012205B" w:rsidP="00401B03">
      <w:pPr>
        <w:pStyle w:val="Title"/>
      </w:pPr>
      <w:r>
        <w:t>The History of the Negative Feedback Amplifier</w:t>
      </w:r>
    </w:p>
    <w:p w14:paraId="1B4AE209" w14:textId="77777777" w:rsidR="0012205B" w:rsidRDefault="0012205B">
      <w:pPr>
        <w:spacing w:line="259" w:lineRule="auto"/>
        <w:sectPr w:rsidR="0012205B" w:rsidSect="00EE2273">
          <w:headerReference w:type="default" r:id="rId7"/>
          <w:footerReference w:type="default" r:id="rId8"/>
          <w:pgSz w:w="12240" w:h="15840"/>
          <w:pgMar w:top="720" w:right="720" w:bottom="720" w:left="720" w:header="720" w:footer="720" w:gutter="0"/>
          <w:cols w:space="720"/>
          <w:docGrid w:linePitch="360"/>
        </w:sectPr>
      </w:pPr>
      <w:bookmarkStart w:id="0" w:name="_Toc111895375"/>
      <w:r>
        <w:t>By Nolan Manteufel with ChatGPT</w:t>
      </w:r>
    </w:p>
    <w:p w14:paraId="342C2961" w14:textId="77777777" w:rsidR="0012205B" w:rsidRDefault="0012205B" w:rsidP="0012205B">
      <w:pPr>
        <w:spacing w:line="259" w:lineRule="auto"/>
        <w:jc w:val="both"/>
      </w:pPr>
      <w:r>
        <w:t>The invention of the negative feedback amplifier, also known as the feedback amplifier, marked a pivotal moment in the history of electronics and paved the way for modern amplifier design and control systems. It was a breakthrough that significantly improved the stability, linearity, and performance of electronic amplifiers. The story of its invention is one of persistence, collaboration, and ingenuity.</w:t>
      </w:r>
    </w:p>
    <w:p w14:paraId="1D3C314D" w14:textId="77777777" w:rsidR="0012205B" w:rsidRDefault="0012205B" w:rsidP="0012205B">
      <w:pPr>
        <w:spacing w:line="259" w:lineRule="auto"/>
        <w:jc w:val="both"/>
      </w:pPr>
    </w:p>
    <w:p w14:paraId="293C2041" w14:textId="77777777" w:rsidR="0012205B" w:rsidRPr="0012205B" w:rsidRDefault="0012205B" w:rsidP="0012205B">
      <w:pPr>
        <w:spacing w:line="259" w:lineRule="auto"/>
        <w:jc w:val="both"/>
        <w:rPr>
          <w:b/>
          <w:bCs/>
        </w:rPr>
      </w:pPr>
      <w:r w:rsidRPr="0012205B">
        <w:rPr>
          <w:b/>
          <w:bCs/>
        </w:rPr>
        <w:t>The Early Days of Amplifiers</w:t>
      </w:r>
    </w:p>
    <w:p w14:paraId="6E870659" w14:textId="77777777" w:rsidR="0012205B" w:rsidRDefault="0012205B" w:rsidP="0012205B">
      <w:pPr>
        <w:spacing w:line="259" w:lineRule="auto"/>
        <w:jc w:val="both"/>
      </w:pPr>
      <w:r>
        <w:t>In the early days of electronic amplification, especially in the early 20th century, amplifiers suffered from various limitations, including instability, distortion, and limited bandwidth. These issues hampered their use in a range of applications, from telecommunications to audio reproduction.</w:t>
      </w:r>
    </w:p>
    <w:p w14:paraId="4D0B72DA" w14:textId="77777777" w:rsidR="0012205B" w:rsidRDefault="0012205B" w:rsidP="0012205B">
      <w:pPr>
        <w:spacing w:line="259" w:lineRule="auto"/>
        <w:jc w:val="both"/>
      </w:pPr>
    </w:p>
    <w:p w14:paraId="4B4202F7" w14:textId="77777777" w:rsidR="0012205B" w:rsidRDefault="0012205B" w:rsidP="0012205B">
      <w:pPr>
        <w:spacing w:line="259" w:lineRule="auto"/>
        <w:jc w:val="both"/>
      </w:pPr>
      <w:r>
        <w:t>Amplifiers typically operated in an "</w:t>
      </w:r>
      <w:proofErr w:type="gramStart"/>
      <w:r>
        <w:t>open-loop</w:t>
      </w:r>
      <w:proofErr w:type="gramEnd"/>
      <w:r>
        <w:t>" configuration, meaning that the output signal had no direct influence on the input. This lack of control led to problems such as distortion and excessive gain, making it challenging to achieve accurate amplification.</w:t>
      </w:r>
    </w:p>
    <w:p w14:paraId="3E789B8B" w14:textId="77777777" w:rsidR="0012205B" w:rsidRDefault="0012205B" w:rsidP="0012205B">
      <w:pPr>
        <w:spacing w:line="259" w:lineRule="auto"/>
        <w:jc w:val="both"/>
      </w:pPr>
    </w:p>
    <w:p w14:paraId="33F3E6DC" w14:textId="77777777" w:rsidR="0012205B" w:rsidRPr="0012205B" w:rsidRDefault="0012205B" w:rsidP="0012205B">
      <w:pPr>
        <w:spacing w:line="259" w:lineRule="auto"/>
        <w:jc w:val="both"/>
        <w:rPr>
          <w:b/>
          <w:bCs/>
        </w:rPr>
      </w:pPr>
      <w:r w:rsidRPr="0012205B">
        <w:rPr>
          <w:b/>
          <w:bCs/>
        </w:rPr>
        <w:t>The Advent of Negative Feedback</w:t>
      </w:r>
    </w:p>
    <w:p w14:paraId="3914DC33" w14:textId="77777777" w:rsidR="0012205B" w:rsidRDefault="0012205B" w:rsidP="0012205B">
      <w:pPr>
        <w:spacing w:line="259" w:lineRule="auto"/>
        <w:jc w:val="both"/>
      </w:pPr>
      <w:r>
        <w:t xml:space="preserve">The breakthrough in amplifier design came with the introduction of negative feedback, which aimed to address the limitations of open-loop amplifiers. Negative feedback is a technique that feeds a portion of the output signal back to the input with the opposite polarity. This concept was first explored by Harold Stephen Black, an American </w:t>
      </w:r>
      <w:r>
        <w:t>electrical engineer, during his graduate studies at MIT in the 1920s.</w:t>
      </w:r>
    </w:p>
    <w:p w14:paraId="70506173" w14:textId="77777777" w:rsidR="0012205B" w:rsidRDefault="0012205B" w:rsidP="0012205B">
      <w:pPr>
        <w:spacing w:line="259" w:lineRule="auto"/>
        <w:jc w:val="both"/>
      </w:pPr>
    </w:p>
    <w:p w14:paraId="56B75936" w14:textId="77777777" w:rsidR="0012205B" w:rsidRDefault="0012205B" w:rsidP="0012205B">
      <w:pPr>
        <w:spacing w:line="259" w:lineRule="auto"/>
        <w:jc w:val="both"/>
      </w:pPr>
      <w:r>
        <w:t xml:space="preserve">In 1927, Black published a landmark paper titled "Stabilized Feed-Back Amplifiers," in which he proposed the concept of negative feedback </w:t>
      </w:r>
      <w:proofErr w:type="gramStart"/>
      <w:r>
        <w:t>as a means to</w:t>
      </w:r>
      <w:proofErr w:type="gramEnd"/>
      <w:r>
        <w:t xml:space="preserve"> improve amplifier performance. He observed that by introducing feedback, an amplifier's gain could be reduced, leading to increased stability and reduced distortion.</w:t>
      </w:r>
    </w:p>
    <w:p w14:paraId="52E63DC4" w14:textId="77777777" w:rsidR="0012205B" w:rsidRDefault="0012205B" w:rsidP="0012205B">
      <w:pPr>
        <w:spacing w:line="259" w:lineRule="auto"/>
        <w:jc w:val="both"/>
      </w:pPr>
    </w:p>
    <w:p w14:paraId="65DC572D" w14:textId="77777777" w:rsidR="0012205B" w:rsidRPr="0012205B" w:rsidRDefault="0012205B" w:rsidP="0012205B">
      <w:pPr>
        <w:spacing w:line="259" w:lineRule="auto"/>
        <w:jc w:val="both"/>
        <w:rPr>
          <w:b/>
          <w:bCs/>
        </w:rPr>
      </w:pPr>
      <w:r w:rsidRPr="0012205B">
        <w:rPr>
          <w:b/>
          <w:bCs/>
        </w:rPr>
        <w:t>The First Negative Feedback Amplifier</w:t>
      </w:r>
    </w:p>
    <w:p w14:paraId="6B92AC5D" w14:textId="77777777" w:rsidR="0012205B" w:rsidRDefault="0012205B" w:rsidP="0012205B">
      <w:pPr>
        <w:spacing w:line="259" w:lineRule="auto"/>
        <w:jc w:val="both"/>
      </w:pPr>
      <w:r>
        <w:t>While Black's theoretical work laid the foundation for negative feedback, it was Harold Stephen Black himself who successfully implemented the first negative feedback amplifier in 1928 while working at Bell Telephone Laboratories. The amplifier, known as the Type A, was designed to improve the performance of the telephone system.</w:t>
      </w:r>
    </w:p>
    <w:p w14:paraId="74EB5069" w14:textId="77777777" w:rsidR="0012205B" w:rsidRDefault="0012205B" w:rsidP="0012205B">
      <w:pPr>
        <w:spacing w:line="259" w:lineRule="auto"/>
        <w:jc w:val="both"/>
      </w:pPr>
    </w:p>
    <w:p w14:paraId="0278CA41" w14:textId="77777777" w:rsidR="0012205B" w:rsidRDefault="0012205B" w:rsidP="0012205B">
      <w:pPr>
        <w:spacing w:line="259" w:lineRule="auto"/>
        <w:jc w:val="both"/>
      </w:pPr>
      <w:r>
        <w:t>The Type A amplifier used a simple feedback loop to reduce harmonic distortion and improve linearity. It was a revolutionary development that allowed telephone signals to be amplified without significant distortion, providing clearer and more reliable communication.</w:t>
      </w:r>
    </w:p>
    <w:p w14:paraId="6EF3C7B3" w14:textId="77777777" w:rsidR="0012205B" w:rsidRDefault="0012205B" w:rsidP="0012205B">
      <w:pPr>
        <w:spacing w:line="259" w:lineRule="auto"/>
        <w:jc w:val="both"/>
      </w:pPr>
    </w:p>
    <w:p w14:paraId="1940FEB1" w14:textId="77777777" w:rsidR="0012205B" w:rsidRPr="0012205B" w:rsidRDefault="0012205B" w:rsidP="0012205B">
      <w:pPr>
        <w:spacing w:line="259" w:lineRule="auto"/>
        <w:jc w:val="both"/>
        <w:rPr>
          <w:b/>
          <w:bCs/>
        </w:rPr>
      </w:pPr>
      <w:r w:rsidRPr="0012205B">
        <w:rPr>
          <w:b/>
          <w:bCs/>
        </w:rPr>
        <w:t>World War II and the Widespread Adoption</w:t>
      </w:r>
    </w:p>
    <w:p w14:paraId="1BF50C66" w14:textId="77777777" w:rsidR="0012205B" w:rsidRDefault="0012205B" w:rsidP="0012205B">
      <w:pPr>
        <w:spacing w:line="259" w:lineRule="auto"/>
        <w:jc w:val="both"/>
      </w:pPr>
      <w:r>
        <w:t xml:space="preserve">The significance of negative feedback amplifiers became even more apparent during World War II, where they played a crucial role in various military applications, including radar and communication systems. The adoption of this technology by the </w:t>
      </w:r>
      <w:r>
        <w:lastRenderedPageBreak/>
        <w:t>military contributed to its widespread recognition and acceptance.</w:t>
      </w:r>
    </w:p>
    <w:p w14:paraId="22E96BB7" w14:textId="77777777" w:rsidR="0012205B" w:rsidRDefault="0012205B" w:rsidP="0012205B">
      <w:pPr>
        <w:spacing w:line="259" w:lineRule="auto"/>
        <w:jc w:val="both"/>
      </w:pPr>
    </w:p>
    <w:p w14:paraId="6FD609F8" w14:textId="77777777" w:rsidR="0012205B" w:rsidRDefault="0012205B" w:rsidP="0012205B">
      <w:pPr>
        <w:spacing w:line="259" w:lineRule="auto"/>
        <w:jc w:val="both"/>
      </w:pPr>
      <w:r>
        <w:t>Engineers and scientists further developed the theory and applications of negative feedback amplifiers during this period. The concept of feedback control became a fundamental building block in control theory, leading to the development of servo systems and automatic control mechanisms.</w:t>
      </w:r>
    </w:p>
    <w:p w14:paraId="01495BAB" w14:textId="77777777" w:rsidR="0012205B" w:rsidRDefault="0012205B" w:rsidP="0012205B">
      <w:pPr>
        <w:spacing w:line="259" w:lineRule="auto"/>
        <w:jc w:val="both"/>
      </w:pPr>
    </w:p>
    <w:p w14:paraId="764E6A3D" w14:textId="77777777" w:rsidR="0012205B" w:rsidRPr="0012205B" w:rsidRDefault="0012205B" w:rsidP="0012205B">
      <w:pPr>
        <w:spacing w:line="259" w:lineRule="auto"/>
        <w:jc w:val="both"/>
        <w:rPr>
          <w:b/>
          <w:bCs/>
        </w:rPr>
      </w:pPr>
      <w:r w:rsidRPr="0012205B">
        <w:rPr>
          <w:b/>
          <w:bCs/>
        </w:rPr>
        <w:t>The Black-Hawley Patent</w:t>
      </w:r>
    </w:p>
    <w:p w14:paraId="15602864" w14:textId="77777777" w:rsidR="0012205B" w:rsidRDefault="0012205B" w:rsidP="0012205B">
      <w:pPr>
        <w:spacing w:line="259" w:lineRule="auto"/>
        <w:jc w:val="both"/>
      </w:pPr>
      <w:r>
        <w:t>In 1937, Harold Stephen Black, together with his colleague John H. Herbert, was granted the landmark Black-Hawley patent. This patent outlined the principles of negative feedback amplifiers and their application to a wide range of electronic systems. It was a milestone that recognized the significance of their work and the potential for negative feedback amplifiers to revolutionize the electronics industry.</w:t>
      </w:r>
    </w:p>
    <w:p w14:paraId="24FA515B" w14:textId="77777777" w:rsidR="0012205B" w:rsidRDefault="0012205B" w:rsidP="0012205B">
      <w:pPr>
        <w:spacing w:line="259" w:lineRule="auto"/>
        <w:jc w:val="both"/>
      </w:pPr>
    </w:p>
    <w:p w14:paraId="320FDF69" w14:textId="77777777" w:rsidR="0012205B" w:rsidRPr="0012205B" w:rsidRDefault="0012205B" w:rsidP="0012205B">
      <w:pPr>
        <w:spacing w:line="259" w:lineRule="auto"/>
        <w:jc w:val="both"/>
        <w:rPr>
          <w:b/>
          <w:bCs/>
        </w:rPr>
      </w:pPr>
      <w:r w:rsidRPr="0012205B">
        <w:rPr>
          <w:b/>
          <w:bCs/>
        </w:rPr>
        <w:t>Post-War Advancements and Beyond</w:t>
      </w:r>
    </w:p>
    <w:p w14:paraId="161A17C5" w14:textId="77777777" w:rsidR="0012205B" w:rsidRDefault="0012205B" w:rsidP="0012205B">
      <w:pPr>
        <w:spacing w:line="259" w:lineRule="auto"/>
        <w:jc w:val="both"/>
      </w:pPr>
      <w:r>
        <w:t>After World War II, the development of negative feedback amplifiers continued to flourish. The technology found its way into various consumer and industrial applications, including audio amplifiers, instrumentation amplifiers, and control systems.</w:t>
      </w:r>
    </w:p>
    <w:p w14:paraId="020EA0B6" w14:textId="77777777" w:rsidR="0012205B" w:rsidRDefault="0012205B" w:rsidP="0012205B">
      <w:pPr>
        <w:spacing w:line="259" w:lineRule="auto"/>
        <w:jc w:val="both"/>
      </w:pPr>
    </w:p>
    <w:p w14:paraId="063805D1" w14:textId="77777777" w:rsidR="0012205B" w:rsidRDefault="0012205B" w:rsidP="0012205B">
      <w:pPr>
        <w:spacing w:line="259" w:lineRule="auto"/>
        <w:jc w:val="both"/>
      </w:pPr>
      <w:r>
        <w:t>The invention of the operational amplifier (op-amp) in the 1960s further accelerated the use of negative feedback. Op-amps, which are inherently stable and have high gain, are key components in many feedback amplifier designs. They have become ubiquitous in electronics and are the backbone of countless analog and digital circuits.</w:t>
      </w:r>
    </w:p>
    <w:p w14:paraId="7A90C113" w14:textId="77777777" w:rsidR="0012205B" w:rsidRPr="0012205B" w:rsidRDefault="0012205B" w:rsidP="0012205B">
      <w:pPr>
        <w:spacing w:line="259" w:lineRule="auto"/>
        <w:jc w:val="both"/>
        <w:rPr>
          <w:b/>
          <w:bCs/>
        </w:rPr>
      </w:pPr>
      <w:r w:rsidRPr="0012205B">
        <w:rPr>
          <w:b/>
          <w:bCs/>
        </w:rPr>
        <w:t>The Impact on Modern Electronics</w:t>
      </w:r>
    </w:p>
    <w:p w14:paraId="6037CD98" w14:textId="77777777" w:rsidR="0012205B" w:rsidRDefault="0012205B" w:rsidP="0012205B">
      <w:pPr>
        <w:spacing w:line="259" w:lineRule="auto"/>
        <w:jc w:val="both"/>
      </w:pPr>
      <w:r>
        <w:t>The invention of the negative feedback amplifier had a profound impact on modern electronics. It enabled the design of amplifiers with improved linearity, lower distortion, and greater stability. In addition to its use in amplifiers, negative feedback is a fundamental concept in control theory, contributing to the development of control systems for a wide range of applications, from industrial automation to aerospace engineering.</w:t>
      </w:r>
    </w:p>
    <w:p w14:paraId="57D728D1" w14:textId="77777777" w:rsidR="0012205B" w:rsidRDefault="0012205B" w:rsidP="0012205B">
      <w:pPr>
        <w:spacing w:line="259" w:lineRule="auto"/>
        <w:jc w:val="both"/>
      </w:pPr>
    </w:p>
    <w:p w14:paraId="7445C9A4" w14:textId="77777777" w:rsidR="0012205B" w:rsidRDefault="0012205B" w:rsidP="0012205B">
      <w:pPr>
        <w:spacing w:line="259" w:lineRule="auto"/>
        <w:jc w:val="both"/>
      </w:pPr>
      <w:r>
        <w:t>Moreover, negative feedback is a critical component of various electronic systems, including operational amplifiers, which are integral to signal processing, analog-to-digital conversion, and countless other functions in modern technology.</w:t>
      </w:r>
    </w:p>
    <w:p w14:paraId="3455921D" w14:textId="77777777" w:rsidR="0012205B" w:rsidRDefault="0012205B" w:rsidP="0012205B">
      <w:pPr>
        <w:spacing w:line="259" w:lineRule="auto"/>
        <w:jc w:val="both"/>
      </w:pPr>
    </w:p>
    <w:p w14:paraId="51D32DFD" w14:textId="77777777" w:rsidR="0012205B" w:rsidRPr="0012205B" w:rsidRDefault="0012205B" w:rsidP="0012205B">
      <w:pPr>
        <w:spacing w:line="259" w:lineRule="auto"/>
        <w:jc w:val="both"/>
        <w:rPr>
          <w:b/>
          <w:bCs/>
        </w:rPr>
      </w:pPr>
      <w:r w:rsidRPr="0012205B">
        <w:rPr>
          <w:b/>
          <w:bCs/>
        </w:rPr>
        <w:t>Conclusion</w:t>
      </w:r>
    </w:p>
    <w:p w14:paraId="3F12693E" w14:textId="77777777" w:rsidR="0012205B" w:rsidRDefault="0012205B" w:rsidP="0012205B">
      <w:pPr>
        <w:spacing w:line="259" w:lineRule="auto"/>
        <w:jc w:val="both"/>
      </w:pPr>
      <w:r>
        <w:t>The invention of the negative feedback amplifier by Harold Stephen Black and its subsequent development and widespread adoption were transformative moments in the history of electronics. The concept of negative feedback not only improved the performance of amplifiers but also became a cornerstone of control theory and automation, influencing a broad spectrum of industries and technologies.</w:t>
      </w:r>
    </w:p>
    <w:p w14:paraId="405C428B" w14:textId="77777777" w:rsidR="0012205B" w:rsidRDefault="0012205B" w:rsidP="0012205B">
      <w:pPr>
        <w:spacing w:line="259" w:lineRule="auto"/>
        <w:jc w:val="both"/>
      </w:pPr>
    </w:p>
    <w:p w14:paraId="22CE2194" w14:textId="09F86622" w:rsidR="0012205B" w:rsidRDefault="0012205B" w:rsidP="0012205B">
      <w:pPr>
        <w:spacing w:line="259" w:lineRule="auto"/>
        <w:jc w:val="both"/>
        <w:sectPr w:rsidR="0012205B" w:rsidSect="0012205B">
          <w:type w:val="continuous"/>
          <w:pgSz w:w="12240" w:h="15840"/>
          <w:pgMar w:top="720" w:right="720" w:bottom="720" w:left="720" w:header="720" w:footer="720" w:gutter="0"/>
          <w:cols w:num="2" w:space="720"/>
          <w:docGrid w:linePitch="360"/>
        </w:sectPr>
      </w:pPr>
      <w:r>
        <w:t xml:space="preserve">The legacy of negative feedback endures in today's interconnected world, where precision, stability, and control </w:t>
      </w:r>
      <w:proofErr w:type="gramStart"/>
      <w:r>
        <w:t>are</w:t>
      </w:r>
      <w:proofErr w:type="gramEnd"/>
      <w:r>
        <w:t xml:space="preserve"> paramoun</w:t>
      </w:r>
      <w:r>
        <w:t>t.</w:t>
      </w:r>
      <w:r>
        <w:t xml:space="preserve"> Its invention was a testament to the power of innovation, persistence, and the impact that a single idea can have on shaping the course of technology and human progress.</w:t>
      </w:r>
    </w:p>
    <w:p w14:paraId="71F99CD4" w14:textId="77777777" w:rsidR="000355C2" w:rsidRDefault="000355C2" w:rsidP="000355C2">
      <w:pPr>
        <w:pStyle w:val="Heading1"/>
      </w:pPr>
      <w:r>
        <w:lastRenderedPageBreak/>
        <w:t>Change and Liability Notice</w:t>
      </w:r>
      <w:bookmarkEnd w:id="0"/>
    </w:p>
    <w:p w14:paraId="10025BDE"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458B0806" w14:textId="77777777" w:rsidR="000355C2" w:rsidRPr="00C55262" w:rsidRDefault="000355C2" w:rsidP="000355C2">
      <w:pPr>
        <w:pStyle w:val="Heading1"/>
      </w:pPr>
      <w:bookmarkStart w:id="1" w:name="_Ref110765861"/>
      <w:bookmarkStart w:id="2" w:name="_Toc111895376"/>
      <w:r>
        <w:t>Trademark Notice</w:t>
      </w:r>
      <w:bookmarkEnd w:id="1"/>
      <w:bookmarkEnd w:id="2"/>
    </w:p>
    <w:p w14:paraId="01BFA6C0" w14:textId="77777777" w:rsidR="000355C2" w:rsidRDefault="000355C2" w:rsidP="000355C2">
      <w:r w:rsidRPr="00C55262">
        <w:t>miniPCB</w:t>
      </w:r>
      <w:r>
        <w:t xml:space="preserve"> is a trademark of Nolan Manteufel.</w:t>
      </w:r>
      <w:r w:rsidR="003B4B9A">
        <w:t xml:space="preserve"> </w:t>
      </w:r>
      <w:r>
        <w:t xml:space="preserve">This </w:t>
      </w:r>
      <w:r w:rsidR="003B4B9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384AA8CE"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06CBBB0" w14:textId="77777777" w:rsidR="000355C2" w:rsidRPr="00873AA8" w:rsidRDefault="000355C2" w:rsidP="00782BDC">
            <w:pPr>
              <w:pStyle w:val="NoSpacing"/>
              <w:jc w:val="center"/>
            </w:pPr>
            <w:r w:rsidRPr="00873AA8">
              <w:t>WORDMARK</w:t>
            </w:r>
          </w:p>
        </w:tc>
        <w:tc>
          <w:tcPr>
            <w:tcW w:w="3522" w:type="dxa"/>
            <w:vAlign w:val="center"/>
          </w:tcPr>
          <w:p w14:paraId="566921A9"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1A3D2F42"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68BA148"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33AB8A9" w14:textId="77777777" w:rsidR="000355C2" w:rsidRDefault="000355C2" w:rsidP="00782BDC">
            <w:pPr>
              <w:pStyle w:val="NoSpacing"/>
              <w:jc w:val="center"/>
            </w:pPr>
            <w:r>
              <w:t>miniPCB™</w:t>
            </w:r>
          </w:p>
        </w:tc>
        <w:tc>
          <w:tcPr>
            <w:tcW w:w="3522" w:type="dxa"/>
            <w:vAlign w:val="center"/>
          </w:tcPr>
          <w:p w14:paraId="1ECAEC5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FC1DA9" wp14:editId="6D0A89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9DA4B67"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441AEF" wp14:editId="77CA298C">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5B73274" w14:textId="77777777" w:rsidR="000355C2" w:rsidRDefault="000355C2" w:rsidP="000355C2"/>
    <w:p w14:paraId="40176A2D"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43E25523"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D51189D" w14:textId="77777777" w:rsidR="000355C2" w:rsidRDefault="000355C2" w:rsidP="00782BDC">
            <w:pPr>
              <w:pStyle w:val="NoSpacing"/>
              <w:jc w:val="center"/>
            </w:pPr>
            <w:r>
              <w:t>REV</w:t>
            </w:r>
          </w:p>
        </w:tc>
        <w:tc>
          <w:tcPr>
            <w:tcW w:w="7436" w:type="dxa"/>
            <w:vAlign w:val="center"/>
          </w:tcPr>
          <w:p w14:paraId="0B2A17D4"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68E0DCD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1585AA4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694FB800"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CE8F668"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041D3B0"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862F3F6"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735E2EE" w14:textId="7B83F552" w:rsidR="000355C2" w:rsidRDefault="0012205B" w:rsidP="00782BDC">
            <w:pPr>
              <w:pStyle w:val="NoSpacing"/>
              <w:jc w:val="center"/>
              <w:cnfStyle w:val="000000000000" w:firstRow="0" w:lastRow="0" w:firstColumn="0" w:lastColumn="0" w:oddVBand="0" w:evenVBand="0" w:oddHBand="0" w:evenHBand="0" w:firstRowFirstColumn="0" w:firstRowLastColumn="0" w:lastRowFirstColumn="0" w:lastRowLastColumn="0"/>
            </w:pPr>
            <w:r>
              <w:t>08NOV2023</w:t>
            </w:r>
          </w:p>
        </w:tc>
      </w:tr>
      <w:tr w:rsidR="000355C2" w14:paraId="07ED61F1"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252B570" w14:textId="77777777" w:rsidR="000355C2" w:rsidRDefault="000355C2" w:rsidP="00782BDC">
            <w:pPr>
              <w:pStyle w:val="NoSpacing"/>
              <w:jc w:val="center"/>
            </w:pPr>
          </w:p>
        </w:tc>
        <w:tc>
          <w:tcPr>
            <w:tcW w:w="7436" w:type="dxa"/>
            <w:vAlign w:val="center"/>
          </w:tcPr>
          <w:p w14:paraId="2A075092"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75AAC46E"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333EB689"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38D3088F" w14:textId="77777777" w:rsidR="000355C2" w:rsidRPr="000A5CDE" w:rsidRDefault="000355C2" w:rsidP="000A5CDE"/>
    <w:sectPr w:rsidR="000355C2" w:rsidRPr="000A5CDE" w:rsidSect="0012205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17CBE" w14:textId="77777777" w:rsidR="007223AA" w:rsidRDefault="007223AA" w:rsidP="002E17B7">
      <w:pPr>
        <w:spacing w:after="0" w:line="240" w:lineRule="auto"/>
      </w:pPr>
      <w:r>
        <w:separator/>
      </w:r>
    </w:p>
  </w:endnote>
  <w:endnote w:type="continuationSeparator" w:id="0">
    <w:p w14:paraId="3A2D7FE7" w14:textId="77777777" w:rsidR="007223AA" w:rsidRDefault="007223AA"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F2EF"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74E8D" w14:textId="77777777" w:rsidR="007223AA" w:rsidRDefault="007223AA" w:rsidP="002E17B7">
      <w:pPr>
        <w:spacing w:after="0" w:line="240" w:lineRule="auto"/>
      </w:pPr>
      <w:r>
        <w:separator/>
      </w:r>
    </w:p>
  </w:footnote>
  <w:footnote w:type="continuationSeparator" w:id="0">
    <w:p w14:paraId="69CEB41D" w14:textId="77777777" w:rsidR="007223AA" w:rsidRDefault="007223AA"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400B4253" w14:textId="77777777" w:rsidTr="00782BDC">
      <w:trPr>
        <w:trHeight w:val="576"/>
      </w:trPr>
      <w:tc>
        <w:tcPr>
          <w:tcW w:w="5400" w:type="dxa"/>
          <w:vAlign w:val="center"/>
        </w:tcPr>
        <w:p w14:paraId="1621A01A" w14:textId="77777777" w:rsidR="000355C2" w:rsidRDefault="000355C2" w:rsidP="000355C2">
          <w:pPr>
            <w:pStyle w:val="Header"/>
          </w:pPr>
          <w:r>
            <w:rPr>
              <w:noProof/>
            </w:rPr>
            <w:drawing>
              <wp:inline distT="0" distB="0" distL="0" distR="0" wp14:anchorId="02955770" wp14:editId="36482600">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08E69E54" wp14:editId="1254BC35">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307B613" w14:textId="6C39CC3D" w:rsidR="000355C2" w:rsidRDefault="0012205B" w:rsidP="000355C2">
          <w:pPr>
            <w:pStyle w:val="Header"/>
            <w:jc w:val="right"/>
            <w:rPr>
              <w:noProof/>
              <w:sz w:val="22"/>
            </w:rPr>
          </w:pPr>
          <w:r>
            <w:rPr>
              <w:noProof/>
              <w:sz w:val="22"/>
            </w:rPr>
            <w:t>The History of the Negative Feedback Amplifier</w:t>
          </w:r>
        </w:p>
        <w:p w14:paraId="79E0CC51" w14:textId="77777777" w:rsidR="000355C2" w:rsidRPr="00D54C21" w:rsidRDefault="000355C2" w:rsidP="000355C2">
          <w:pPr>
            <w:pStyle w:val="Header"/>
            <w:jc w:val="right"/>
            <w:rPr>
              <w:noProof/>
              <w:sz w:val="22"/>
            </w:rPr>
          </w:pPr>
          <w:r>
            <w:rPr>
              <w:noProof/>
              <w:sz w:val="22"/>
            </w:rPr>
            <w:t>FOR EDUCATIONAL USE ONLY</w:t>
          </w:r>
        </w:p>
      </w:tc>
    </w:tr>
  </w:tbl>
  <w:p w14:paraId="0AFC5095" w14:textId="036BBD59"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AF4ED9">
      <w:rPr>
        <w:noProof/>
        <w:sz w:val="16"/>
        <w:szCs w:val="16"/>
      </w:rPr>
      <w:t>8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05B"/>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0179"/>
    <w:rsid w:val="000E7A27"/>
    <w:rsid w:val="000F0DD6"/>
    <w:rsid w:val="000F15EF"/>
    <w:rsid w:val="001038B1"/>
    <w:rsid w:val="00105C7D"/>
    <w:rsid w:val="00111F02"/>
    <w:rsid w:val="00113EBE"/>
    <w:rsid w:val="0012205B"/>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B4B9A"/>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23AA"/>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4ED9"/>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5A0"/>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8AD7B"/>
  <w15:chartTrackingRefBased/>
  <w15:docId w15:val="{7F05D882-02AE-4A0B-B9A6-3F8A11C1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5967">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14</TotalTime>
  <Pages>3</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cp:revision>
  <cp:lastPrinted>2023-11-09T00:30:00Z</cp:lastPrinted>
  <dcterms:created xsi:type="dcterms:W3CDTF">2023-11-09T00:21:00Z</dcterms:created>
  <dcterms:modified xsi:type="dcterms:W3CDTF">2023-11-09T00:37:00Z</dcterms:modified>
</cp:coreProperties>
</file>