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根据</w:t>
      </w:r>
      <w:r>
        <w:rPr>
          <w:rFonts w:hint="eastAsia"/>
        </w:rPr>
        <w:t>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</w:t>
      </w:r>
      <w:r>
        <w:rPr>
          <w:rFonts w:hint="eastAsia"/>
        </w:rPr>
        <w:t>存储在本机电脑</w:t>
      </w:r>
    </w:p>
    <w:p w:rsidR="00474420" w:rsidRPr="00A35D02" w:rsidRDefault="00474420" w:rsidP="00474420">
      <w:pPr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  <w:bookmarkStart w:id="0" w:name="_GoBack"/>
      <w:bookmarkEnd w:id="0"/>
    </w:p>
    <w:sectPr w:rsidR="00474420" w:rsidRPr="00A35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260875"/>
    <w:rsid w:val="00347EBC"/>
    <w:rsid w:val="00474420"/>
    <w:rsid w:val="00776B42"/>
    <w:rsid w:val="00874E2C"/>
    <w:rsid w:val="008D24A2"/>
    <w:rsid w:val="00A35D02"/>
    <w:rsid w:val="00F84A50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4DC21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7</cp:revision>
  <dcterms:created xsi:type="dcterms:W3CDTF">2014-10-29T12:08:00Z</dcterms:created>
  <dcterms:modified xsi:type="dcterms:W3CDTF">2018-08-17T09:19:00Z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