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VT323" w:cs="VT323" w:eastAsia="VT323" w:hAnsi="VT323"/>
        </w:rPr>
      </w:pPr>
      <w:bookmarkStart w:colFirst="0" w:colLast="0" w:name="_gt5b88ono9l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VT323" w:cs="VT323" w:eastAsia="VT323" w:hAnsi="VT323"/>
        </w:rPr>
      </w:pPr>
      <w:bookmarkStart w:colFirst="0" w:colLast="0" w:name="_74ngz83uj03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VT323" w:cs="VT323" w:eastAsia="VT323" w:hAnsi="VT323"/>
        </w:rPr>
      </w:pPr>
      <w:bookmarkStart w:colFirst="0" w:colLast="0" w:name="_ptm7hdugjiu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VT323" w:cs="VT323" w:eastAsia="VT323" w:hAnsi="VT323"/>
        </w:rPr>
      </w:pPr>
      <w:bookmarkStart w:colFirst="0" w:colLast="0" w:name="_lu0ndjd7bc7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VT323" w:cs="VT323" w:eastAsia="VT323" w:hAnsi="VT323"/>
        </w:rPr>
      </w:pPr>
      <w:bookmarkStart w:colFirst="0" w:colLast="0" w:name="_7roqhmacquu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VT323" w:cs="VT323" w:eastAsia="VT323" w:hAnsi="VT323"/>
        </w:rPr>
      </w:pPr>
      <w:bookmarkStart w:colFirst="0" w:colLast="0" w:name="_p2lmw88qhw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VT323" w:cs="VT323" w:eastAsia="VT323" w:hAnsi="VT323"/>
        </w:rPr>
      </w:pPr>
      <w:bookmarkStart w:colFirst="0" w:colLast="0" w:name="_672eemvw73w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rFonts w:ascii="VT323" w:cs="VT323" w:eastAsia="VT323" w:hAnsi="VT323"/>
        </w:rPr>
      </w:pPr>
      <w:bookmarkStart w:colFirst="0" w:colLast="0" w:name="_7ygjfo9mful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rFonts w:ascii="VT323" w:cs="VT323" w:eastAsia="VT323" w:hAnsi="VT323"/>
          <w:sz w:val="78"/>
          <w:szCs w:val="78"/>
        </w:rPr>
      </w:pPr>
      <w:bookmarkStart w:colFirst="0" w:colLast="0" w:name="_11fj5fe5zhyo" w:id="8"/>
      <w:bookmarkEnd w:id="8"/>
      <w:r w:rsidDel="00000000" w:rsidR="00000000" w:rsidRPr="00000000">
        <w:rPr>
          <w:rFonts w:ascii="VT323" w:cs="VT323" w:eastAsia="VT323" w:hAnsi="VT323"/>
          <w:sz w:val="78"/>
          <w:szCs w:val="78"/>
          <w:rtl w:val="0"/>
        </w:rPr>
        <w:t xml:space="preserve">DON’T KILL</w:t>
      </w:r>
    </w:p>
    <w:p w:rsidR="00000000" w:rsidDel="00000000" w:rsidP="00000000" w:rsidRDefault="00000000" w:rsidRPr="00000000" w14:paraId="0000000A">
      <w:pPr>
        <w:pStyle w:val="Title"/>
        <w:jc w:val="center"/>
        <w:rPr>
          <w:rFonts w:ascii="VT323" w:cs="VT323" w:eastAsia="VT323" w:hAnsi="VT323"/>
          <w:sz w:val="78"/>
          <w:szCs w:val="78"/>
        </w:rPr>
      </w:pPr>
      <w:bookmarkStart w:colFirst="0" w:colLast="0" w:name="_1yuw1de6jgi6" w:id="9"/>
      <w:bookmarkEnd w:id="9"/>
      <w:r w:rsidDel="00000000" w:rsidR="00000000" w:rsidRPr="00000000">
        <w:rPr>
          <w:rFonts w:ascii="VT323" w:cs="VT323" w:eastAsia="VT323" w:hAnsi="VT323"/>
          <w:sz w:val="78"/>
          <w:szCs w:val="78"/>
          <w:rtl w:val="0"/>
        </w:rPr>
        <w:t xml:space="preserve">MY DATE!</w:t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16" w:lineRule="auto"/>
        <w:ind w:left="2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16" w:lineRule="auto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16" w:lineRule="auto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16" w:lineRule="auto"/>
        <w:ind w:left="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Equipo de desarrollo: </w:t>
      </w:r>
    </w:p>
    <w:p w:rsidR="00000000" w:rsidDel="00000000" w:rsidP="00000000" w:rsidRDefault="00000000" w:rsidRPr="00000000" w14:paraId="0000001B">
      <w:pPr>
        <w:spacing w:after="120" w:line="216" w:lineRule="auto"/>
        <w:ind w:left="20" w:firstLine="0"/>
        <w:rPr>
          <w:rFonts w:ascii="VT323" w:cs="VT323" w:eastAsia="VT323" w:hAnsi="VT323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Diego Barba, Laura Valles, Alba Gómez, Lucas Suárez, María Bravo, Sergio Casanova.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line="216" w:lineRule="auto"/>
        <w:ind w:left="720" w:hanging="360"/>
        <w:rPr>
          <w:rFonts w:ascii="VT323" w:cs="VT323" w:eastAsia="VT323" w:hAnsi="VT323"/>
        </w:rPr>
      </w:pPr>
      <w:bookmarkStart w:colFirst="0" w:colLast="0" w:name="_1an6oja245qo" w:id="10"/>
      <w:bookmarkEnd w:id="10"/>
      <w:r w:rsidDel="00000000" w:rsidR="00000000" w:rsidRPr="00000000">
        <w:rPr>
          <w:rFonts w:ascii="VT323" w:cs="VT323" w:eastAsia="VT323" w:hAnsi="VT323"/>
          <w:rtl w:val="0"/>
        </w:rPr>
        <w:t xml:space="preserve">Resumen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rFonts w:ascii="VT323" w:cs="VT323" w:eastAsia="VT323" w:hAnsi="VT323"/>
        </w:rPr>
      </w:pPr>
      <w:bookmarkStart w:colFirst="0" w:colLast="0" w:name="_ushtsnuap47u" w:id="11"/>
      <w:bookmarkEnd w:id="11"/>
      <w:r w:rsidDel="00000000" w:rsidR="00000000" w:rsidRPr="00000000">
        <w:rPr>
          <w:rFonts w:ascii="VT323" w:cs="VT323" w:eastAsia="VT323" w:hAnsi="VT323"/>
          <w:rtl w:val="0"/>
        </w:rPr>
        <w:t xml:space="preserve">Descripción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Don’t Kill My Date!</w:t>
      </w:r>
      <w:r w:rsidDel="00000000" w:rsidR="00000000" w:rsidRPr="00000000">
        <w:rPr>
          <w:rtl w:val="0"/>
        </w:rPr>
        <w:t xml:space="preserve"> es un videojuego de gestión y simulación donde el jugador encarna a un hechicero consejero sentimental. Atiende clientes en una consulta mágica creando pociones a partir de ingredientes con efectos específicos. La combinación de ingredientes y la habilidad del jugador a contratiempo determinan la calidad y el efecto de cada poción. El resultado de la poción influye directamente en el éxito o fracaso de la cita del cliente. Las recompensas obtenidas permiten mejorar la consulta, desbloquear habilidades y afrontar casos cada vez más complejos.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zl4wosy40m" w:id="12"/>
      <w:bookmarkEnd w:id="12"/>
      <w:r w:rsidDel="00000000" w:rsidR="00000000" w:rsidRPr="00000000">
        <w:rPr>
          <w:rFonts w:ascii="VT323" w:cs="VT323" w:eastAsia="VT323" w:hAnsi="VT323"/>
          <w:color w:val="000000"/>
          <w:sz w:val="32"/>
          <w:szCs w:val="32"/>
          <w:rtl w:val="0"/>
        </w:rPr>
        <w:t xml:space="preserve">1.2 Género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Simulación/Casual.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rFonts w:ascii="VT323" w:cs="VT323" w:eastAsia="VT323" w:hAnsi="VT323"/>
          <w:color w:val="000000"/>
          <w:sz w:val="32"/>
          <w:szCs w:val="32"/>
        </w:rPr>
      </w:pPr>
      <w:bookmarkStart w:colFirst="0" w:colLast="0" w:name="_68ioa6v1e84m" w:id="13"/>
      <w:bookmarkEnd w:id="13"/>
      <w:r w:rsidDel="00000000" w:rsidR="00000000" w:rsidRPr="00000000">
        <w:rPr>
          <w:rFonts w:ascii="VT323" w:cs="VT323" w:eastAsia="VT323" w:hAnsi="VT323"/>
          <w:color w:val="000000"/>
          <w:sz w:val="32"/>
          <w:szCs w:val="32"/>
          <w:rtl w:val="0"/>
        </w:rPr>
        <w:t xml:space="preserve">1.3 Setting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juego se ambienta en un bosque fantástico habitado por criaturas mágicas. En este entorno, el jugador gestiona una pequeña consulta de hechicería dedicada a resolver problemas sentimentales mediante el uso de magia y alquimia. A medida que avanza la partida, llegan clientes cada vez más peculiares y exigentes, lo que obliga al jugador a tomar decisiones estratégicas sobre qué ingredientes usar y cómo mejorar sus habilidades mágicas.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720" w:right="0" w:firstLine="0"/>
        <w:jc w:val="both"/>
        <w:rPr>
          <w:rFonts w:ascii="VT323" w:cs="VT323" w:eastAsia="VT323" w:hAnsi="VT323"/>
          <w:color w:val="000000"/>
          <w:sz w:val="32"/>
          <w:szCs w:val="32"/>
        </w:rPr>
      </w:pPr>
      <w:bookmarkStart w:colFirst="0" w:colLast="0" w:name="_kuww288ri101" w:id="14"/>
      <w:bookmarkEnd w:id="14"/>
      <w:r w:rsidDel="00000000" w:rsidR="00000000" w:rsidRPr="00000000">
        <w:rPr>
          <w:rFonts w:ascii="VT323" w:cs="VT323" w:eastAsia="VT323" w:hAnsi="VT323"/>
          <w:color w:val="000000"/>
          <w:sz w:val="32"/>
          <w:szCs w:val="32"/>
          <w:rtl w:val="0"/>
        </w:rPr>
        <w:t xml:space="preserve">1.4 Características principales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Elaboración de pociones mediante la combinación de ingredientes con efectos específicos.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a clientes mágicos con distintos problemas amorosos y resultados variables en sus citas.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recompensas que permite desbloquear mejoras, nuevas habilidades e ingredientes avanzados.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progresivo de la dificultad y la complejidad de las decisiones.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visual pixel art con ambientación fantástica en un bosque lleno de criaturas mágicas.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T323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VT323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