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Text"/>
      </w:pPr>
      <w:r>
        <w:t>TEAM LEADERS + ARCHITECTS  /  WELCOME PACK</w:t>
      </w:r>
    </w:p>
    <w:p>
      <w:pPr>
        <w:pStyle w:val="Title"/>
      </w:pPr>
      <w:r>
        <w:t>Build the network,</w:t>
        <w:br/>
        <w:t>not just the crates.</w:t>
      </w:r>
    </w:p>
    <w:p>
      <w:pPr>
        <w:pStyle w:val="Subtitle"/>
      </w:pPr>
      <w:r>
        <w:t>Mininet engineering ownership, launch gates and team-lead operating charter</w:t>
      </w:r>
    </w:p>
    <w:p>
      <w:pPr>
        <w:pStyle w:val="SmallText"/>
      </w:pPr>
      <w:r>
        <w:t>21 October 2026   •   Proposed CTP operating model   •   v1.0</w:t>
      </w:r>
    </w:p>
    <w:p/>
    <w:p>
      <w:pPr>
        <w:spacing w:before="80" w:after="140"/>
      </w:pPr>
      <w:r>
        <w:rPr>
          <w:b/>
          <w:color w:val="006F7B"/>
        </w:rPr>
        <w:t xml:space="preserve">MISSION  </w:t>
      </w:r>
      <w:r>
        <w:t>Create user-sovereign, locally useful, privacy-preserving infrastructure that can continue without any founder, hosted service, software store or privileged operator. Engineering success is measured by independent, reproducible evidence—not the number of merged crates.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FEAF0"/>
          </w:tcPr>
          <w:p>
            <w:pPr>
              <w:spacing w:after="20"/>
            </w:pPr>
            <w:r/>
            <w:r>
              <w:rPr>
                <w:b/>
                <w:color w:val="16293F"/>
                <w:sz w:val="17"/>
              </w:rPr>
              <w:t>CURRENT VERIFIED BASELINE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FEAF0"/>
          </w:tcPr>
          <w:p>
            <w:pPr>
              <w:spacing w:after="20"/>
            </w:pPr>
            <w:r/>
            <w:r>
              <w:rPr>
                <w:b/>
                <w:color w:val="16293F"/>
                <w:sz w:val="17"/>
              </w:rPr>
              <w:t>NOT A LAUNCH CLAIM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87 Rust workspace crates on main; Android source and Debian deployment profile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The physical BLE keystone acceptance path is not evidenced complete.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Forge, CLI, sync, release/installer libraries and substantial private-value prototypes exist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Real value remains NO-GO without external audits, legal and personhood gates.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Seven open pull requests reviewed in this snapshot; #334 and #373-375 are open, not on main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Branch-only crates/features are proposed until merged and independently verified.</w:t>
            </w:r>
          </w:p>
        </w:tc>
      </w:tr>
    </w:tbl>
    <w:p>
      <w:pPr>
        <w:spacing w:after="20"/>
      </w:pPr>
    </w:p>
    <w:p>
      <w:pPr>
        <w:pStyle w:val="SmallText"/>
      </w:pPr>
      <w:r>
        <w:t>This charter is a proposed ownership overlay, not a claim that GitHub teams, approver roles or hires already exist. The source repository remains the technical authority; resolve conflicts by the Constitution, decisions, invariants and current implementation-status register.</w:t>
      </w:r>
    </w:p>
    <w:p>
      <w:r>
        <w:br w:type="page"/>
      </w:r>
    </w:p>
    <w:p>
      <w:pPr>
        <w:pStyle w:val="Heading1"/>
      </w:pPr>
      <w:r>
        <w:t>01  Your first hour</w:t>
      </w:r>
    </w:p>
    <w:p>
      <w:r>
        <w:t>Read in order: founder intent → constitutional limits → latest status → release gates → your interfaces → runnable evidence. The developer map still mentions an old 62-crate count; the authoritative 21 October workspace manifest lists 87.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784"/>
      </w:tblGrid>
      <w:tr>
        <w:trPr>
          <w:tblHeader w:val="true"/>
        </w:trP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FEAF0"/>
          </w:tcPr>
          <w:p>
            <w:pPr>
              <w:spacing w:after="20"/>
            </w:pPr>
            <w:r/>
            <w:r>
              <w:rPr>
                <w:b/>
                <w:color w:val="16293F"/>
                <w:sz w:val="17"/>
              </w:rPr>
              <w:t>ORDER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FEAF0"/>
          </w:tcPr>
          <w:p>
            <w:pPr>
              <w:spacing w:after="20"/>
            </w:pPr>
            <w:r/>
            <w:r>
              <w:rPr>
                <w:b/>
                <w:color w:val="16293F"/>
                <w:sz w:val="17"/>
              </w:rPr>
              <w:t>DOCUMENT / PURPOSE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1</w:t>
            </w:r>
          </w:p>
        </w:tc>
        <w:tc>
          <w:tcPr>
            <w:tcW w:type="dxa" w:w="8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docs/FOUNDER_DIRECTIVES.md — why the rules exist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2</w:t>
            </w:r>
          </w:p>
        </w:tc>
        <w:tc>
          <w:tcPr>
            <w:tcW w:type="dxa" w:w="8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docs/INVARIANTS.md + docs/DECISION_LOG.md — which boundaries are frozen; decisions outrank comments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3</w:t>
            </w:r>
          </w:p>
        </w:tc>
        <w:tc>
          <w:tcPr>
            <w:tcW w:type="dxa" w:w="8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docs/STATUS.md + docs/ROADMAP_TO_RELEASE.md — current implementation and R1–R20 release blockers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4</w:t>
            </w:r>
          </w:p>
        </w:tc>
        <w:tc>
          <w:tcPr>
            <w:tcW w:type="dxa" w:w="8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docs/governance/52_PRE_GO_LIVE_GOVERNANCE_PAUSE.md — temporary anonymous-only bootstrap and one-way Go-Live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5</w:t>
            </w:r>
          </w:p>
        </w:tc>
        <w:tc>
          <w:tcPr>
            <w:tcW w:type="dxa" w:w="8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docs/BETA_STATUS.md + docs/gates/REAL_VALUE_RELEASE_CHECKLIST.md — beta versus real-value NO-GO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6</w:t>
            </w:r>
          </w:p>
        </w:tc>
        <w:tc>
          <w:tcPr>
            <w:tcW w:type="dxa" w:w="87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CONTRIBUTING.md + AGENTS.md + .github/CODEOWNERS — contribution/review rules as actually configured</w:t>
            </w:r>
          </w:p>
        </w:tc>
      </w:tr>
    </w:tbl>
    <w:p>
      <w:pPr>
        <w:spacing w:after="20"/>
      </w:pPr>
    </w:p>
    <w:p>
      <w:pPr>
        <w:pStyle w:val="Heading2"/>
      </w:pPr>
      <w:r>
        <w:t>The five rules leaders cannot bargain away</w:t>
      </w:r>
    </w:p>
    <w:p>
      <w:pPr>
        <w:pStyle w:val="ListBullet"/>
        <w:spacing w:after="40"/>
      </w:pPr>
      <w:r>
        <w:t>Wealth, grant amount, staking and contribution volume never confer governance or reviewer authority. Current distinct identity roots are not proof of distinct humans.</w:t>
      </w:r>
    </w:p>
    <w:p>
      <w:pPr>
        <w:pStyle w:val="ListBullet"/>
        <w:spacing w:after="40"/>
      </w:pPr>
      <w:r>
        <w:t>No permanent founder/admin override, kill switch, forced update, compulsory central naming service or mandatory identity disclosure may enter the protocol.</w:t>
      </w:r>
    </w:p>
    <w:p>
      <w:pPr>
        <w:pStyle w:val="ListBullet"/>
        <w:spacing w:after="40"/>
      </w:pPr>
      <w:r>
        <w:t>Offline signed IOUs and partition-local observations do not become globally final until canonical consensus accepts them.</w:t>
      </w:r>
    </w:p>
    <w:p>
      <w:pPr>
        <w:pStyle w:val="ListBullet"/>
        <w:spacing w:after="40"/>
      </w:pPr>
      <w:r>
        <w:t>No security-critical prototype is “audited” because its tests pass. External audit, legal review, device proof and research evidence close their own gates.</w:t>
      </w:r>
    </w:p>
    <w:p>
      <w:pPr>
        <w:pStyle w:val="ListBullet"/>
        <w:spacing w:after="40"/>
      </w:pPr>
      <w:r>
        <w:t>Before Go-Live, bootstrap participants remain canonically anonymous; Forge canonicality and Go-Live must be one-way state transitions.</w:t>
      </w:r>
    </w:p>
    <w:p>
      <w:pPr>
        <w:pStyle w:val="Heading2"/>
      </w:pPr>
      <w:r>
        <w:t>How to read ownership</w:t>
      </w:r>
    </w:p>
    <w:p>
      <w:r>
        <w:t>Each crate has exactly one primary team. “Shared” means another team is a required interface reviewer—not a second maintainer with competing merge authority. The roster gives technical review routing; it does not override the pre-Go-Live governance pause or current CODEOWNERS configuration.</w:t>
      </w:r>
    </w:p>
    <w:p>
      <w:pPr>
        <w:pStyle w:val="Heading1"/>
      </w:pPr>
      <w:r>
        <w:t>02  Proposed engineering organization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"/>
        <w:gridCol w:w="2563"/>
        <w:gridCol w:w="5602"/>
      </w:tblGrid>
      <w:tr>
        <w:trPr>
          <w:tblHeader w:val="true"/>
        </w:trP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FEAF0"/>
          </w:tcPr>
          <w:p>
            <w:pPr>
              <w:spacing w:after="20"/>
            </w:pPr>
            <w:r/>
            <w:r>
              <w:rPr>
                <w:b/>
                <w:color w:val="16293F"/>
                <w:sz w:val="17"/>
              </w:rPr>
              <w:t>DOMAIN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FEAF0"/>
          </w:tcPr>
          <w:p>
            <w:pPr>
              <w:spacing w:after="20"/>
            </w:pPr>
            <w:r/>
            <w:r>
              <w:rPr>
                <w:b/>
                <w:color w:val="16293F"/>
                <w:sz w:val="17"/>
              </w:rPr>
              <w:t>OWNER TEAM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FEAF0"/>
          </w:tcPr>
          <w:p>
            <w:pPr>
              <w:spacing w:after="20"/>
            </w:pPr>
            <w:r/>
            <w:r>
              <w:rPr>
                <w:b/>
                <w:color w:val="16293F"/>
                <w:sz w:val="17"/>
              </w:rPr>
              <w:t>CURRENT EXECUTION PRIORITY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Trust</w:t>
            </w:r>
          </w:p>
        </w:tc>
        <w:tc>
          <w:tcPr>
            <w:tcW w:type="dxa" w:w="25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T01 Identity / Personhood</w:t>
            </w:r>
          </w:p>
        </w:tc>
        <w:tc>
          <w:tcPr>
            <w:tcW w:type="dxa" w:w="56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KEL witness assurance, presence evidence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Security</w:t>
            </w:r>
          </w:p>
        </w:tc>
        <w:tc>
          <w:tcPr>
            <w:tcW w:type="dxa" w:w="25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T02 Crypto / Privacy</w:t>
            </w:r>
          </w:p>
        </w:tc>
        <w:tc>
          <w:tcPr>
            <w:tcW w:type="dxa" w:w="56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External audit scopes and transport threat closure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Connectivity</w:t>
            </w:r>
          </w:p>
        </w:tc>
        <w:tc>
          <w:tcPr>
            <w:tcW w:type="dxa" w:w="25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T03 Mesh / Sync</w:t>
            </w:r>
          </w:p>
        </w:tc>
        <w:tc>
          <w:tcPr>
            <w:tcW w:type="dxa" w:w="56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Physical BLE and multi-hop tests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Finality</w:t>
            </w:r>
          </w:p>
        </w:tc>
        <w:tc>
          <w:tcPr>
            <w:tcW w:type="dxa" w:w="25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T04 Consensus / Ledger</w:t>
            </w:r>
          </w:p>
        </w:tc>
        <w:tc>
          <w:tcPr>
            <w:tcW w:type="dxa" w:w="56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R8 production validity and admission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Economics</w:t>
            </w:r>
          </w:p>
        </w:tc>
        <w:tc>
          <w:tcPr>
            <w:tcW w:type="dxa" w:w="25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T05 Value / Treasury</w:t>
            </w:r>
          </w:p>
        </w:tc>
        <w:tc>
          <w:tcPr>
            <w:tcW w:type="dxa" w:w="56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R3 migration decision; external money gates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Data</w:t>
            </w:r>
          </w:p>
        </w:tc>
        <w:tc>
          <w:tcPr>
            <w:tcW w:type="dxa" w:w="25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T06 Objects / Storage</w:t>
            </w:r>
          </w:p>
        </w:tc>
        <w:tc>
          <w:tcPr>
            <w:tcW w:type="dxa" w:w="56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Durable retention, verification and repair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Discovery</w:t>
            </w:r>
          </w:p>
        </w:tc>
        <w:tc>
          <w:tcPr>
            <w:tcW w:type="dxa" w:w="25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T07 Search / Web</w:t>
            </w:r>
          </w:p>
        </w:tc>
        <w:tc>
          <w:tcPr>
            <w:tcW w:type="dxa" w:w="56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Bounded source-aware discovery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Experience</w:t>
            </w:r>
          </w:p>
        </w:tc>
        <w:tc>
          <w:tcPr>
            <w:tcW w:type="dxa" w:w="25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T08 Clients / Mobile</w:t>
            </w:r>
          </w:p>
        </w:tc>
        <w:tc>
          <w:tcPr>
            <w:tcW w:type="dxa" w:w="56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Real Android keystone, recovery, wallet UX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Development</w:t>
            </w:r>
          </w:p>
        </w:tc>
        <w:tc>
          <w:tcPr>
            <w:tcW w:type="dxa" w:w="25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T09 Forge</w:t>
            </w:r>
          </w:p>
        </w:tc>
        <w:tc>
          <w:tcPr>
            <w:tcW w:type="dxa" w:w="56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No-GitHub contributor lifecycle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Platform</w:t>
            </w:r>
          </w:p>
        </w:tc>
        <w:tc>
          <w:tcPr>
            <w:tcW w:type="dxa" w:w="25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T10 Release / Ops</w:t>
            </w:r>
          </w:p>
        </w:tc>
        <w:tc>
          <w:tcPr>
            <w:tcW w:type="dxa" w:w="56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Real-target install, rollback and reproducibility</w:t>
            </w:r>
          </w:p>
        </w:tc>
      </w:tr>
    </w:tbl>
    <w:p>
      <w:pPr>
        <w:spacing w:after="20"/>
      </w:pPr>
    </w:p>
    <w:p>
      <w:pPr>
        <w:spacing w:before="80" w:after="140"/>
      </w:pPr>
      <w:r>
        <w:rPr>
          <w:b/>
          <w:color w:val="006F7B"/>
        </w:rPr>
        <w:t xml:space="preserve">CAPACITY MODEL  </w:t>
      </w:r>
      <w:r>
        <w:t>These are ten accountability domains, not ten mandatory staffing teams. With limited developers, appoint one lead to multiple adjacent domains, but never remove independent security review or cross-team acceptance evidence.</w:t>
      </w:r>
    </w:p>
    <w:p>
      <w:pPr>
        <w:pStyle w:val="Heading1"/>
      </w:pPr>
      <w:r>
        <w:t>03  Team leader charters</w:t>
      </w:r>
    </w:p>
    <w:p>
      <w:pPr>
        <w:pStyle w:val="Heading2"/>
      </w:pPr>
      <w:r>
        <w:t>T01  Identity, Continuity &amp; Personhood</w:t>
      </w:r>
    </w:p>
    <w:p>
      <w:r>
        <w:t>Own identity truth and the limits of what can be inferred about a human from an identity root.</w:t>
      </w:r>
    </w:p>
    <w:p>
      <w:pPr>
        <w:pStyle w:val="SmallText"/>
      </w:pPr>
      <w:r>
        <w:t>Primary crates: `did-mini`, `mini-witness-service`, `mini-uniqueness`, `mini-presence`, `mini-spacetime`</w:t>
      </w:r>
    </w:p>
    <w:p>
      <w:r>
        <w:t>Next commitment: Wire usable KEL assurance into permitted authority call sites only after #315 policy; complete witness networking and real co-presence evidence (#21, #97).</w:t>
      </w:r>
    </w:p>
    <w:p>
      <w:pPr>
        <w:pStyle w:val="SmallText"/>
      </w:pPr>
      <w:r>
        <w:t>Cross-team contract: T02 crypto/security; T03 radio/session bindings; T04 validator admission; T08 account recovery and pairing.</w:t>
      </w:r>
    </w:p>
    <w:p>
      <w:pPr>
        <w:pStyle w:val="SmallText"/>
      </w:pPr>
      <w:r>
        <w:t>Proof of done: Revoked or stale delegated devices rejected; real two-device presence transcript and explicit assurance level; no claim of unique human without evidence.</w:t>
      </w:r>
    </w:p>
    <w:p>
      <w:pPr>
        <w:pStyle w:val="Heading2"/>
      </w:pPr>
      <w:r>
        <w:t>T02  Cryptography, Privacy &amp; Protocol Assurance</w:t>
      </w:r>
    </w:p>
    <w:p>
      <w:r>
        <w:t>Own cryptographic primitives and security-policy interpretation; act as independent review lane for every authority or private-value change.</w:t>
      </w:r>
    </w:p>
    <w:p>
      <w:pPr>
        <w:pStyle w:val="SmallText"/>
      </w:pPr>
      <w:r>
        <w:t>Primary crates: `mini-crypto`, `mini-pq-anchor`, `mini-attest`, `mini-privacy-policy`, `mini-transport-security`, `mini-commons-policy`, `mini-publication-policy`</w:t>
      </w:r>
    </w:p>
    <w:p>
      <w:r>
        <w:t>Next commitment: Finish authenticated/anonymous transport dual-path, anti-eclipse and onion/mix hardening (#291); scope and coordinate external cryptographic audits (R12/R13).</w:t>
      </w:r>
    </w:p>
    <w:p>
      <w:pPr>
        <w:pStyle w:val="SmallText"/>
      </w:pPr>
      <w:r>
        <w:t>Cross-team contract: Every team; especially T01, T03, T04, T05, T09, T10.</w:t>
      </w:r>
    </w:p>
    <w:p>
      <w:pPr>
        <w:pStyle w:val="SmallText"/>
      </w:pPr>
      <w:r>
        <w:t>Proof of done: Attack-oriented tests, bounded parsers, no hidden identity leak; external reviewer report for value-bearing activation, not self-issued audit clearance.</w:t>
      </w:r>
    </w:p>
    <w:p>
      <w:pPr>
        <w:pStyle w:val="Heading2"/>
      </w:pPr>
      <w:r>
        <w:t>T03  Mesh Networking, Sync &amp; Offline Transport</w:t>
      </w:r>
    </w:p>
    <w:p>
      <w:r>
        <w:t>Deliver transport-agnostic communications that survive outages, do not require central discovery, and can prove real multi-hop behavior.</w:t>
      </w:r>
    </w:p>
    <w:p>
      <w:pPr>
        <w:pStyle w:val="SmallText"/>
      </w:pPr>
      <w:r>
        <w:t>Primary crates: `mini-bearer`, `mini-net`, `mini-mesh`, `mini-relay`, `mini-dtn`, `mini-transport-policy`, `mini-bootstrap`, `mini-sync`</w:t>
      </w:r>
    </w:p>
    <w:p>
      <w:r>
        <w:t>Next commitment: Integrate Kotlin BLE GATT into complete app flow; execute 1/2/3-device hardware matrix (#335/#97); peer discovery resilience (#291); #98 Wi-Fi later.</w:t>
      </w:r>
    </w:p>
    <w:p>
      <w:pPr>
        <w:pStyle w:val="SmallText"/>
      </w:pPr>
      <w:r>
        <w:t>Cross-team contract: T01 pairing/range; T02 auth/privacy; T07 object retrieval; T08 Android; T09 Forge sync.</w:t>
      </w:r>
    </w:p>
    <w:p>
      <w:pPr>
        <w:pStyle w:val="SmallText"/>
      </w:pPr>
      <w:r>
        <w:t>Proof of done: No-internet two-phone keystone, A-B-C physical relay, reconnect/restart, bounded queues and explicit partition behavior.</w:t>
      </w:r>
    </w:p>
    <w:p>
      <w:pPr>
        <w:pStyle w:val="Heading2"/>
      </w:pPr>
      <w:r>
        <w:t>T04  Consensus, Execution &amp; Finality</w:t>
      </w:r>
    </w:p>
    <w:p>
      <w:r>
        <w:t>Own canonical ordering, chain admission, shielded-claim execution validity and the boundary between pending offline credit and final state.</w:t>
      </w:r>
    </w:p>
    <w:p>
      <w:pPr>
        <w:pStyle w:val="SmallText"/>
      </w:pPr>
      <w:r>
        <w:t>Primary crates: `mini-consensus`, `mini-chain`, `mini-execution`, `mini-settlement`, `mini-ticket`, `mini-shielded-verify`</w:t>
      </w:r>
    </w:p>
    <w:p>
      <w:r>
        <w:t>Next commitment: Complete R8 deployed validator admission, evidence retention/recovery, peer lifecycle, adversarial recovery; migrate transparent claims only under a recorded R3 decision.</w:t>
      </w:r>
    </w:p>
    <w:p>
      <w:pPr>
        <w:pStyle w:val="SmallText"/>
      </w:pPr>
      <w:r>
        <w:t>Cross-team contract: T01 validator identity; T02 security; T03 mesh; T05 proofs/ledger interface; T09 release evidence.</w:t>
      </w:r>
    </w:p>
    <w:p>
      <w:pPr>
        <w:pStyle w:val="SmallText"/>
      </w:pPr>
      <w:r>
        <w:t>Proof of done: Independent nodes converge, reject invalid claims, cannot mint finality during partitions, and reconcile slash-free equivocation accountability by protocol rules.</w:t>
      </w:r>
    </w:p>
    <w:p>
      <w:pPr>
        <w:pStyle w:val="Heading2"/>
      </w:pPr>
      <w:r>
        <w:t>T05  Value, Economics &amp; Custody</w:t>
      </w:r>
    </w:p>
    <w:p>
      <w:r>
        <w:t>Build private-value mechanisms, transparent model boundaries and treasury custody without allowing wealth to confer governance authority.</w:t>
      </w:r>
    </w:p>
    <w:p>
      <w:pPr>
        <w:pStyle w:val="SmallText"/>
      </w:pPr>
      <w:r>
        <w:t>Primary crates: `mini-value`, `mini-private-payment`, `mini-reward`, `mini-treasury`, `mini-custody`, `mini-bridge`, `mini-airdrop`, `mini-airdrop-treasury`, `mini-economy`, `mini-econ-sim`, `mini-resource-pricing`, `mini-bounty`, `mini-contribution`, `mini-engagement`</w:t>
      </w:r>
    </w:p>
    <w:p>
      <w:r>
        <w:t>Next commitment: Resolve production payment migration (R3), fee model and traffic-calibrated decoys (R7); commission external tokenomics, value crypto, DKG and legal reviews (R12-R16).</w:t>
      </w:r>
    </w:p>
    <w:p>
      <w:pPr>
        <w:pStyle w:val="SmallText"/>
      </w:pPr>
      <w:r>
        <w:t>Cross-team contract: T02 audit; T04 settlement/finality; T06 resource evidence; T09 contributor grants; T08 wallet UX.</w:t>
      </w:r>
    </w:p>
    <w:p>
      <w:pPr>
        <w:pStyle w:val="SmallText"/>
      </w:pPr>
      <w:r>
        <w:t>Proof of done: End-to-end private receive-spend-reconcile with fail-closed negative cases, complete treasury key ceremonies and bounded simulations. No real-money claim pre-audit.</w:t>
      </w:r>
    </w:p>
    <w:p>
      <w:pPr>
        <w:pStyle w:val="Heading2"/>
      </w:pPr>
      <w:r>
        <w:t>T06  Objects, Storage &amp; Media Reliability</w:t>
      </w:r>
    </w:p>
    <w:p>
      <w:r>
        <w:t>Own signed object semantics, CRDT/store durability, content repair, provider evidence and resource-bounded media retention.</w:t>
      </w:r>
    </w:p>
    <w:p>
      <w:pPr>
        <w:pStyle w:val="SmallText"/>
      </w:pPr>
      <w:r>
        <w:t>Primary crates: `mini-objects`, `mini-store`, `mini-crdt`, `mini-storage`, `mini-erasure`, `mini-porep`, `mini-storage-fraud`, `mini-provider`, `mini-replication-policy`, `mini-media`</w:t>
      </w:r>
    </w:p>
    <w:p>
      <w:r>
        <w:t>Next commitment: Multi-node object durability, corrupted/stale data rejection, sustained retention/retrieval/recovery and content seeding; review stacked retention work in PR #375.</w:t>
      </w:r>
    </w:p>
    <w:p>
      <w:pPr>
        <w:pStyle w:val="SmallText"/>
      </w:pPr>
      <w:r>
        <w:t>Cross-team contract: T03 replication; T05 resource pricing; T07 search indexing; T08 library UX; T09 Forge object storage.</w:t>
      </w:r>
    </w:p>
    <w:p>
      <w:pPr>
        <w:pStyle w:val="SmallText"/>
      </w:pPr>
      <w:r>
        <w:t>Proof of done: Data recoverable after churn and restart with measured integrity, budget and latency; availability claims based on independent peers.</w:t>
      </w:r>
    </w:p>
    <w:p>
      <w:pPr>
        <w:pStyle w:val="Heading2"/>
      </w:pPr>
      <w:r>
        <w:t>T07  Discovery, Search &amp; Web/Data Services</w:t>
      </w:r>
    </w:p>
    <w:p>
      <w:r>
        <w:t>Own opt-in discoverability and web intake/search indexing while preserving provenance, privacy and user choice.</w:t>
      </w:r>
    </w:p>
    <w:p>
      <w:pPr>
        <w:pStyle w:val="SmallText"/>
      </w:pPr>
      <w:r>
        <w:t>Primary crates: `mini-query`, `mini-lexical-index`, `mini-ranker`, `mini-private-index`, `mini-search-federation`, `mini-search-federation-net`, `mini-intake-types`, `mini-web-types`, `mini-intake`, `mini-intake-social`, `mini-web-extract`, `mini-crawler`, `mini-crawler-fetch`, `mini-extract-protocol`, `mini-extract-host`, `mini-app-protocol`, `mini-app-service`</w:t>
      </w:r>
    </w:p>
    <w:p>
      <w:r>
        <w:t>Next commitment: Integrate bounded peer search, source/provenance explanations and extraction isolation; later harden search federation under real peer/network conditions.</w:t>
      </w:r>
    </w:p>
    <w:p>
      <w:pPr>
        <w:pStyle w:val="SmallText"/>
      </w:pPr>
      <w:r>
        <w:t>Cross-team contract: T06 signed objects/provider; T03 federation transport; T02 private search; T08 UX.</w:t>
      </w:r>
    </w:p>
    <w:p>
      <w:pPr>
        <w:pStyle w:val="SmallText"/>
      </w:pPr>
      <w:r>
        <w:t>Proof of done: Queries disclose only owner-authorized data; sources verifiable and fetch/extract bounded; offline/error states explicit.</w:t>
      </w:r>
    </w:p>
    <w:p>
      <w:pPr>
        <w:pStyle w:val="Heading2"/>
      </w:pPr>
      <w:r>
        <w:t>T08  Client, Mobile &amp; Human Experience</w:t>
      </w:r>
    </w:p>
    <w:p>
      <w:r>
        <w:t>Make existing core capabilities usable without silently replacing user sovereignty with hosted convenience.</w:t>
      </w:r>
    </w:p>
    <w:p>
      <w:pPr>
        <w:pStyle w:val="SmallText"/>
      </w:pPr>
      <w:r>
        <w:t>Primary crates: `mini-ffi`, `mini-desktop`, `mini-windows-vault`, `mini-setup`, `mini-windows-setup`, `mini-messaging`, `mini-social`, `mini-safety`, `mini-keystone`</w:t>
      </w:r>
    </w:p>
    <w:p>
      <w:r>
        <w:t>Next commitment: Complete physical Android keystone and multi-hop acceptance (#335), Windows/desktop onboarding, secure vault/recovery, Forge and wallet surfaces (#336/#337).</w:t>
      </w:r>
    </w:p>
    <w:p>
      <w:pPr>
        <w:pStyle w:val="SmallText"/>
      </w:pPr>
      <w:r>
        <w:t>Cross-team contract: T01 identities; T03 BLE/local networking; T04/T05 wallet finality; T06 library; T07 discovery; T09 Forge.</w:t>
      </w:r>
    </w:p>
    <w:p>
      <w:pPr>
        <w:pStyle w:val="SmallText"/>
      </w:pPr>
      <w:r>
        <w:t>Proof of done: One/two/three-phone journeys, owner-confirmed actions, understandable recovery and no false claims about payment/finality/personhood.</w:t>
      </w:r>
    </w:p>
    <w:p>
      <w:pPr>
        <w:pStyle w:val="Heading2"/>
      </w:pPr>
      <w:r>
        <w:t>T09  Native Forge &amp; Developer Workflow</w:t>
      </w:r>
    </w:p>
    <w:p>
      <w:r>
        <w:t>Make Mininet able to develop, review, merge and coordinate contributions through its own verified object network.</w:t>
      </w:r>
    </w:p>
    <w:p>
      <w:pPr>
        <w:pStyle w:val="SmallText"/>
      </w:pPr>
      <w:r>
        <w:t>Primary crates: `mini-forge`, `mini-cli`, `mini-provenance`, `mini-pipeline`, `mini-pipeline-protocol`, `mini-build-runner-wasmtime`</w:t>
      </w:r>
    </w:p>
    <w:p>
      <w:r>
        <w:t>Next commitment: Review/land #371 and #373; finish #336 campaign-to-task CLI; prove #338 GitHub-outage full contribution loop; record irreversible Forge canonical transition.</w:t>
      </w:r>
    </w:p>
    <w:p>
      <w:pPr>
        <w:pStyle w:val="SmallText"/>
      </w:pPr>
      <w:r>
        <w:t>Cross-team contract: T06 object/store; T03 sync; T02 provenance/security; T10 installer/release; T05 separate beta-grant policy.</w:t>
      </w:r>
    </w:p>
    <w:p>
      <w:pPr>
        <w:pStyle w:val="SmallText"/>
      </w:pPr>
      <w:r>
        <w:t>Proof of done: Independent nodes complete issue -&gt; task -&gt; review -&gt; merge -&gt; build -&gt; release without GitHub; mirrors never confer authority.</w:t>
      </w:r>
    </w:p>
    <w:p>
      <w:pPr>
        <w:pStyle w:val="Heading2"/>
      </w:pPr>
      <w:r>
        <w:t>T10  Release, Platform Operations &amp; Verification</w:t>
      </w:r>
    </w:p>
    <w:p>
      <w:r>
        <w:t>Own reproducible packaging, owner-approved updates, rollback, deployment, whole-workspace gates and operational evidence.</w:t>
      </w:r>
    </w:p>
    <w:p>
      <w:pPr>
        <w:pStyle w:val="SmallText"/>
      </w:pPr>
      <w:r>
        <w:t>Primary crates: `mini-installer`, `mini-update`, `mini-durable`, `mini-selftest`, `mini-value-selftest`</w:t>
      </w:r>
    </w:p>
    <w:p>
      <w:r>
        <w:t>Next commitment: Exercise R19 on real Debian/Windows/Android targets; stabilize pinned CI, two-builder reproducibility, fault-injection rollback and audit evidence ledger; #303 Debian appliance.</w:t>
      </w:r>
    </w:p>
    <w:p>
      <w:pPr>
        <w:pStyle w:val="SmallText"/>
      </w:pPr>
      <w:r>
        <w:t>Cross-team contract: T09 releases/provenance; T08 mobile and desktop installers; T02 security; all team test contracts.</w:t>
      </w:r>
    </w:p>
    <w:p>
      <w:pPr>
        <w:pStyle w:val="SmallText"/>
      </w:pPr>
      <w:r>
        <w:t>Proof of done: Independent reproducible artifacts, owner-approved activation, broken-release rollback, no kill path, no false green status.</w:t>
      </w:r>
    </w:p>
    <w:p>
      <w:pPr>
        <w:pStyle w:val="Heading1"/>
      </w:pPr>
      <w:r>
        <w:t>04  Cross-team contracts to make explicit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275"/>
        <w:gridCol w:w="5616"/>
      </w:tblGrid>
      <w:tr>
        <w:trPr>
          <w:tblHeader w:val="true"/>
        </w:trP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FEAF0"/>
          </w:tcPr>
          <w:p>
            <w:pPr>
              <w:spacing w:after="20"/>
            </w:pPr>
            <w:r/>
            <w:r>
              <w:rPr>
                <w:b/>
                <w:color w:val="16293F"/>
                <w:sz w:val="17"/>
              </w:rPr>
              <w:t>BOUNDARY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FEAF0"/>
          </w:tcPr>
          <w:p>
            <w:pPr>
              <w:spacing w:after="20"/>
            </w:pPr>
            <w:r/>
            <w:r>
              <w:rPr>
                <w:b/>
                <w:color w:val="16293F"/>
                <w:sz w:val="17"/>
              </w:rPr>
              <w:t>SOURCE → CONSUMER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FEAF0"/>
          </w:tcPr>
          <w:p>
            <w:pPr>
              <w:spacing w:after="20"/>
            </w:pPr>
            <w:r/>
            <w:r>
              <w:rPr>
                <w:b/>
                <w:color w:val="16293F"/>
                <w:sz w:val="17"/>
              </w:rPr>
              <w:t>MUST BE AGREED BEFORE MERGE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Identity and transport</w:t>
            </w:r>
          </w:p>
        </w:tc>
        <w:tc>
          <w:tcPr>
            <w:tcW w:type="dxa" w:w="2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T01/T02 → T03/T08/T04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Channel-binding type, peer assurance/freshness, anonymous-vs-named session semantics, revocation and replay contract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Transport and data</w:t>
            </w:r>
          </w:p>
        </w:tc>
        <w:tc>
          <w:tcPr>
            <w:tcW w:type="dxa" w:w="2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T03 → T06/T07/T09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Bounded payloads, inventory/page continuation, verified ingest, restart/partition failure semantics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Private value and ledger</w:t>
            </w:r>
          </w:p>
        </w:tc>
        <w:tc>
          <w:tcPr>
            <w:tcW w:type="dxa" w:w="2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T05 → T04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Shielded proof verifier and claim evidence, nullifier/key-image finality, no vote-weight dependency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Object and Forge</w:t>
            </w:r>
          </w:p>
        </w:tc>
        <w:tc>
          <w:tcPr>
            <w:tcW w:type="dxa" w:w="2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T06 → T09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Signed object schema, exact-state review head, content digest, append-only provenance; GitHub mirror noncanonical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Forge to installations</w:t>
            </w:r>
          </w:p>
        </w:tc>
        <w:tc>
          <w:tcPr>
            <w:tcW w:type="dxa" w:w="2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T09 → T10/T08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Release attestation, transparency/rollback metadata, owner approval, health-check and recovery callbacks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Product to core</w:t>
            </w:r>
          </w:p>
        </w:tc>
        <w:tc>
          <w:tcPr>
            <w:tcW w:type="dxa" w:w="2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T08 → all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Owner-consent UX, persistence, status labels and battery/resource budgets; no UI-created authority</w:t>
            </w:r>
          </w:p>
        </w:tc>
      </w:tr>
    </w:tbl>
    <w:p>
      <w:pPr>
        <w:spacing w:after="20"/>
      </w:pPr>
    </w:p>
    <w:p>
      <w:pPr>
        <w:pStyle w:val="Heading2"/>
      </w:pPr>
      <w:r>
        <w:t>Decision rights and escalation</w:t>
      </w:r>
    </w:p>
    <w:p>
      <w:pPr>
        <w:pStyle w:val="ListBullet"/>
        <w:spacing w:after="40"/>
      </w:pPr>
      <w:r>
        <w:t>Team lead: backlog order, engineering design inside existing decisions, operational and test evidence for owned crates.</w:t>
      </w:r>
    </w:p>
    <w:p>
      <w:pPr>
        <w:pStyle w:val="ListBullet"/>
        <w:spacing w:after="40"/>
      </w:pPr>
      <w:r>
        <w:t>Domain architect: API compatibility and cross-crate dependency graph; blocks technically invalid merges at the interface review stage.</w:t>
      </w:r>
    </w:p>
    <w:p>
      <w:pPr>
        <w:pStyle w:val="ListBullet"/>
        <w:spacing w:after="40"/>
      </w:pPr>
      <w:r>
        <w:t>CTP / cross-domain council: scope, release sequencing, incident priority, resource conflicts and unresolved architecture proposals.</w:t>
      </w:r>
    </w:p>
    <w:p>
      <w:pPr>
        <w:pStyle w:val="ListBullet"/>
        <w:spacing w:after="40"/>
      </w:pPr>
      <w:r>
        <w:t>Founder/bootstrap custodian: constitutional/Founder-only choices and the temporary canonical integration policy while Pre-Go-Live; must record policy changes as decisions.</w:t>
      </w:r>
    </w:p>
    <w:p>
      <w:pPr>
        <w:pStyle w:val="ListBullet"/>
        <w:spacing w:after="40"/>
      </w:pPr>
      <w:r>
        <w:t>Independent specialist: signs their own audit, legal, hardware or economic review. The CTP cannot substitute an internal opinion for an external gate.</w:t>
      </w:r>
    </w:p>
    <w:p>
      <w:pPr>
        <w:spacing w:before="80" w:after="140"/>
      </w:pPr>
      <w:r>
        <w:rPr>
          <w:b/>
          <w:color w:val="006F7B"/>
        </w:rPr>
        <w:t xml:space="preserve">CURRENT GITHUB EXCEPTION  </w:t>
      </w:r>
      <w:r>
        <w:t>The live .github/CODEOWNERS routes everything to @mininet-labs under temporary D-0083 and states the active ruleset requires zero approvals. Do not represent a proposed two-reviewer practice as enforced today. For critical paths, require named independent technical/security sign-off in the delivery record regardless of temporary platform enforcement.</w:t>
      </w:r>
    </w:p>
    <w:p>
      <w:pPr>
        <w:pStyle w:val="Heading1"/>
      </w:pPr>
      <w:r>
        <w:t>05  Release road: what remains</w:t>
      </w:r>
    </w:p>
    <w:p>
      <w:r>
        <w:t>Canonical reference: docs/ROADMAP_TO_RELEASE.md, R1–R20. Status below uses its declared readiness state, not inference from an open/closed issue alone. “Outside” means code alone cannot close the item.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7"/>
        <w:gridCol w:w="1843"/>
        <w:gridCol w:w="4738"/>
      </w:tblGrid>
      <w:tr>
        <w:trPr>
          <w:tblHeader w:val="true"/>
        </w:trP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FEAF0"/>
          </w:tcPr>
          <w:p>
            <w:pPr>
              <w:spacing w:after="20"/>
            </w:pPr>
            <w:r/>
            <w:r>
              <w:rPr>
                <w:b/>
                <w:color w:val="16293F"/>
                <w:sz w:val="17"/>
              </w:rPr>
              <w:t>ITEM / STATUS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FEAF0"/>
          </w:tcPr>
          <w:p>
            <w:pPr>
              <w:spacing w:after="20"/>
            </w:pPr>
            <w:r/>
            <w:r>
              <w:rPr>
                <w:b/>
                <w:color w:val="16293F"/>
                <w:sz w:val="17"/>
              </w:rPr>
              <w:t>ACCOUNTABLE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FEAF0"/>
          </w:tcPr>
          <w:p>
            <w:pPr>
              <w:spacing w:after="20"/>
            </w:pPr>
            <w:r/>
            <w:r>
              <w:rPr>
                <w:b/>
                <w:color w:val="16293F"/>
                <w:sz w:val="17"/>
              </w:rPr>
              <w:t>REQUIRED CLOSURE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R1  Governance validator consistency</w:t>
              <w:br/>
              <w:t>DONE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T10 / T09</w:t>
            </w:r>
          </w:p>
        </w:tc>
        <w:tc>
          <w:tcPr>
            <w:tcW w:type="dxa" w:w="47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PR #309; validator evidence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R2  Meaningful CI baseline</w:t>
              <w:br/>
              <w:t>DONE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T10</w:t>
            </w:r>
          </w:p>
        </w:tc>
        <w:tc>
          <w:tcPr>
            <w:tcW w:type="dxa" w:w="47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Scheduled full green baseline; advisory triage retained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R3  Retire transparent payment graph</w:t>
              <w:br/>
              <w:t>READY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T05 + T04</w:t>
            </w:r>
          </w:p>
        </w:tc>
        <w:tc>
          <w:tcPr>
            <w:tcW w:type="dxa" w:w="47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Founder D-decision; five consumer crates private-only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R4  Private fee, change and multioutput</w:t>
              <w:br/>
              <w:t>DONE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T05</w:t>
            </w:r>
          </w:p>
        </w:tc>
        <w:tc>
          <w:tcPr>
            <w:tcW w:type="dxa" w:w="47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D-0455 shielded path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R5  Chain-backed private ledger view</w:t>
              <w:br/>
              <w:t>DONE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T04 + T05</w:t>
            </w:r>
          </w:p>
        </w:tc>
        <w:tc>
          <w:tcPr>
            <w:tcW w:type="dxa" w:w="47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D-0457; not sufficient for R8 validity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R6  Optional account disclosure</w:t>
              <w:br/>
              <w:t>DONE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T05</w:t>
            </w:r>
          </w:p>
        </w:tc>
        <w:tc>
          <w:tcPr>
            <w:tcW w:type="dxa" w:w="47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D-0458 bounded disclosure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R7  Decoy distribution calibration</w:t>
              <w:br/>
              <w:t>BLOCKED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T05 / T02</w:t>
            </w:r>
          </w:p>
        </w:tc>
        <w:tc>
          <w:tcPr>
            <w:tcW w:type="dxa" w:w="47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Wait for R17 real traffic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R8  Production consensus completion</w:t>
              <w:br/>
              <w:t>ACTIVE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T04 + T02/T03</w:t>
            </w:r>
          </w:p>
        </w:tc>
        <w:tc>
          <w:tcPr>
            <w:tcW w:type="dxa" w:w="47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Deployed admission, evidence gossip/recovery, weak-peer/partition tests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R9  KEL freshness / witnesses</w:t>
              <w:br/>
              <w:t>ACTIVE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T01 + T09</w:t>
            </w:r>
          </w:p>
        </w:tc>
        <w:tc>
          <w:tcPr>
            <w:tcW w:type="dxa" w:w="47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Integrate assurance gates once #315 policy decided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R10  Physical BLE/local radio</w:t>
              <w:br/>
              <w:t>OUTSIDE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T03 + T08</w:t>
            </w:r>
          </w:p>
        </w:tc>
        <w:tc>
          <w:tcPr>
            <w:tcW w:type="dxa" w:w="47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T1–T6 physical-device evidence; #335/#97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R11  Usable end-user client</w:t>
              <w:br/>
              <w:t>READY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T08</w:t>
            </w:r>
          </w:p>
        </w:tc>
        <w:tc>
          <w:tcPr>
            <w:tcW w:type="dxa" w:w="47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Two-physical-device end-to-end acceptance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R12  Independent crypto audit</w:t>
              <w:br/>
              <w:t>OUTSIDE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T02 + T05</w:t>
            </w:r>
          </w:p>
        </w:tc>
        <w:tc>
          <w:tcPr>
            <w:tcW w:type="dxa" w:w="47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Applied cryptography external sign-off (#72)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R13  FROST DKG audit</w:t>
              <w:br/>
              <w:t>OUTSIDE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T02 + T05</w:t>
            </w:r>
          </w:p>
        </w:tc>
        <w:tc>
          <w:tcPr>
            <w:tcW w:type="dxa" w:w="47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Independent DKG/treasury report (#93)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R14  Legal counsel review</w:t>
              <w:br/>
              <w:t>OUTSIDE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CTP + T05</w:t>
            </w:r>
          </w:p>
        </w:tc>
        <w:tc>
          <w:tcPr>
            <w:tcW w:type="dxa" w:w="47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External counsel: money/treasury/contribution rails (#96)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R15  Sybil/personhood research</w:t>
              <w:br/>
              <w:t>OUTSIDE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T01 / research</w:t>
            </w:r>
          </w:p>
        </w:tc>
        <w:tc>
          <w:tcPr>
            <w:tcW w:type="dxa" w:w="47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SPEC-02 evidence: roots are not humans (#21)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R16  Tokenomics validation</w:t>
              <w:br/>
              <w:t>OUTSIDE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T05 / expert</w:t>
            </w:r>
          </w:p>
        </w:tc>
        <w:tc>
          <w:tcPr>
            <w:tcW w:type="dxa" w:w="47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Independent mechanism-design calibration (#47/#50)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R17  Adversarial live network test</w:t>
              <w:br/>
              <w:t>BLOCKED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T03 + T04 + T10</w:t>
            </w:r>
          </w:p>
        </w:tc>
        <w:tc>
          <w:tcPr>
            <w:tcW w:type="dxa" w:w="47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Needs R8 and R11; publish faults and network traces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R18  Genesis and activation</w:t>
              <w:br/>
              <w:t>BLOCKED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Founder + T04</w:t>
            </w:r>
          </w:p>
        </w:tc>
        <w:tc>
          <w:tcPr>
            <w:tcW w:type="dxa" w:w="47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Needs R8 and R12; explicit D-decision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R19  Real-target release/rollback</w:t>
              <w:br/>
              <w:t>READY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T10 + T09</w:t>
            </w:r>
          </w:p>
        </w:tc>
        <w:tc>
          <w:tcPr>
            <w:tcW w:type="dxa" w:w="47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Real Debian/Windows targets; induced failure rollback; #303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R20  Truthful public launch disclosure</w:t>
              <w:br/>
              <w:t>BLOCKED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CTP + all</w:t>
            </w:r>
          </w:p>
        </w:tc>
        <w:tc>
          <w:tcPr>
            <w:tcW w:type="dxa" w:w="47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Last step: reconcile R12–R18 evidence and residual claims</w:t>
            </w:r>
          </w:p>
        </w:tc>
      </w:tr>
    </w:tbl>
    <w:p>
      <w:pPr>
        <w:spacing w:after="20"/>
      </w:pPr>
    </w:p>
    <w:p>
      <w:pPr>
        <w:pStyle w:val="Heading1"/>
      </w:pPr>
      <w:r>
        <w:t>06  Three release lanes: do not conflate them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4320"/>
        <w:gridCol w:w="3542"/>
      </w:tblGrid>
      <w:tr>
        <w:trPr>
          <w:tblHeader w:val="true"/>
        </w:trP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FEAF0"/>
          </w:tcPr>
          <w:p>
            <w:pPr>
              <w:spacing w:after="20"/>
            </w:pPr>
            <w:r/>
            <w:r>
              <w:rPr>
                <w:b/>
                <w:color w:val="16293F"/>
                <w:sz w:val="17"/>
              </w:rPr>
              <w:t>LANE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FEAF0"/>
          </w:tcPr>
          <w:p>
            <w:pPr>
              <w:spacing w:after="20"/>
            </w:pPr>
            <w:r/>
            <w:r>
              <w:rPr>
                <w:b/>
                <w:color w:val="16293F"/>
                <w:sz w:val="17"/>
              </w:rPr>
              <w:t>MINIMUM ACCEPTANCE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FEAF0"/>
          </w:tcPr>
          <w:p>
            <w:pPr>
              <w:spacing w:after="20"/>
            </w:pPr>
            <w:r/>
            <w:r>
              <w:rPr>
                <w:b/>
                <w:color w:val="16293F"/>
                <w:sz w:val="17"/>
              </w:rPr>
              <w:t>NO-GO LIMIT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A · Open Beta / real hardware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One-phone lifecycle, two-phone offline discovery/identity/presence, A-B-C relay with redacted physical evidence; client error/recovery UX; #335.</w:t>
            </w:r>
          </w:p>
        </w:tc>
        <w:tc>
          <w:tcPr>
            <w:tcW w:type="dxa" w:w="35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Simulations or Android CI cannot substitute for physical device results. Beta MINI must be labelled, resettable and non-convertible.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B · Forge canonical transition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Native campaign → finding → disposition → task → review → contribution → optional beta grant; cross-node sync without GitHub; one-way transition #336–#339.</w:t>
            </w:r>
          </w:p>
        </w:tc>
        <w:tc>
          <w:tcPr>
            <w:tcW w:type="dxa" w:w="35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GitHub user/admin/server/Founder key cannot remain authority root; no retroactive pre-Go-Live DID link.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C · Real-value / full-network Go-Live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R3/R8/R9/R11/R12–R20 evidence, legal/economics/crypto/DKG/personhood signoffs, real adversarial network and owner-approved releases.</w:t>
            </w:r>
          </w:p>
        </w:tc>
        <w:tc>
          <w:tcPr>
            <w:tcW w:type="dxa" w:w="35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No real production MINI, “one human one vote,” safe privacy or global finality claims until evidence genuinely warrants them.</w:t>
            </w:r>
          </w:p>
        </w:tc>
      </w:tr>
    </w:tbl>
    <w:p>
      <w:pPr>
        <w:spacing w:after="20"/>
      </w:pPr>
    </w:p>
    <w:p>
      <w:pPr>
        <w:pStyle w:val="Heading2"/>
      </w:pPr>
      <w:r>
        <w:t>Milestone plan: dependency-led, not date-led</w:t>
      </w:r>
    </w:p>
    <w:p>
      <w:pPr>
        <w:pStyle w:val="ListBullet"/>
        <w:spacing w:after="40"/>
      </w:pPr>
      <w:r>
        <w:t>Gate 0 — Baseline and architecture: freeze crate ownership, assign interface reviewers, reproduce focused CI and sign unresolved founding decisions (#315, R3).</w:t>
      </w:r>
    </w:p>
    <w:p>
      <w:pPr>
        <w:pStyle w:val="ListBullet"/>
        <w:spacing w:after="40"/>
      </w:pPr>
      <w:r>
        <w:t>Gate 1 — Beta hardware and operator UX: T03/T08 complete #335; T10 collects device logs; T01 verifies range/freshness semantics.</w:t>
      </w:r>
    </w:p>
    <w:p>
      <w:pPr>
        <w:pStyle w:val="ListBullet"/>
        <w:spacing w:after="40"/>
      </w:pPr>
      <w:r>
        <w:t>Gate 2 — Contributor Forge flow: T09/T06/T03 complete #336, land reviewed #371/#373 as appropriate; validate native object/sync against separate stores.</w:t>
      </w:r>
    </w:p>
    <w:p>
      <w:pPr>
        <w:pStyle w:val="ListBullet"/>
        <w:spacing w:after="40"/>
      </w:pPr>
      <w:r>
        <w:t>Gate 3 — Beta economics and canonical cutover: T05/T09 implement distinct test-only issuance policy #337/#339; prove #338 outage and irreversible handoff.</w:t>
      </w:r>
    </w:p>
    <w:p>
      <w:pPr>
        <w:pStyle w:val="ListBullet"/>
        <w:spacing w:after="40"/>
      </w:pPr>
      <w:r>
        <w:t>Gate 4 — Production candidacy: T04/T02/T05 close core risk and external review gates; T10 runs R19 real-target drills and R17 adversarial campaign; CTP issues R20 truth statement only afterward.</w:t>
      </w:r>
    </w:p>
    <w:p>
      <w:pPr>
        <w:pStyle w:val="Heading1"/>
      </w:pPr>
      <w:r>
        <w:t>07  Live work queue and PR integration</w:t>
      </w:r>
    </w:p>
    <w:p>
      <w:r>
        <w:t>As checked on 21 October 2026: seven open pull requests (#334, #363, #371–#375). An open PR is not merged code, even when its description claims targeted tests have passed. Treat stacked branches as dependency graphs, not parallel mergeable features.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38"/>
        <w:gridCol w:w="2045"/>
        <w:gridCol w:w="4565"/>
      </w:tblGrid>
      <w:tr>
        <w:trPr>
          <w:tblHeader w:val="true"/>
        </w:trP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FEAF0"/>
          </w:tcPr>
          <w:p>
            <w:pPr>
              <w:spacing w:after="20"/>
            </w:pPr>
            <w:r/>
            <w:r>
              <w:rPr>
                <w:b/>
                <w:color w:val="16293F"/>
                <w:sz w:val="17"/>
              </w:rPr>
              <w:t>ITEM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FEAF0"/>
          </w:tcPr>
          <w:p>
            <w:pPr>
              <w:spacing w:after="20"/>
            </w:pPr>
            <w:r/>
            <w:r>
              <w:rPr>
                <w:b/>
                <w:color w:val="16293F"/>
                <w:sz w:val="17"/>
              </w:rPr>
              <w:t>LEAD / REVIEW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FEAF0"/>
          </w:tcPr>
          <w:p>
            <w:pPr>
              <w:spacing w:after="20"/>
            </w:pPr>
            <w:r/>
            <w:r>
              <w:rPr>
                <w:b/>
                <w:color w:val="16293F"/>
                <w:sz w:val="17"/>
              </w:rPr>
              <w:t>EXECUTIVE DISPOSITION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#334 · Open Beta / Forge transition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T09 + T05; T08</w:t>
            </w:r>
          </w:p>
        </w:tc>
        <w:tc>
          <w:tcPr>
            <w:tcW w:type="dxa" w:w="4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Large feature branch with mini-beta reference ledger (not yet on main). Break out validated seams, keep beta-value wall intact.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#371 · Campaign/finding/disposition CLI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T09; T06 + T02</w:t>
            </w:r>
          </w:p>
        </w:tc>
        <w:tc>
          <w:tcPr>
            <w:tcW w:type="dxa" w:w="4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Inspect object compatibility and two-independent-store flow; connects to #336/#338.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#373 · Native Unix Forge launch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T09; T10 + T02</w:t>
            </w:r>
          </w:p>
        </w:tc>
        <w:tc>
          <w:tcPr>
            <w:tcW w:type="dxa" w:w="4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Validate migration/resumable service and security proofs; predecessor for #374 and #375.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#374 · Resident AI (stacked on #373)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T08 + T07; T02</w:t>
            </w:r>
          </w:p>
        </w:tc>
        <w:tc>
          <w:tcPr>
            <w:tcW w:type="dxa" w:w="4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Advisory only; never approval, value movement or hidden tool execution. Feature expansion, not R12 substitute.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#375 · Seed/search mesh (stacked on #374)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T06 + T07; T03/T05/T02</w:t>
            </w:r>
          </w:p>
        </w:tc>
        <w:tc>
          <w:tcPr>
            <w:tcW w:type="dxa" w:w="4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Draft; retention, payment receipts and owner controls need cross-team verification. Not a launch-blocking substitute for R10.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#372 · Stealth view-tag optimization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T05; T02</w:t>
            </w:r>
          </w:p>
        </w:tc>
        <w:tc>
          <w:tcPr>
            <w:tcW w:type="dxa" w:w="4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Benchmark, wire-binding, recovery and external audit still necessary before wallet promotion.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#363 · Durable private relationships</w:t>
            </w:r>
          </w:p>
        </w:tc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T01 + T08; T02/T03</w:t>
            </w:r>
          </w:p>
        </w:tc>
        <w:tc>
          <w:tcPr>
            <w:tcW w:type="dxa" w:w="45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Draft: Windows runtime test, privacy and revocation seam before defaulting UI on.</w:t>
            </w:r>
          </w:p>
        </w:tc>
      </w:tr>
    </w:tbl>
    <w:p>
      <w:pPr>
        <w:spacing w:after="20"/>
      </w:pPr>
    </w:p>
    <w:p>
      <w:pPr>
        <w:spacing w:before="80" w:after="140"/>
      </w:pPr>
      <w:r>
        <w:rPr>
          <w:b/>
          <w:color w:val="006F7B"/>
        </w:rPr>
        <w:t xml:space="preserve">EXPLICIT DEFERRAL  </w:t>
      </w:r>
      <w:r>
        <w:t>Full custom Android OS, AI marketplace, interplanetary transport, exhaustive social-platform parity and new token features should not displace real-phone Beta, native Forge proof, production audits or installer safety. They remain legitimate programs with separate entry gates.</w:t>
      </w:r>
    </w:p>
    <w:p>
      <w:pPr>
        <w:pStyle w:val="Heading1"/>
      </w:pPr>
      <w:r>
        <w:t>08  Daily operating contract</w:t>
      </w:r>
    </w:p>
    <w:p>
      <w:pPr>
        <w:pStyle w:val="Heading2"/>
      </w:pPr>
      <w:r>
        <w:t>For each technical task, require a one-page ticket</w:t>
      </w:r>
    </w:p>
    <w:p>
      <w:pPr>
        <w:pStyle w:val="ListBullet"/>
        <w:spacing w:after="40"/>
      </w:pPr>
      <w:r>
        <w:t>Why now: R#/issue, user-visible claim, dependency and owner.</w:t>
      </w:r>
    </w:p>
    <w:p>
      <w:pPr>
        <w:pStyle w:val="ListBullet"/>
        <w:spacing w:after="40"/>
      </w:pPr>
      <w:r>
        <w:t>Change scope: exact crate(s), public APIs, schema or wire version, consumer and migration plan.</w:t>
      </w:r>
    </w:p>
    <w:p>
      <w:pPr>
        <w:pStyle w:val="ListBullet"/>
        <w:spacing w:after="40"/>
      </w:pPr>
      <w:r>
        <w:t>Safety: relevant invariant/Founder directive, abuse case, privacy impact, failure mode and roll-back.</w:t>
      </w:r>
    </w:p>
    <w:p>
      <w:pPr>
        <w:pStyle w:val="ListBullet"/>
        <w:spacing w:after="40"/>
      </w:pPr>
      <w:r>
        <w:t>Acceptance: runnable command, negative tests, physically independent evidence when needed; precise limitations.</w:t>
      </w:r>
    </w:p>
    <w:p>
      <w:pPr>
        <w:pStyle w:val="ListBullet"/>
        <w:spacing w:after="40"/>
      </w:pPr>
      <w:r>
        <w:t>Handoff: reviewer(s) from adjacent team, docs/STATUS.md + roadmap row update, decision log only if policy actually changes.</w:t>
      </w:r>
    </w:p>
    <w:p>
      <w:pPr>
        <w:pStyle w:val="Heading2"/>
      </w:pPr>
      <w:r>
        <w:t>Definition of Done</w:t>
      </w:r>
    </w:p>
    <w:p>
      <w:r>
        <w:t>Do not label a capability complete until: merged to the intended canonical source; same state used for tests; cross-domain caller integrated; restart/offline/failure cases exercised; real hardware or external evidence obtained where required; status and public claim updated in the same PR; no critical unresolved safety or authority violation. “Logic implemented”, “app wired”, “physical acceptance”, and “audited” are four different labels.</w:t>
      </w:r>
    </w:p>
    <w:p>
      <w:pPr>
        <w:pStyle w:val="Heading2"/>
      </w:pPr>
      <w:r>
        <w:t>Suggested focused validation ladder</w:t>
      </w:r>
    </w:p>
    <w:p>
      <w:r>
        <w:t>Run the cheapest checks that prove your change first, then the mandatory branch merge gates. Avoid full builds on every speculative iteration, but never skip the release suite on a release candidate.</w:t>
      </w:r>
    </w:p>
    <w:p>
      <w:pPr>
        <w:pStyle w:val="SmallText"/>
      </w:pPr>
      <w:r>
        <w:rPr>
          <w:rFonts w:ascii="Consolas" w:hAnsi="Consolas"/>
        </w:rPr>
        <w:t>cargo fmt --all -- --check</w:t>
      </w:r>
    </w:p>
    <w:p>
      <w:pPr>
        <w:pStyle w:val="SmallText"/>
      </w:pPr>
      <w:r>
        <w:rPr>
          <w:rFonts w:ascii="Consolas" w:hAnsi="Consolas"/>
        </w:rPr>
        <w:t>cargo clippy -p &lt;crate&gt; --all-targets --all-features -- -D warnings</w:t>
      </w:r>
    </w:p>
    <w:p>
      <w:pPr>
        <w:pStyle w:val="SmallText"/>
      </w:pPr>
      <w:r>
        <w:rPr>
          <w:rFonts w:ascii="Consolas" w:hAnsi="Consolas"/>
        </w:rPr>
        <w:t>cargo test -p &lt;crate&gt; --all-features</w:t>
      </w:r>
    </w:p>
    <w:p>
      <w:pPr>
        <w:pStyle w:val="SmallText"/>
      </w:pPr>
      <w:r>
        <w:rPr>
          <w:rFonts w:ascii="Consolas" w:hAnsi="Consolas"/>
        </w:rPr>
        <w:t>cargo clippy --all-targets --all-features --workspace -- -D warnings</w:t>
      </w:r>
    </w:p>
    <w:p>
      <w:pPr>
        <w:pStyle w:val="SmallText"/>
      </w:pPr>
      <w:r>
        <w:rPr>
          <w:rFonts w:ascii="Consolas" w:hAnsi="Consolas"/>
        </w:rPr>
        <w:t>cargo test --workspace --all-features</w:t>
      </w:r>
    </w:p>
    <w:p>
      <w:pPr>
        <w:spacing w:before="80" w:after="140"/>
      </w:pPr>
      <w:r>
        <w:rPr>
          <w:b/>
          <w:color w:val="006F7B"/>
        </w:rPr>
        <w:t xml:space="preserve">ARTIFACT DISCIPLINE  </w:t>
      </w:r>
      <w:r>
        <w:t>Attach an evidence bundle with tested SHA, exact hardware and toolchain where applicable, redacted traces, security/reliability negative cases, and a link to the status-row update. A passing suite is one evidence class, never the entire claim.</w:t>
      </w:r>
    </w:p>
    <w:p>
      <w:pPr>
        <w:pStyle w:val="Heading1"/>
      </w:pPr>
      <w:r>
        <w:t>09  Leader onboarding — first five working days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4968"/>
        <w:gridCol w:w="3816"/>
      </w:tblGrid>
      <w:tr>
        <w:trPr>
          <w:tblHeader w:val="true"/>
        </w:trP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FEAF0"/>
          </w:tcPr>
          <w:p>
            <w:pPr>
              <w:spacing w:after="20"/>
            </w:pPr>
            <w:r/>
            <w:r>
              <w:rPr>
                <w:b/>
                <w:color w:val="16293F"/>
                <w:sz w:val="17"/>
              </w:rPr>
              <w:t>DAY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FEAF0"/>
          </w:tcPr>
          <w:p>
            <w:pPr>
              <w:spacing w:after="20"/>
            </w:pPr>
            <w:r/>
            <w:r>
              <w:rPr>
                <w:b/>
                <w:color w:val="16293F"/>
                <w:sz w:val="17"/>
              </w:rPr>
              <w:t>LEADER ACTION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FEAF0"/>
          </w:tcPr>
          <w:p>
            <w:pPr>
              <w:spacing w:after="20"/>
            </w:pPr>
            <w:r/>
            <w:r>
              <w:rPr>
                <w:b/>
                <w:color w:val="16293F"/>
                <w:sz w:val="17"/>
              </w:rPr>
              <w:t>OUTPUT / REVIEW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Day 1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Read governing texts and run current core tests (or record why the environment cannot).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One-page current/partial/outside risk map; no first-week policy inventions.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Day 2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Map every crate/module owned to APIs, active PRs, issue IDs and consuming teams.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Owner acknowledgement plus shared-interface checklist.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Day 3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Choose one nearest launch gate, its current failure, smallest closure slice and test artifact.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A bounded task brief with reviewer from another domain.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Day 4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Reproduce a real end-to-end path with failure injection or physical device if that gate requires one.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Runnable transcript plus limitations/negative results.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Day 5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Publish handoff: what shipped/failed, next blockers, required founder/external decisions.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Roadmap row, docs/STATUS.md and a CTP review note aligned.</w:t>
            </w:r>
          </w:p>
        </w:tc>
      </w:tr>
    </w:tbl>
    <w:p>
      <w:pPr>
        <w:spacing w:after="20"/>
      </w:pPr>
    </w:p>
    <w:p>
      <w:pPr>
        <w:pStyle w:val="Heading2"/>
      </w:pPr>
      <w:r>
        <w:t>Leader questions for the weekly cross-team council</w:t>
      </w:r>
    </w:p>
    <w:p>
      <w:pPr>
        <w:pStyle w:val="ListBullet"/>
        <w:spacing w:after="40"/>
      </w:pPr>
      <w:r>
        <w:t>What user-level vertical path became demonstrably better on independent nodes/devices this week?</w:t>
      </w:r>
    </w:p>
    <w:p>
      <w:pPr>
        <w:pStyle w:val="ListBullet"/>
        <w:spacing w:after="40"/>
      </w:pPr>
      <w:r>
        <w:t>Which remaining blocker is outside code, and who is booking the required external/hardware decision?</w:t>
      </w:r>
    </w:p>
    <w:p>
      <w:pPr>
        <w:pStyle w:val="ListBullet"/>
        <w:spacing w:after="40"/>
      </w:pPr>
      <w:r>
        <w:t>Which change may accidentally turn money into authority, GitHub into canon, identity roots into “humans,” or local IOUs into finality?</w:t>
      </w:r>
    </w:p>
    <w:p>
      <w:pPr>
        <w:pStyle w:val="ListBullet"/>
        <w:spacing w:after="40"/>
      </w:pPr>
      <w:r>
        <w:t>What claim in the README, UI or release notes is stronger than the actual test evidence?</w:t>
      </w:r>
    </w:p>
    <w:p>
      <w:pPr>
        <w:pStyle w:val="ListBullet"/>
        <w:spacing w:after="40"/>
      </w:pPr>
      <w:r>
        <w:t>What dependency could break another team at a version/schema boundary, and have both sides signed the interface?</w:t>
      </w:r>
    </w:p>
    <w:p>
      <w:pPr>
        <w:pStyle w:val="Heading1"/>
      </w:pPr>
      <w:r>
        <w:t>10  Crate ownership directory · main branch</w:t>
      </w:r>
    </w:p>
    <w:p>
      <w:r>
        <w:t>Exactly 87 current Cargo workspace crates. All entries below are exclusive primary ownership. Other teams must be requested as interface reviewers where listed in their charters. Android source app/android belongs to T08 with T03/BLE and T10/build review. The deploy/ Debian appliance belongs to T10 with T09 release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46"/>
        <w:gridCol w:w="7402"/>
      </w:tblGrid>
      <w:tr>
        <w:trPr>
          <w:tblHeader w:val="true"/>
        </w:trP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FEAF0"/>
          </w:tcPr>
          <w:p>
            <w:pPr>
              <w:spacing w:after="20"/>
            </w:pPr>
            <w:r/>
            <w:r>
              <w:rPr>
                <w:b/>
                <w:color w:val="16293F"/>
                <w:sz w:val="17"/>
              </w:rPr>
              <w:t>TEAM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FEAF0"/>
          </w:tcPr>
          <w:p>
            <w:pPr>
              <w:spacing w:after="20"/>
            </w:pPr>
            <w:r/>
            <w:r>
              <w:rPr>
                <w:b/>
                <w:color w:val="16293F"/>
                <w:sz w:val="17"/>
              </w:rPr>
              <w:t>PRIMARY-OWNED CRATES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T01 · Identity, Continuity &amp; Personhood</w:t>
            </w:r>
          </w:p>
        </w:tc>
        <w:tc>
          <w:tcPr>
            <w:tcW w:type="dxa" w:w="7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did-mini, mini-witness-service, mini-uniqueness, mini-presence, mini-spacetime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T02 · Cryptography, Privacy &amp; Protocol Assurance</w:t>
            </w:r>
          </w:p>
        </w:tc>
        <w:tc>
          <w:tcPr>
            <w:tcW w:type="dxa" w:w="7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mini-crypto, mini-pq-anchor, mini-attest, mini-privacy-policy, mini-transport-security, mini-commons-policy, mini-publication-policy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T03 · Mesh Networking, Sync &amp; Offline Transport</w:t>
            </w:r>
          </w:p>
        </w:tc>
        <w:tc>
          <w:tcPr>
            <w:tcW w:type="dxa" w:w="7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mini-bearer, mini-net, mini-mesh, mini-relay, mini-dtn, mini-transport-policy, mini-bootstrap, mini-sync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T04 · Consensus, Execution &amp; Finality</w:t>
            </w:r>
          </w:p>
        </w:tc>
        <w:tc>
          <w:tcPr>
            <w:tcW w:type="dxa" w:w="7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mini-consensus, mini-chain, mini-execution, mini-settlement, mini-ticket, mini-shielded-verify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T05 · Value, Economics &amp; Custody</w:t>
            </w:r>
          </w:p>
        </w:tc>
        <w:tc>
          <w:tcPr>
            <w:tcW w:type="dxa" w:w="7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mini-value, mini-private-payment, mini-reward, mini-treasury, mini-custody, mini-bridge, mini-airdrop, mini-airdrop-treasury, mini-economy, mini-econ-sim, mini-resource-pricing, mini-bounty, mini-contribution, mini-engagement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T06 · Objects, Storage &amp; Media Reliability</w:t>
            </w:r>
          </w:p>
        </w:tc>
        <w:tc>
          <w:tcPr>
            <w:tcW w:type="dxa" w:w="7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mini-objects, mini-store, mini-crdt, mini-storage, mini-erasure, mini-porep, mini-storage-fraud, mini-provider, mini-replication-policy, mini-media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T07 · Discovery, Search &amp; Web/Data Services</w:t>
            </w:r>
          </w:p>
        </w:tc>
        <w:tc>
          <w:tcPr>
            <w:tcW w:type="dxa" w:w="7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mini-query, mini-lexical-index, mini-ranker, mini-private-index, mini-search-federation, mini-search-federation-net, mini-intake-types, mini-web-types, mini-intake, mini-intake-social, mini-web-extract, mini-crawler, mini-crawler-fetch, mini-extract-protocol, mini-extract-host, mini-app-protocol, mini-app-service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T08 · Client, Mobile &amp; Human Experience</w:t>
            </w:r>
          </w:p>
        </w:tc>
        <w:tc>
          <w:tcPr>
            <w:tcW w:type="dxa" w:w="7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mini-ffi, mini-desktop, mini-windows-vault, mini-setup, mini-windows-setup, mini-messaging, mini-social, mini-safety, mini-keystone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T09 · Native Forge &amp; Developer Workflow</w:t>
            </w:r>
          </w:p>
        </w:tc>
        <w:tc>
          <w:tcPr>
            <w:tcW w:type="dxa" w:w="7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mini-forge, mini-cli, mini-provenance, mini-pipeline, mini-pipeline-protocol, mini-build-runner-wasmtime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T10 · Release, Platform Operations &amp; Verification</w:t>
            </w:r>
          </w:p>
        </w:tc>
        <w:tc>
          <w:tcPr>
            <w:tcW w:type="dxa" w:w="7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b w:val="0"/>
                <w:color w:val="283038"/>
                <w:sz w:val="17"/>
              </w:rPr>
              <w:t>mini-installer, mini-update, mini-durable, mini-selftest, mini-value-selftest</w:t>
            </w:r>
          </w:p>
        </w:tc>
      </w:tr>
    </w:tbl>
    <w:p>
      <w:pPr>
        <w:spacing w:after="20"/>
      </w:pPr>
    </w:p>
    <w:p>
      <w:pPr>
        <w:pStyle w:val="SmallText"/>
      </w:pPr>
      <w:r>
        <w:t>Proposed future or unmerged crates—including mini-beta in PR #334 and mini-resident / seed-network features in stacked PRs—are not added to this main-branch registry. Upon acceptance: mini-beta is led by T05 with T09/T02 review; resident AI is led by T08 with T02/T07 review; retained seed-network modules belong to T06, with T03/T07 shared interfaces.</w:t>
      </w:r>
    </w:p>
    <w:p>
      <w:pPr>
        <w:pStyle w:val="Heading1"/>
      </w:pPr>
      <w:r>
        <w:t>Sources, authority and revalidation checklist</w:t>
      </w:r>
    </w:p>
    <w:p>
      <w:r>
        <w:t>The governing material is current main plus issue/PR snapshots checked on 21 October 2026. Before using this pack operationally, owners should re-check the links below for changes; status is not a guarantee of present CI, running deployment or shipped release.</w:t>
      </w:r>
    </w:p>
    <w:p>
      <w:pPr>
        <w:pStyle w:val="SmallText"/>
      </w:pPr>
      <w:r>
        <w:rPr>
          <w:b/>
        </w:rPr>
        <w:t xml:space="preserve">Main and Cargo workspace: </w:t>
      </w:r>
      <w:r>
        <w:t>https://github.com/mininet-labs/Mininet/blob/main/Cargo.toml</w:t>
      </w:r>
    </w:p>
    <w:p>
      <w:pPr>
        <w:pStyle w:val="SmallText"/>
      </w:pPr>
      <w:r>
        <w:rPr>
          <w:b/>
        </w:rPr>
        <w:t xml:space="preserve">Founder directives: </w:t>
      </w:r>
      <w:r>
        <w:t>https://github.com/mininet-labs/Mininet/blob/main/docs/FOUNDER_DIRECTIVES.md</w:t>
      </w:r>
    </w:p>
    <w:p>
      <w:pPr>
        <w:pStyle w:val="SmallText"/>
      </w:pPr>
      <w:r>
        <w:rPr>
          <w:b/>
        </w:rPr>
        <w:t xml:space="preserve">Invariants and known limitations: </w:t>
      </w:r>
      <w:r>
        <w:t>https://github.com/mininet-labs/Mininet/blob/main/docs/INVARIANTS.md</w:t>
      </w:r>
    </w:p>
    <w:p>
      <w:pPr>
        <w:pStyle w:val="SmallText"/>
      </w:pPr>
      <w:r>
        <w:rPr>
          <w:b/>
        </w:rPr>
        <w:t xml:space="preserve">Implementation register: </w:t>
      </w:r>
      <w:r>
        <w:t>https://github.com/mininet-labs/Mininet/blob/main/docs/STATUS.md</w:t>
      </w:r>
    </w:p>
    <w:p>
      <w:pPr>
        <w:pStyle w:val="SmallText"/>
      </w:pPr>
      <w:r>
        <w:rPr>
          <w:b/>
        </w:rPr>
        <w:t xml:space="preserve">R1–R20 road to release: </w:t>
      </w:r>
      <w:r>
        <w:t>https://github.com/mininet-labs/Mininet/blob/main/docs/ROADMAP_TO_RELEASE.md</w:t>
      </w:r>
    </w:p>
    <w:p>
      <w:pPr>
        <w:pStyle w:val="SmallText"/>
      </w:pPr>
      <w:r>
        <w:rPr>
          <w:b/>
        </w:rPr>
        <w:t xml:space="preserve">Beta status: </w:t>
      </w:r>
      <w:r>
        <w:t>https://github.com/mininet-labs/Mininet/blob/main/docs/BETA_STATUS.md</w:t>
      </w:r>
    </w:p>
    <w:p>
      <w:pPr>
        <w:pStyle w:val="SmallText"/>
      </w:pPr>
      <w:r>
        <w:rPr>
          <w:b/>
        </w:rPr>
        <w:t xml:space="preserve">External gate index and checklist: </w:t>
      </w:r>
      <w:r>
        <w:t>https://github.com/mininet-labs/Mininet/blob/main/docs/gates/README.md</w:t>
      </w:r>
    </w:p>
    <w:p>
      <w:pPr>
        <w:pStyle w:val="SmallText"/>
      </w:pPr>
      <w:r>
        <w:rPr>
          <w:b/>
        </w:rPr>
        <w:t xml:space="preserve">Pre-Go-Live temporary governance: </w:t>
      </w:r>
      <w:r>
        <w:t>https://github.com/mininet-labs/Mininet/blob/main/docs/governance/52_PRE_GO_LIVE_GOVERNANCE_PAUSE.md</w:t>
      </w:r>
    </w:p>
    <w:p>
      <w:pPr>
        <w:pStyle w:val="SmallText"/>
      </w:pPr>
      <w:r>
        <w:rPr>
          <w:b/>
        </w:rPr>
        <w:t xml:space="preserve">CODEOWNERS (currently bootstrap-guarded): </w:t>
      </w:r>
      <w:r>
        <w:t>https://github.com/mininet-labs/Mininet/blob/main/.github/CODEOWNERS</w:t>
      </w:r>
    </w:p>
    <w:p>
      <w:pPr>
        <w:pStyle w:val="SmallText"/>
      </w:pPr>
      <w:r>
        <w:rPr>
          <w:b/>
        </w:rPr>
        <w:t xml:space="preserve">Master roadmap issue #92: </w:t>
      </w:r>
      <w:r>
        <w:t>https://github.com/mininet-labs/Mininet/issues/92</w:t>
      </w:r>
    </w:p>
    <w:p>
      <w:pPr>
        <w:pStyle w:val="SmallText"/>
      </w:pPr>
      <w:r>
        <w:rPr>
          <w:b/>
        </w:rPr>
        <w:t xml:space="preserve">Open Beta issue #335: </w:t>
      </w:r>
      <w:r>
        <w:t>https://github.com/mininet-labs/Mininet/issues/335</w:t>
      </w:r>
    </w:p>
    <w:p>
      <w:pPr>
        <w:pStyle w:val="SmallText"/>
      </w:pPr>
      <w:r>
        <w:rPr>
          <w:b/>
        </w:rPr>
        <w:t xml:space="preserve">Forge migration #336/#338: </w:t>
      </w:r>
      <w:r>
        <w:t>https://github.com/mininet-labs/Mininet/issues/336</w:t>
      </w:r>
    </w:p>
    <w:p>
      <w:pPr>
        <w:pStyle w:val="SmallText"/>
      </w:pPr>
      <w:r>
        <w:rPr>
          <w:b/>
        </w:rPr>
        <w:t xml:space="preserve">Beta test economy #337/#339: </w:t>
      </w:r>
      <w:r>
        <w:t>https://github.com/mininet-labs/Mininet/issues/337</w:t>
      </w:r>
    </w:p>
    <w:p>
      <w:pPr>
        <w:pStyle w:val="SmallText"/>
      </w:pPr>
      <w:r>
        <w:rPr>
          <w:b/>
        </w:rPr>
        <w:t xml:space="preserve">Privacy transport #291: </w:t>
      </w:r>
      <w:r>
        <w:t>https://github.com/mininet-labs/Mininet/issues/291</w:t>
      </w:r>
    </w:p>
    <w:p>
      <w:pPr>
        <w:pStyle w:val="SmallText"/>
      </w:pPr>
      <w:r>
        <w:rPr>
          <w:b/>
        </w:rPr>
        <w:t xml:space="preserve">Founding KEL assurance decision #315: </w:t>
      </w:r>
      <w:r>
        <w:t>https://github.com/mininet-labs/Mininet/issues/315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979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Text"/>
      <w:jc w:val="center"/>
    </w:pPr>
    <w:r>
      <w:t>CTP onboarding charter  |  21 October 2026  |  Source: main branch / linked open PRs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Text"/>
      <w:jc w:val="right"/>
    </w:pPr>
    <w:r>
      <w:t>MININET  /  ENGINEERING LEADERSHIP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Aptos" w:hAnsi="Aptos"/>
      <w:color w:val="2830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9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629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06F7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293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basedOn w:val="Normal"/>
    <w:pPr>
      <w:spacing w:after="60"/>
    </w:pPr>
    <w:rPr>
      <w:color w:val="59667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Mininet Team Leaders and Architects Welcome Pack</dc:title>
  <dc:subject>Technical leadership ownership, crates, launch readiness and onboarding</dc:subject>
  <dc:creator>Mininet CTP onboarding charter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