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30" w:lineRule="exact"/>
        <w:ind w:right="0" w:rightChars="0"/>
        <w:jc w:val="center"/>
        <w:textAlignment w:val="auto"/>
        <w:outlineLvl w:val="9"/>
        <w:rPr>
          <w:rFonts w:hint="default" w:ascii="楷体_GB2312" w:hAnsi="楷体_GB2312" w:eastAsia="楷体_GB2312" w:cs="楷体_GB2312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8"/>
          <w:szCs w:val="28"/>
          <w:highlight w:val="none"/>
          <w:lang w:val="en-US" w:eastAsia="zh-CN"/>
        </w:rPr>
        <w:t>2021年3月工资核算注意事项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30" w:lineRule="exact"/>
        <w:ind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8"/>
          <w:szCs w:val="28"/>
          <w:highlight w:val="none"/>
          <w:lang w:val="en-US" w:eastAsia="zh-CN"/>
        </w:rPr>
        <w:t>1、中层绩效划分</w:t>
      </w:r>
    </w:p>
    <w:tbl>
      <w:tblPr>
        <w:tblStyle w:val="5"/>
        <w:tblW w:w="10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1551"/>
        <w:gridCol w:w="1770"/>
        <w:gridCol w:w="1944"/>
        <w:gridCol w:w="2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职位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工资标准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基本工资（60%）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业绩绩效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（40%）</w:t>
            </w:r>
          </w:p>
        </w:tc>
        <w:tc>
          <w:tcPr>
            <w:tcW w:w="2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管理干部提成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（2021年3月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kern w:val="2"/>
                <w:sz w:val="28"/>
                <w:szCs w:val="36"/>
                <w:lang w:val="en-US" w:eastAsia="zh-CN" w:bidi="ar-SA"/>
              </w:rPr>
              <w:t>起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执行）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单店总经理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8000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4800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3200</w:t>
            </w:r>
          </w:p>
        </w:tc>
        <w:tc>
          <w:tcPr>
            <w:tcW w:w="2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1.2‰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8"/>
          <w:szCs w:val="28"/>
          <w:highlight w:val="none"/>
          <w:lang w:val="en-US" w:eastAsia="zh-CN" w:bidi="ar-SA"/>
        </w:rPr>
        <w:t>中层业绩绩效考核：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jc w:val="left"/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val="en-US" w:eastAsia="zh-CN" w:bidi="ar-SA"/>
        </w:rPr>
        <w:t>业绩绩效考核按照各职级总经理当月任务完成比例发放，若当月任务完成比高于60%，按比例发放。若完成比例低于60%，不予发放。由资金管理中心出具数据，财务核算任务完成比例。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jc w:val="left"/>
        <w:rPr>
          <w:rFonts w:hint="eastAsia" w:ascii="仿宋_GB2312" w:hAnsi="仿宋_GB2312" w:eastAsia="仿宋_GB2312" w:cs="仿宋_GB2312"/>
          <w:b w:val="0"/>
          <w:bCs w:val="0"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kern w:val="0"/>
          <w:sz w:val="28"/>
          <w:szCs w:val="28"/>
          <w:lang w:val="en-US" w:eastAsia="zh-CN" w:bidi="ar-SA"/>
        </w:rPr>
        <w:t>注：自2021年2月份起，非独立公司若完成当月月度任务，单店总经理当月基本工资按照150%发放。将额外的50%基本工资核算至《工资主表-其他或奖励一栏并加批注》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val="en-US" w:eastAsia="zh-CN" w:bidi="ar-SA"/>
        </w:rPr>
        <w:t>自3月份工资开始，各公司的政委工资由各公司自行承担，做至员工工资表中，此款发至各公司负责人手中，名单月底之前下发。（工资表中职位手动改为政委，姓名为各公司负责人，需加批准说明政委姓名）</w:t>
      </w:r>
    </w:p>
    <w:p>
      <w:pPr>
        <w:pStyle w:val="2"/>
        <w:numPr>
          <w:numId w:val="0"/>
        </w:numPr>
        <w:rPr>
          <w:rFonts w:hint="default" w:ascii="仿宋_GB2312" w:hAnsi="仿宋_GB2312" w:eastAsia="仿宋_GB2312" w:cs="仿宋_GB2312"/>
          <w:b w:val="0"/>
          <w:bCs w:val="0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0"/>
          <w:sz w:val="28"/>
          <w:szCs w:val="28"/>
          <w:lang w:val="en-US" w:eastAsia="zh-CN" w:bidi="ar-SA"/>
        </w:rPr>
        <w:t>3、自3月份开始无社保补助。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E8D0C"/>
    <w:multiLevelType w:val="singleLevel"/>
    <w:tmpl w:val="8F0E8D0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A37A6"/>
    <w:rsid w:val="10A95488"/>
    <w:rsid w:val="70A56CCC"/>
    <w:rsid w:val="767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Calibri" w:hAnsi="Calibri" w:eastAsia="Calibri" w:cs="Calibri"/>
      <w:color w:val="000000"/>
      <w:szCs w:val="21"/>
    </w:rPr>
  </w:style>
  <w:style w:type="paragraph" w:styleId="3">
    <w:name w:val="Body Text"/>
    <w:basedOn w:val="1"/>
    <w:qFormat/>
    <w:uiPriority w:val="0"/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2021-04-02T05:24:00Z</dcterms:created>
  <dc:creator>bing</dc:creator>
  <cp:lastModifiedBy>黑色契约</cp:lastModifiedBy>
  <dcterms:modified xsi:type="dcterms:W3CDTF">2021-04-02T07:01:31Z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8B86720D4D284A4083157FFECA0E766A</vt:lpwstr>
  </property>
</Properties>
</file>