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0"/>
        <w:ind w:left="0"/>
        <w:rPr>
          <w:rFonts w:ascii="Times New Roman"/>
        </w:rPr>
      </w:pPr>
    </w:p>
    <w:p>
      <w:pPr>
        <w:pStyle w:val="6"/>
        <w:spacing w:before="0"/>
        <w:ind w:left="0"/>
        <w:rPr>
          <w:rFonts w:ascii="Times New Roman"/>
        </w:rPr>
      </w:pPr>
    </w:p>
    <w:p>
      <w:pPr>
        <w:pStyle w:val="6"/>
        <w:spacing w:before="0"/>
        <w:ind w:left="0"/>
        <w:rPr>
          <w:rFonts w:ascii="Times New Roman"/>
        </w:rPr>
      </w:pPr>
    </w:p>
    <w:p>
      <w:pPr>
        <w:pStyle w:val="6"/>
        <w:spacing w:before="0"/>
        <w:ind w:left="0"/>
        <w:rPr>
          <w:rFonts w:ascii="Times New Roman"/>
        </w:rPr>
      </w:pPr>
    </w:p>
    <w:p>
      <w:pPr>
        <w:pStyle w:val="6"/>
        <w:spacing w:before="1"/>
        <w:ind w:left="0"/>
        <w:rPr>
          <w:rFonts w:ascii="Times New Roman"/>
          <w:sz w:val="21"/>
        </w:rPr>
      </w:pPr>
    </w:p>
    <w:p>
      <w:pPr>
        <w:pStyle w:val="6"/>
        <w:spacing w:before="0"/>
        <w:ind w:left="4297"/>
        <w:rPr>
          <w:rFonts w:ascii="Times New Roman"/>
        </w:rPr>
      </w:pPr>
      <w:r>
        <w:rPr>
          <w:rFonts w:ascii="Times New Roman"/>
        </w:rPr>
        <mc:AlternateContent>
          <mc:Choice Requires="wpg">
            <w:drawing>
              <wp:inline distT="0" distB="0" distL="114300" distR="114300">
                <wp:extent cx="1065530" cy="807720"/>
                <wp:effectExtent l="0" t="0" r="1270" b="11430"/>
                <wp:docPr id="208" name="组合 2"/>
                <wp:cNvGraphicFramePr/>
                <a:graphic xmlns:a="http://schemas.openxmlformats.org/drawingml/2006/main">
                  <a:graphicData uri="http://schemas.microsoft.com/office/word/2010/wordprocessingGroup">
                    <wpg:wgp>
                      <wpg:cNvGrpSpPr/>
                      <wpg:grpSpPr>
                        <a:xfrm>
                          <a:off x="0" y="0"/>
                          <a:ext cx="1065530" cy="807720"/>
                          <a:chOff x="0" y="0"/>
                          <a:chExt cx="1678" cy="1272"/>
                        </a:xfrm>
                      </wpg:grpSpPr>
                      <pic:pic xmlns:pic="http://schemas.openxmlformats.org/drawingml/2006/picture">
                        <pic:nvPicPr>
                          <pic:cNvPr id="206" name="图片 3"/>
                          <pic:cNvPicPr>
                            <a:picLocks noChangeAspect="1"/>
                          </pic:cNvPicPr>
                        </pic:nvPicPr>
                        <pic:blipFill>
                          <a:blip r:embed="rId11"/>
                          <a:stretch>
                            <a:fillRect/>
                          </a:stretch>
                        </pic:blipFill>
                        <pic:spPr>
                          <a:xfrm>
                            <a:off x="0" y="0"/>
                            <a:ext cx="1678" cy="1272"/>
                          </a:xfrm>
                          <a:prstGeom prst="rect">
                            <a:avLst/>
                          </a:prstGeom>
                          <a:noFill/>
                          <a:ln>
                            <a:noFill/>
                          </a:ln>
                        </pic:spPr>
                      </pic:pic>
                      <wps:wsp>
                        <wps:cNvPr id="207" name="文本框 4"/>
                        <wps:cNvSpPr txBox="1"/>
                        <wps:spPr>
                          <a:xfrm>
                            <a:off x="0" y="0"/>
                            <a:ext cx="1678" cy="1272"/>
                          </a:xfrm>
                          <a:prstGeom prst="rect">
                            <a:avLst/>
                          </a:prstGeom>
                          <a:noFill/>
                          <a:ln>
                            <a:noFill/>
                          </a:ln>
                        </wps:spPr>
                        <wps:txbx>
                          <w:txbxContent>
                            <w:p>
                              <w:pPr>
                                <w:spacing w:before="10" w:line="240" w:lineRule="auto"/>
                                <w:rPr>
                                  <w:rFonts w:ascii="Times New Roman"/>
                                  <w:sz w:val="34"/>
                                </w:rPr>
                              </w:pPr>
                            </w:p>
                            <w:p>
                              <w:pPr>
                                <w:spacing w:before="1"/>
                                <w:ind w:left="345" w:right="0" w:firstLine="0"/>
                                <w:jc w:val="left"/>
                                <w:rPr>
                                  <w:sz w:val="36"/>
                                </w:rPr>
                              </w:pPr>
                              <w:bookmarkStart w:id="179" w:name="前 言"/>
                              <w:bookmarkEnd w:id="179"/>
                              <w:r>
                                <w:rPr>
                                  <w:sz w:val="36"/>
                                </w:rPr>
                                <w:t>前 言</w:t>
                              </w:r>
                            </w:p>
                          </w:txbxContent>
                        </wps:txbx>
                        <wps:bodyPr lIns="0" tIns="0" rIns="0" bIns="0" upright="1"/>
                      </wps:wsp>
                    </wpg:wgp>
                  </a:graphicData>
                </a:graphic>
              </wp:inline>
            </w:drawing>
          </mc:Choice>
          <mc:Fallback>
            <w:pict>
              <v:group id="组合 2" o:spid="_x0000_s1026" o:spt="203" style="height:63.6pt;width:83.9pt;" coordsize="1678,1272" o:gfxdata="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">
                <o:lock v:ext="edit" aspectratio="f"/>
                <v:shape id="图片 3" o:spid="_x0000_s1026" o:spt="75" type="#_x0000_t75" style="position:absolute;left:0;top:0;height:1272;width:1678;" filled="f" o:preferrelative="t" stroked="f" coordsize="21600,21600" o:gfxdata="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MZ+8AAAA&#10;3AAAAA8AAAAAAAAAAQAgAAAAIgAAAGRycy9kb3ducmV2LnhtbFBLAQIUABQAAAAIAIdO4kAzLwWe&#10;OwAAADkAAAAQAAAAAAAAAAEAIAAAAAsBAABkcnMvc2hhcGV4bWwueG1sUEsFBgAAAAAGAAYAWwEA&#10;ALUDAAAAAA==&#10;">
                  <v:fill on="f" focussize="0,0"/>
                  <v:stroke on="f"/>
                  <v:imagedata r:id="rId11" o:title=""/>
                  <o:lock v:ext="edit" aspectratio="t"/>
                </v:shape>
                <v:shape id="文本框 4" o:spid="_x0000_s1026" o:spt="202" type="#_x0000_t202" style="position:absolute;left:0;top:0;height:1272;width:1678;" filled="f" stroked="f" coordsize="21600,21600" o:gfxdata="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Mr2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0" w:line="240" w:lineRule="auto"/>
                          <w:rPr>
                            <w:rFonts w:ascii="Times New Roman"/>
                            <w:sz w:val="34"/>
                          </w:rPr>
                        </w:pPr>
                      </w:p>
                      <w:p>
                        <w:pPr>
                          <w:spacing w:before="1"/>
                          <w:ind w:left="345" w:right="0" w:firstLine="0"/>
                          <w:jc w:val="left"/>
                          <w:rPr>
                            <w:sz w:val="36"/>
                          </w:rPr>
                        </w:pPr>
                        <w:bookmarkStart w:id="179" w:name="前 言"/>
                        <w:bookmarkEnd w:id="179"/>
                        <w:r>
                          <w:rPr>
                            <w:sz w:val="36"/>
                          </w:rPr>
                          <w:t>前 言</w:t>
                        </w:r>
                      </w:p>
                    </w:txbxContent>
                  </v:textbox>
                </v:shape>
                <w10:wrap type="none"/>
                <w10:anchorlock/>
              </v:group>
            </w:pict>
          </mc:Fallback>
        </mc:AlternateContent>
      </w:r>
    </w:p>
    <w:p>
      <w:pPr>
        <w:pStyle w:val="6"/>
        <w:spacing w:before="0"/>
        <w:ind w:left="0"/>
        <w:rPr>
          <w:rFonts w:ascii="Times New Roman"/>
          <w:sz w:val="19"/>
        </w:rPr>
      </w:pPr>
    </w:p>
    <w:p>
      <w:pPr>
        <w:pStyle w:val="6"/>
        <w:spacing w:before="71" w:line="364" w:lineRule="auto"/>
        <w:ind w:left="104" w:right="197" w:firstLine="398"/>
        <w:jc w:val="both"/>
        <w:rPr>
          <w:rFonts w:hint="eastAsia" w:ascii="微软雅黑" w:hAnsi="微软雅黑" w:eastAsia="微软雅黑" w:cs="微软雅黑"/>
        </w:rPr>
      </w:pPr>
      <w:r>
        <w:rPr>
          <w:rFonts w:hint="eastAsia" w:ascii="微软雅黑" w:hAnsi="微软雅黑" w:eastAsia="微软雅黑" w:cs="微软雅黑"/>
          <w:spacing w:val="-8"/>
          <w:w w:val="99"/>
        </w:rPr>
        <w:t>随着科技的发展，，高效率学习的时代到来，碎片化学习的方式已经成为学习的主流方式。如何让时间不够用</w:t>
      </w:r>
      <w:r>
        <w:rPr>
          <w:rFonts w:hint="eastAsia" w:ascii="微软雅黑" w:hAnsi="微软雅黑" w:eastAsia="微软雅黑" w:cs="微软雅黑"/>
          <w:spacing w:val="-11"/>
        </w:rPr>
        <w:t>的考生，考试顺利通过和考到高分。</w:t>
      </w:r>
      <w:r>
        <w:rPr>
          <w:rFonts w:hint="eastAsia" w:ascii="微软雅黑" w:hAnsi="微软雅黑" w:eastAsia="微软雅黑" w:cs="微软雅黑"/>
          <w:color w:val="FF0000"/>
        </w:rPr>
        <w:t>“三色讲义”</w:t>
      </w:r>
      <w:r>
        <w:rPr>
          <w:rFonts w:hint="eastAsia" w:ascii="微软雅黑" w:hAnsi="微软雅黑" w:eastAsia="微软雅黑" w:cs="微软雅黑"/>
        </w:rPr>
        <w:t>被誉为帮助考</w:t>
      </w:r>
      <w:r>
        <w:rPr>
          <w:rFonts w:hint="eastAsia" w:ascii="微软雅黑" w:hAnsi="微软雅黑" w:eastAsia="微软雅黑" w:cs="微软雅黑"/>
          <w:spacing w:val="-27"/>
          <w:w w:val="95"/>
        </w:rPr>
        <w:t>生</w:t>
      </w:r>
      <w:r>
        <w:rPr>
          <w:rFonts w:hint="eastAsia" w:ascii="微软雅黑" w:hAnsi="微软雅黑" w:eastAsia="微软雅黑" w:cs="微软雅黑"/>
          <w:color w:val="FF0000"/>
          <w:spacing w:val="-5"/>
          <w:w w:val="95"/>
        </w:rPr>
        <w:t>“三色梳理”的助手</w:t>
      </w:r>
      <w:r>
        <w:rPr>
          <w:rFonts w:hint="eastAsia" w:ascii="微软雅黑" w:hAnsi="微软雅黑" w:eastAsia="微软雅黑" w:cs="微软雅黑"/>
          <w:spacing w:val="-12"/>
          <w:w w:val="95"/>
        </w:rPr>
        <w:t>，能快速帮考生根据颜色区分出重点、难点、次重点、次难点，是掌握和通过考试要领的</w:t>
      </w:r>
      <w:r>
        <w:rPr>
          <w:rFonts w:hint="eastAsia" w:ascii="微软雅黑" w:hAnsi="微软雅黑" w:eastAsia="微软雅黑" w:cs="微软雅黑"/>
          <w:color w:val="FF0000"/>
          <w:w w:val="95"/>
        </w:rPr>
        <w:t xml:space="preserve">“法  </w:t>
      </w:r>
      <w:r>
        <w:rPr>
          <w:rFonts w:hint="eastAsia" w:ascii="微软雅黑" w:hAnsi="微软雅黑" w:eastAsia="微软雅黑" w:cs="微软雅黑"/>
          <w:color w:val="FF0000"/>
          <w:spacing w:val="-50"/>
        </w:rPr>
        <w:t>宝”</w:t>
      </w:r>
      <w:r>
        <w:rPr>
          <w:rFonts w:hint="eastAsia" w:ascii="微软雅黑" w:hAnsi="微软雅黑" w:eastAsia="微软雅黑" w:cs="微软雅黑"/>
        </w:rPr>
        <w:t>。</w:t>
      </w:r>
    </w:p>
    <w:p>
      <w:pPr>
        <w:pStyle w:val="6"/>
        <w:spacing w:before="0" w:line="364" w:lineRule="auto"/>
        <w:ind w:left="104" w:right="104" w:firstLine="398"/>
        <w:rPr>
          <w:rFonts w:hint="eastAsia" w:ascii="微软雅黑" w:hAnsi="微软雅黑" w:eastAsia="微软雅黑" w:cs="微软雅黑"/>
        </w:rPr>
      </w:pPr>
      <w:r>
        <w:rPr>
          <w:rFonts w:hint="eastAsia" w:ascii="微软雅黑" w:hAnsi="微软雅黑" w:eastAsia="微软雅黑" w:cs="微软雅黑"/>
          <w:spacing w:val="-7"/>
          <w:w w:val="95"/>
        </w:rPr>
        <w:t xml:space="preserve">经过大量考生的使用证明，三色讲义已成为考生考前突破的典范辅导资料，为考生提供简单学习、快乐学习、    </w:t>
      </w:r>
      <w:r>
        <w:rPr>
          <w:rFonts w:hint="eastAsia" w:ascii="微软雅黑" w:hAnsi="微软雅黑" w:eastAsia="微软雅黑" w:cs="微软雅黑"/>
          <w:spacing w:val="-7"/>
        </w:rPr>
        <w:t>有序学习。</w:t>
      </w:r>
    </w:p>
    <w:p>
      <w:pPr>
        <w:pStyle w:val="6"/>
        <w:spacing w:before="0" w:line="255" w:lineRule="exact"/>
        <w:ind w:left="503"/>
        <w:rPr>
          <w:rFonts w:hint="eastAsia" w:ascii="微软雅黑" w:hAnsi="微软雅黑" w:eastAsia="微软雅黑" w:cs="微软雅黑"/>
        </w:rPr>
      </w:pPr>
      <w:r>
        <w:rPr>
          <w:rFonts w:hint="eastAsia" w:ascii="微软雅黑" w:hAnsi="微软雅黑" w:eastAsia="微软雅黑" w:cs="微软雅黑"/>
        </w:rPr>
        <w:t>本讲义凝结了大纲要求的全部知识点，去除了繁杂的解说，保留了精髓。本讲义的学习方法如下：</w:t>
      </w:r>
    </w:p>
    <w:p>
      <w:pPr>
        <w:pStyle w:val="13"/>
        <w:numPr>
          <w:ilvl w:val="0"/>
          <w:numId w:val="1"/>
        </w:numPr>
        <w:tabs>
          <w:tab w:val="left" w:pos="806"/>
        </w:tabs>
        <w:spacing w:before="130" w:after="0" w:line="364" w:lineRule="auto"/>
        <w:ind w:left="104" w:right="200" w:firstLine="398"/>
        <w:jc w:val="both"/>
        <w:rPr>
          <w:rFonts w:hint="eastAsia" w:ascii="微软雅黑" w:hAnsi="微软雅黑" w:eastAsia="微软雅黑" w:cs="微软雅黑"/>
          <w:sz w:val="20"/>
        </w:rPr>
      </w:pPr>
      <w:r>
        <w:rPr>
          <w:rFonts w:hint="eastAsia" w:ascii="微软雅黑" w:hAnsi="微软雅黑" w:eastAsia="微软雅黑" w:cs="微软雅黑"/>
          <w:sz w:val="20"/>
        </w:rPr>
        <w:t>三色讲义。</w:t>
      </w:r>
      <w:r>
        <w:rPr>
          <w:rFonts w:hint="eastAsia" w:ascii="微软雅黑" w:hAnsi="微软雅黑" w:eastAsia="微软雅黑" w:cs="微软雅黑"/>
          <w:color w:val="FF0000"/>
          <w:sz w:val="20"/>
        </w:rPr>
        <w:t>红色表示</w:t>
      </w:r>
      <w:r>
        <w:rPr>
          <w:rFonts w:hint="eastAsia" w:ascii="微软雅黑" w:hAnsi="微软雅黑" w:eastAsia="微软雅黑" w:cs="微软雅黑"/>
          <w:sz w:val="20"/>
        </w:rPr>
        <w:t>是重点记忆内容，</w:t>
      </w:r>
      <w:r>
        <w:rPr>
          <w:rFonts w:hint="eastAsia" w:ascii="微软雅黑" w:hAnsi="微软雅黑" w:eastAsia="微软雅黑" w:cs="微软雅黑"/>
          <w:b/>
          <w:color w:val="00AFEF"/>
          <w:spacing w:val="2"/>
          <w:sz w:val="20"/>
        </w:rPr>
        <w:t>蓝色表示</w:t>
      </w:r>
      <w:r>
        <w:rPr>
          <w:rFonts w:hint="eastAsia" w:ascii="微软雅黑" w:hAnsi="微软雅黑" w:eastAsia="微软雅黑" w:cs="微软雅黑"/>
          <w:sz w:val="20"/>
        </w:rPr>
        <w:t>次重点记忆内容或较难理解内容，黑色表示暂时需要记忆的内容或简单理解内容。日常复习主要关注三色内容，考前快速浏览深红色和</w:t>
      </w:r>
      <w:r>
        <w:rPr>
          <w:rFonts w:hint="eastAsia" w:ascii="微软雅黑" w:hAnsi="微软雅黑" w:eastAsia="微软雅黑" w:cs="微软雅黑"/>
          <w:color w:val="252525"/>
          <w:sz w:val="20"/>
        </w:rPr>
        <w:t>红色内容</w:t>
      </w:r>
      <w:r>
        <w:rPr>
          <w:rFonts w:hint="eastAsia" w:ascii="微软雅黑" w:hAnsi="微软雅黑" w:eastAsia="微软雅黑" w:cs="微软雅黑"/>
          <w:sz w:val="20"/>
        </w:rPr>
        <w:t>。</w:t>
      </w:r>
    </w:p>
    <w:p>
      <w:pPr>
        <w:pStyle w:val="13"/>
        <w:numPr>
          <w:ilvl w:val="0"/>
          <w:numId w:val="1"/>
        </w:numPr>
        <w:tabs>
          <w:tab w:val="left" w:pos="804"/>
        </w:tabs>
        <w:spacing w:before="0" w:after="0" w:line="255" w:lineRule="exact"/>
        <w:ind w:left="803" w:right="0" w:hanging="301"/>
        <w:jc w:val="both"/>
        <w:rPr>
          <w:rFonts w:hint="eastAsia" w:ascii="微软雅黑" w:hAnsi="微软雅黑" w:eastAsia="微软雅黑" w:cs="微软雅黑"/>
          <w:sz w:val="20"/>
        </w:rPr>
      </w:pPr>
      <w:r>
        <w:rPr>
          <w:rFonts w:hint="eastAsia" w:ascii="微软雅黑" w:hAnsi="微软雅黑" w:eastAsia="微软雅黑" w:cs="微软雅黑"/>
          <w:w w:val="95"/>
          <w:sz w:val="20"/>
        </w:rPr>
        <w:t>知识点把握。日常复习注意明确知识点，特别注意知识点的</w:t>
      </w:r>
      <w:r>
        <w:rPr>
          <w:rFonts w:hint="eastAsia" w:ascii="微软雅黑" w:hAnsi="微软雅黑" w:eastAsia="微软雅黑" w:cs="微软雅黑"/>
          <w:color w:val="FF0000"/>
          <w:w w:val="95"/>
          <w:sz w:val="20"/>
        </w:rPr>
        <w:t>提示</w:t>
      </w:r>
      <w:r>
        <w:rPr>
          <w:rFonts w:hint="eastAsia" w:ascii="微软雅黑" w:hAnsi="微软雅黑" w:eastAsia="微软雅黑" w:cs="微软雅黑"/>
          <w:w w:val="95"/>
          <w:sz w:val="20"/>
        </w:rPr>
        <w:t>。</w:t>
      </w:r>
    </w:p>
    <w:p>
      <w:pPr>
        <w:pStyle w:val="13"/>
        <w:numPr>
          <w:ilvl w:val="0"/>
          <w:numId w:val="1"/>
        </w:numPr>
        <w:tabs>
          <w:tab w:val="left" w:pos="806"/>
        </w:tabs>
        <w:spacing w:before="133" w:after="0" w:line="364" w:lineRule="auto"/>
        <w:ind w:left="104" w:right="202" w:firstLine="398"/>
        <w:jc w:val="both"/>
        <w:rPr>
          <w:rFonts w:hint="eastAsia" w:ascii="微软雅黑" w:hAnsi="微软雅黑" w:eastAsia="微软雅黑" w:cs="微软雅黑"/>
          <w:sz w:val="20"/>
        </w:rPr>
      </w:pPr>
      <w:r>
        <w:rPr>
          <w:rFonts w:hint="eastAsia" w:ascii="微软雅黑" w:hAnsi="微软雅黑" w:eastAsia="微软雅黑" w:cs="微软雅黑"/>
          <w:sz w:val="20"/>
        </w:rPr>
        <w:t>复习流程。①自主快速浏览全书一遍；②记忆红色，蓝色重要知识点；③课</w:t>
      </w:r>
      <w:r>
        <w:rPr>
          <w:rFonts w:hint="eastAsia" w:ascii="微软雅黑" w:hAnsi="微软雅黑" w:eastAsia="微软雅黑" w:cs="微软雅黑"/>
          <w:spacing w:val="-1"/>
          <w:sz w:val="20"/>
        </w:rPr>
        <w:t xml:space="preserve">程视频讲解，学员在书中寻找做错试题对应的知识点，寻找做错原因；④考前三天开始自由温习，考前 </w:t>
      </w:r>
      <w:r>
        <w:rPr>
          <w:rFonts w:hint="eastAsia" w:ascii="微软雅黑" w:hAnsi="微软雅黑" w:eastAsia="微软雅黑" w:cs="微软雅黑"/>
          <w:sz w:val="20"/>
        </w:rPr>
        <w:t>1～2</w:t>
      </w:r>
      <w:r>
        <w:rPr>
          <w:rFonts w:hint="eastAsia" w:ascii="微软雅黑" w:hAnsi="微软雅黑" w:eastAsia="微软雅黑" w:cs="微软雅黑"/>
          <w:spacing w:val="-10"/>
          <w:sz w:val="20"/>
        </w:rPr>
        <w:t xml:space="preserve"> 小时快速浏览深红色和蓝色内容。</w:t>
      </w:r>
    </w:p>
    <w:p>
      <w:pPr>
        <w:spacing w:after="0" w:line="364" w:lineRule="auto"/>
        <w:jc w:val="both"/>
        <w:rPr>
          <w:rFonts w:hint="eastAsia" w:ascii="微软雅黑" w:hAnsi="微软雅黑" w:eastAsia="微软雅黑" w:cs="微软雅黑"/>
          <w:sz w:val="20"/>
        </w:rPr>
        <w:sectPr>
          <w:headerReference r:id="rId3" w:type="default"/>
          <w:type w:val="continuous"/>
          <w:pgSz w:w="11910" w:h="16840"/>
          <w:pgMar w:top="1680" w:right="760" w:bottom="280" w:left="860" w:header="0" w:footer="720" w:gutter="0"/>
        </w:sectPr>
      </w:pPr>
    </w:p>
    <w:p>
      <w:pPr>
        <w:pStyle w:val="6"/>
        <w:spacing w:before="10"/>
        <w:ind w:left="0"/>
        <w:rPr>
          <w:sz w:val="12"/>
        </w:rPr>
      </w:pPr>
    </w:p>
    <w:p>
      <w:pPr>
        <w:pStyle w:val="4"/>
        <w:spacing w:before="70"/>
        <w:ind w:left="5092" w:firstLine="0"/>
      </w:pPr>
      <w:r>
        <w:t>目录</w:t>
      </w:r>
    </w:p>
    <w:sdt>
      <w:sdtPr>
        <w:id w:val="0"/>
        <w:docPartObj>
          <w:docPartGallery w:val="Table of Contents"/>
          <w:docPartUnique/>
        </w:docPartObj>
      </w:sdtPr>
      <w:sdtContent>
        <w:p>
          <w:pPr>
            <w:pStyle w:val="8"/>
            <w:tabs>
              <w:tab w:val="left" w:pos="906"/>
              <w:tab w:val="right" w:leader="dot" w:pos="10080"/>
            </w:tabs>
            <w:spacing w:before="31"/>
            <w:rPr>
              <w:rFonts w:ascii="Times New Roman" w:eastAsia="Times New Roman"/>
            </w:rPr>
          </w:pPr>
          <w:r>
            <w:fldChar w:fldCharType="begin"/>
          </w:r>
          <w:r>
            <w:instrText xml:space="preserve"> HYPERLINK \l "_bookmark0" </w:instrText>
          </w:r>
          <w:r>
            <w:fldChar w:fldCharType="separate"/>
          </w:r>
          <w:r>
            <w:t>第一章</w:t>
          </w:r>
          <w:r>
            <w:tab/>
          </w:r>
          <w:r>
            <w:t>会计概述</w:t>
          </w:r>
          <w:r>
            <w:tab/>
          </w:r>
          <w:r>
            <w:rPr>
              <w:rFonts w:ascii="Times New Roman" w:eastAsia="Times New Roman"/>
            </w:rPr>
            <w:t>1</w:t>
          </w:r>
          <w:r>
            <w:rPr>
              <w:rFonts w:ascii="Times New Roman" w:eastAsia="Times New Roman"/>
            </w:rPr>
            <w:fldChar w:fldCharType="end"/>
          </w:r>
        </w:p>
        <w:p>
          <w:pPr>
            <w:pStyle w:val="9"/>
            <w:tabs>
              <w:tab w:val="right" w:leader="dot" w:pos="10080"/>
            </w:tabs>
            <w:rPr>
              <w:rFonts w:ascii="Times New Roman" w:eastAsia="Times New Roman"/>
            </w:rPr>
          </w:pPr>
          <w:r>
            <w:fldChar w:fldCharType="begin"/>
          </w:r>
          <w:r>
            <w:instrText xml:space="preserve"> HYPERLINK \l "_bookmark1" </w:instrText>
          </w:r>
          <w:r>
            <w:fldChar w:fldCharType="separate"/>
          </w:r>
          <w:r>
            <w:t>第一节</w:t>
          </w:r>
          <w:r>
            <w:rPr>
              <w:spacing w:val="98"/>
            </w:rPr>
            <w:t xml:space="preserve"> </w:t>
          </w:r>
          <w:r>
            <w:t>会计概念、职能与目标</w:t>
          </w:r>
          <w:r>
            <w:tab/>
          </w:r>
          <w:r>
            <w:rPr>
              <w:rFonts w:ascii="Times New Roman" w:eastAsia="Times New Roman"/>
            </w:rPr>
            <w:t>1</w:t>
          </w:r>
          <w:r>
            <w:rPr>
              <w:rFonts w:ascii="Times New Roman" w:eastAsia="Times New Roman"/>
            </w:rPr>
            <w:fldChar w:fldCharType="end"/>
          </w:r>
        </w:p>
        <w:p>
          <w:pPr>
            <w:pStyle w:val="9"/>
            <w:tabs>
              <w:tab w:val="right" w:leader="dot" w:pos="10080"/>
            </w:tabs>
            <w:rPr>
              <w:rFonts w:ascii="Times New Roman" w:eastAsia="Times New Roman"/>
            </w:rPr>
          </w:pPr>
          <w:r>
            <w:fldChar w:fldCharType="begin"/>
          </w:r>
          <w:r>
            <w:instrText xml:space="preserve"> HYPERLINK \l "_bookmark2" </w:instrText>
          </w:r>
          <w:r>
            <w:fldChar w:fldCharType="separate"/>
          </w:r>
          <w:r>
            <w:t>第二节</w:t>
          </w:r>
          <w:r>
            <w:rPr>
              <w:spacing w:val="98"/>
            </w:rPr>
            <w:t xml:space="preserve"> </w:t>
          </w:r>
          <w:r>
            <w:t>会计基本假设、会计基础和会计信息质量要求</w:t>
          </w:r>
          <w:r>
            <w:tab/>
          </w:r>
          <w:r>
            <w:rPr>
              <w:rFonts w:ascii="Times New Roman" w:eastAsia="Times New Roman"/>
            </w:rPr>
            <w:t>3</w:t>
          </w:r>
          <w:r>
            <w:rPr>
              <w:rFonts w:ascii="Times New Roman" w:eastAsia="Times New Roman"/>
            </w:rPr>
            <w:fldChar w:fldCharType="end"/>
          </w:r>
        </w:p>
        <w:p>
          <w:pPr>
            <w:pStyle w:val="9"/>
            <w:tabs>
              <w:tab w:val="right" w:leader="dot" w:pos="10080"/>
            </w:tabs>
            <w:rPr>
              <w:rFonts w:ascii="Times New Roman" w:eastAsia="Times New Roman"/>
            </w:rPr>
          </w:pPr>
          <w:r>
            <w:fldChar w:fldCharType="begin"/>
          </w:r>
          <w:r>
            <w:instrText xml:space="preserve"> HYPERLINK \l "_bookmark3" </w:instrText>
          </w:r>
          <w:r>
            <w:fldChar w:fldCharType="separate"/>
          </w:r>
          <w:r>
            <w:t>第三节</w:t>
          </w:r>
          <w:r>
            <w:rPr>
              <w:spacing w:val="98"/>
            </w:rPr>
            <w:t xml:space="preserve"> </w:t>
          </w:r>
          <w:r>
            <w:t>会计要素及其确认与计量</w:t>
          </w:r>
          <w:r>
            <w:tab/>
          </w:r>
          <w:r>
            <w:rPr>
              <w:rFonts w:ascii="Times New Roman" w:eastAsia="Times New Roman"/>
            </w:rPr>
            <w:t>5</w:t>
          </w:r>
          <w:r>
            <w:rPr>
              <w:rFonts w:ascii="Times New Roman" w:eastAsia="Times New Roman"/>
            </w:rPr>
            <w:fldChar w:fldCharType="end"/>
          </w:r>
        </w:p>
        <w:p>
          <w:pPr>
            <w:pStyle w:val="9"/>
            <w:tabs>
              <w:tab w:val="right" w:leader="dot" w:pos="10082"/>
            </w:tabs>
            <w:spacing w:before="55"/>
            <w:rPr>
              <w:rFonts w:ascii="Times New Roman" w:eastAsia="Times New Roman"/>
            </w:rPr>
          </w:pPr>
          <w:r>
            <w:fldChar w:fldCharType="begin"/>
          </w:r>
          <w:r>
            <w:instrText xml:space="preserve"> HYPERLINK \l "_bookmark4" </w:instrText>
          </w:r>
          <w:r>
            <w:fldChar w:fldCharType="separate"/>
          </w:r>
          <w:r>
            <w:t>第四节</w:t>
          </w:r>
          <w:r>
            <w:rPr>
              <w:spacing w:val="98"/>
            </w:rPr>
            <w:t xml:space="preserve"> </w:t>
          </w:r>
          <w:r>
            <w:t>会计科目和借贷记账法</w:t>
          </w:r>
          <w:r>
            <w:tab/>
          </w:r>
          <w:r>
            <w:rPr>
              <w:rFonts w:ascii="Times New Roman" w:eastAsia="Times New Roman"/>
            </w:rPr>
            <w:t>11</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"_bookmark5" </w:instrText>
          </w:r>
          <w:r>
            <w:fldChar w:fldCharType="separate"/>
          </w:r>
          <w:r>
            <w:t>第五节</w:t>
          </w:r>
          <w:r>
            <w:rPr>
              <w:spacing w:val="98"/>
            </w:rPr>
            <w:t xml:space="preserve"> </w:t>
          </w:r>
          <w:r>
            <w:t>会计凭证、会计账簿与账务处理程序</w:t>
          </w:r>
          <w:r>
            <w:tab/>
          </w:r>
          <w:r>
            <w:rPr>
              <w:rFonts w:ascii="Times New Roman" w:eastAsia="Times New Roman"/>
            </w:rPr>
            <w:t>17</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"_bookmark6" </w:instrText>
          </w:r>
          <w:r>
            <w:fldChar w:fldCharType="separate"/>
          </w:r>
          <w:r>
            <w:t>第六节</w:t>
          </w:r>
          <w:r>
            <w:rPr>
              <w:spacing w:val="98"/>
            </w:rPr>
            <w:t xml:space="preserve"> </w:t>
          </w:r>
          <w:r>
            <w:t>财产清查</w:t>
          </w:r>
          <w:r>
            <w:tab/>
          </w:r>
          <w:r>
            <w:rPr>
              <w:rFonts w:ascii="Times New Roman" w:eastAsia="Times New Roman"/>
            </w:rPr>
            <w:t>31</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"_bookmark7" </w:instrText>
          </w:r>
          <w:r>
            <w:fldChar w:fldCharType="separate"/>
          </w:r>
          <w:r>
            <w:t>第七节</w:t>
          </w:r>
          <w:r>
            <w:rPr>
              <w:spacing w:val="98"/>
            </w:rPr>
            <w:t xml:space="preserve"> </w:t>
          </w:r>
          <w:r>
            <w:t>财务报告</w:t>
          </w:r>
          <w:r>
            <w:tab/>
          </w:r>
          <w:r>
            <w:rPr>
              <w:rFonts w:ascii="Times New Roman" w:eastAsia="Times New Roman"/>
            </w:rPr>
            <w:t>34</w:t>
          </w:r>
          <w:r>
            <w:rPr>
              <w:rFonts w:ascii="Times New Roman" w:eastAsia="Times New Roman"/>
            </w:rPr>
            <w:fldChar w:fldCharType="end"/>
          </w:r>
        </w:p>
        <w:p>
          <w:pPr>
            <w:pStyle w:val="8"/>
            <w:tabs>
              <w:tab w:val="left" w:pos="906"/>
              <w:tab w:val="right" w:leader="dot" w:pos="10082"/>
            </w:tabs>
            <w:rPr>
              <w:rFonts w:ascii="Times New Roman" w:eastAsia="Times New Roman"/>
            </w:rPr>
          </w:pPr>
          <w:r>
            <w:fldChar w:fldCharType="begin"/>
          </w:r>
          <w:r>
            <w:instrText xml:space="preserve"> HYPERLINK \l "_bookmark8" </w:instrText>
          </w:r>
          <w:r>
            <w:fldChar w:fldCharType="separate"/>
          </w:r>
          <w:r>
            <w:t>第二章</w:t>
          </w:r>
          <w:r>
            <w:tab/>
          </w:r>
          <w:r>
            <w:t>资产</w:t>
          </w:r>
          <w:r>
            <w:tab/>
          </w:r>
          <w:r>
            <w:rPr>
              <w:rFonts w:ascii="Times New Roman" w:eastAsia="Times New Roman"/>
            </w:rPr>
            <w:t>35</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"_bookmark9" </w:instrText>
          </w:r>
          <w:r>
            <w:fldChar w:fldCharType="separate"/>
          </w:r>
          <w:r>
            <w:t>第一节</w:t>
          </w:r>
          <w:r>
            <w:rPr>
              <w:spacing w:val="98"/>
            </w:rPr>
            <w:t xml:space="preserve"> </w:t>
          </w:r>
          <w:r>
            <w:t>货币资金</w:t>
          </w:r>
          <w:r>
            <w:tab/>
          </w:r>
          <w:r>
            <w:rPr>
              <w:rFonts w:ascii="Times New Roman" w:eastAsia="Times New Roman"/>
            </w:rPr>
            <w:t>35</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"_bookmark10" </w:instrText>
          </w:r>
          <w:r>
            <w:fldChar w:fldCharType="separate"/>
          </w:r>
          <w:r>
            <w:t>第二节</w:t>
          </w:r>
          <w:r>
            <w:rPr>
              <w:spacing w:val="98"/>
            </w:rPr>
            <w:t xml:space="preserve"> </w:t>
          </w:r>
          <w:r>
            <w:t>应收及预付款项</w:t>
          </w:r>
          <w:r>
            <w:tab/>
          </w:r>
          <w:r>
            <w:rPr>
              <w:rFonts w:ascii="Times New Roman" w:eastAsia="Times New Roman"/>
            </w:rPr>
            <w:t>37</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"_bookmark11" </w:instrText>
          </w:r>
          <w:r>
            <w:fldChar w:fldCharType="separate"/>
          </w:r>
          <w:r>
            <w:t>第三节</w:t>
          </w:r>
          <w:r>
            <w:rPr>
              <w:spacing w:val="98"/>
            </w:rPr>
            <w:t xml:space="preserve"> </w:t>
          </w:r>
          <w:r>
            <w:t>交易性金融资产</w:t>
          </w:r>
          <w:r>
            <w:tab/>
          </w:r>
          <w:r>
            <w:rPr>
              <w:rFonts w:ascii="Times New Roman" w:eastAsia="Times New Roman"/>
            </w:rPr>
            <w:t>41</w:t>
          </w:r>
          <w:r>
            <w:rPr>
              <w:rFonts w:ascii="Times New Roman" w:eastAsia="Times New Roman"/>
            </w:rPr>
            <w:fldChar w:fldCharType="end"/>
          </w:r>
        </w:p>
        <w:p>
          <w:pPr>
            <w:pStyle w:val="9"/>
            <w:tabs>
              <w:tab w:val="right" w:leader="dot" w:pos="10082"/>
            </w:tabs>
            <w:spacing w:before="55"/>
            <w:rPr>
              <w:rFonts w:ascii="Times New Roman" w:eastAsia="Times New Roman"/>
            </w:rPr>
          </w:pPr>
          <w:r>
            <w:fldChar w:fldCharType="begin"/>
          </w:r>
          <w:r>
            <w:instrText xml:space="preserve"> HYPERLINK \l "_bookmark12" </w:instrText>
          </w:r>
          <w:r>
            <w:fldChar w:fldCharType="separate"/>
          </w:r>
          <w:r>
            <w:t>第四节</w:t>
          </w:r>
          <w:r>
            <w:rPr>
              <w:spacing w:val="98"/>
            </w:rPr>
            <w:t xml:space="preserve"> </w:t>
          </w:r>
          <w:r>
            <w:t>存货</w:t>
          </w:r>
          <w:r>
            <w:tab/>
          </w:r>
          <w:r>
            <w:rPr>
              <w:rFonts w:ascii="Times New Roman" w:eastAsia="Times New Roman"/>
            </w:rPr>
            <w:t>43</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"_bookmark13" </w:instrText>
          </w:r>
          <w:r>
            <w:fldChar w:fldCharType="separate"/>
          </w:r>
          <w:r>
            <w:t>第五节</w:t>
          </w:r>
          <w:r>
            <w:rPr>
              <w:spacing w:val="98"/>
            </w:rPr>
            <w:t xml:space="preserve"> </w:t>
          </w:r>
          <w:r>
            <w:t>固定资产</w:t>
          </w:r>
          <w:r>
            <w:tab/>
          </w:r>
          <w:r>
            <w:rPr>
              <w:rFonts w:ascii="Times New Roman" w:eastAsia="Times New Roman"/>
            </w:rPr>
            <w:t>54</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"_bookmark14" </w:instrText>
          </w:r>
          <w:r>
            <w:fldChar w:fldCharType="separate"/>
          </w:r>
          <w:r>
            <w:t>第六节</w:t>
          </w:r>
          <w:r>
            <w:rPr>
              <w:spacing w:val="98"/>
            </w:rPr>
            <w:t xml:space="preserve"> </w:t>
          </w:r>
          <w:r>
            <w:t>无形资产和长期待摊费用</w:t>
          </w:r>
          <w:r>
            <w:tab/>
          </w:r>
          <w:r>
            <w:rPr>
              <w:rFonts w:ascii="Times New Roman" w:eastAsia="Times New Roman"/>
            </w:rPr>
            <w:t>60</w:t>
          </w:r>
          <w:r>
            <w:rPr>
              <w:rFonts w:ascii="Times New Roman" w:eastAsia="Times New Roman"/>
            </w:rPr>
            <w:fldChar w:fldCharType="end"/>
          </w:r>
        </w:p>
        <w:p>
          <w:pPr>
            <w:pStyle w:val="8"/>
            <w:tabs>
              <w:tab w:val="left" w:pos="906"/>
              <w:tab w:val="right" w:leader="dot" w:pos="10082"/>
            </w:tabs>
            <w:spacing w:before="56"/>
            <w:rPr>
              <w:rFonts w:ascii="Times New Roman" w:eastAsia="Times New Roman"/>
            </w:rPr>
          </w:pPr>
          <w:r>
            <w:fldChar w:fldCharType="begin"/>
          </w:r>
          <w:r>
            <w:instrText xml:space="preserve"> HYPERLINK \l "_bookmark15" </w:instrText>
          </w:r>
          <w:r>
            <w:fldChar w:fldCharType="separate"/>
          </w:r>
          <w:r>
            <w:t>第三章</w:t>
          </w:r>
          <w:r>
            <w:tab/>
          </w:r>
          <w:r>
            <w:t>负债</w:t>
          </w:r>
          <w:r>
            <w:tab/>
          </w:r>
          <w:r>
            <w:rPr>
              <w:rFonts w:ascii="Times New Roman" w:eastAsia="Times New Roman"/>
            </w:rPr>
            <w:t>61</w:t>
          </w:r>
          <w:r>
            <w:rPr>
              <w:rFonts w:ascii="Times New Roman" w:eastAsia="Times New Roman"/>
            </w:rPr>
            <w:fldChar w:fldCharType="end"/>
          </w:r>
        </w:p>
        <w:p>
          <w:pPr>
            <w:pStyle w:val="9"/>
            <w:tabs>
              <w:tab w:val="right" w:leader="dot" w:pos="10082"/>
            </w:tabs>
            <w:spacing w:before="55"/>
            <w:rPr>
              <w:rFonts w:ascii="Times New Roman" w:eastAsia="Times New Roman"/>
            </w:rPr>
          </w:pPr>
          <w:r>
            <w:fldChar w:fldCharType="begin"/>
          </w:r>
          <w:r>
            <w:instrText xml:space="preserve"> HYPERLINK \l "_bookmark16" </w:instrText>
          </w:r>
          <w:r>
            <w:fldChar w:fldCharType="separate"/>
          </w:r>
          <w:r>
            <w:t>第一节</w:t>
          </w:r>
          <w:r>
            <w:rPr>
              <w:spacing w:val="98"/>
            </w:rPr>
            <w:t xml:space="preserve"> </w:t>
          </w:r>
          <w:r>
            <w:t>短期借款</w:t>
          </w:r>
          <w:r>
            <w:tab/>
          </w:r>
          <w:r>
            <w:rPr>
              <w:rFonts w:ascii="Times New Roman" w:eastAsia="Times New Roman"/>
            </w:rPr>
            <w:t>61</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"_bookmark17" </w:instrText>
          </w:r>
          <w:r>
            <w:fldChar w:fldCharType="separate"/>
          </w:r>
          <w:r>
            <w:t>第二节</w:t>
          </w:r>
          <w:r>
            <w:rPr>
              <w:spacing w:val="98"/>
            </w:rPr>
            <w:t xml:space="preserve"> </w:t>
          </w:r>
          <w:r>
            <w:t>应付及预收款项</w:t>
          </w:r>
          <w:r>
            <w:tab/>
          </w:r>
          <w:r>
            <w:rPr>
              <w:rFonts w:ascii="Times New Roman" w:eastAsia="Times New Roman"/>
            </w:rPr>
            <w:t>62</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"_bookmark18" </w:instrText>
          </w:r>
          <w:r>
            <w:fldChar w:fldCharType="separate"/>
          </w:r>
          <w:r>
            <w:t>第三节</w:t>
          </w:r>
          <w:r>
            <w:rPr>
              <w:spacing w:val="98"/>
            </w:rPr>
            <w:t xml:space="preserve"> </w:t>
          </w:r>
          <w:r>
            <w:t>应付职工薪酬</w:t>
          </w:r>
          <w:r>
            <w:tab/>
          </w:r>
          <w:r>
            <w:rPr>
              <w:rFonts w:ascii="Times New Roman" w:eastAsia="Times New Roman"/>
            </w:rPr>
            <w:t>63</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"_bookmark19" </w:instrText>
          </w:r>
          <w:r>
            <w:fldChar w:fldCharType="separate"/>
          </w:r>
          <w:r>
            <w:t>第四节</w:t>
          </w:r>
          <w:r>
            <w:rPr>
              <w:spacing w:val="98"/>
            </w:rPr>
            <w:t xml:space="preserve"> </w:t>
          </w:r>
          <w:r>
            <w:t>应交税费</w:t>
          </w:r>
          <w:r>
            <w:tab/>
          </w:r>
          <w:r>
            <w:rPr>
              <w:rFonts w:ascii="Times New Roman" w:eastAsia="Times New Roman"/>
            </w:rPr>
            <w:t>66</w:t>
          </w:r>
          <w:r>
            <w:rPr>
              <w:rFonts w:ascii="Times New Roman" w:eastAsia="Times New Roman"/>
            </w:rPr>
            <w:fldChar w:fldCharType="end"/>
          </w:r>
        </w:p>
        <w:p>
          <w:pPr>
            <w:pStyle w:val="8"/>
            <w:tabs>
              <w:tab w:val="left" w:pos="906"/>
              <w:tab w:val="right" w:leader="dot" w:pos="10082"/>
            </w:tabs>
            <w:rPr>
              <w:rFonts w:ascii="Times New Roman" w:eastAsia="Times New Roman"/>
            </w:rPr>
          </w:pPr>
          <w:r>
            <w:fldChar w:fldCharType="begin"/>
          </w:r>
          <w:r>
            <w:instrText xml:space="preserve"> HYPERLINK \l "_bookmark20" </w:instrText>
          </w:r>
          <w:r>
            <w:fldChar w:fldCharType="separate"/>
          </w:r>
          <w:r>
            <w:t>第四章</w:t>
          </w:r>
          <w:r>
            <w:tab/>
          </w:r>
          <w:r>
            <w:t>所有者权益</w:t>
          </w:r>
          <w:r>
            <w:tab/>
          </w:r>
          <w:r>
            <w:rPr>
              <w:rFonts w:ascii="Times New Roman" w:eastAsia="Times New Roman"/>
            </w:rPr>
            <w:t>78</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"_bookmark21" </w:instrText>
          </w:r>
          <w:r>
            <w:fldChar w:fldCharType="separate"/>
          </w:r>
          <w:r>
            <w:t>第一节</w:t>
          </w:r>
          <w:r>
            <w:rPr>
              <w:spacing w:val="98"/>
            </w:rPr>
            <w:t xml:space="preserve"> </w:t>
          </w:r>
          <w:r>
            <w:t>实收资本或股本</w:t>
          </w:r>
          <w:r>
            <w:tab/>
          </w:r>
          <w:r>
            <w:rPr>
              <w:rFonts w:ascii="Times New Roman" w:eastAsia="Times New Roman"/>
            </w:rPr>
            <w:t>78</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"_bookmark22" </w:instrText>
          </w:r>
          <w:r>
            <w:fldChar w:fldCharType="separate"/>
          </w:r>
          <w:r>
            <w:t>第二节</w:t>
          </w:r>
          <w:r>
            <w:rPr>
              <w:spacing w:val="98"/>
            </w:rPr>
            <w:t xml:space="preserve"> </w:t>
          </w:r>
          <w:r>
            <w:t>资本公积</w:t>
          </w:r>
          <w:r>
            <w:tab/>
          </w:r>
          <w:r>
            <w:rPr>
              <w:rFonts w:ascii="Times New Roman" w:eastAsia="Times New Roman"/>
            </w:rPr>
            <w:t>79</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"_bookmark23" </w:instrText>
          </w:r>
          <w:r>
            <w:fldChar w:fldCharType="separate"/>
          </w:r>
          <w:r>
            <w:t>第三节</w:t>
          </w:r>
          <w:r>
            <w:rPr>
              <w:spacing w:val="98"/>
            </w:rPr>
            <w:t xml:space="preserve"> </w:t>
          </w:r>
          <w:r>
            <w:t>留存收益</w:t>
          </w:r>
          <w:r>
            <w:tab/>
          </w:r>
          <w:r>
            <w:rPr>
              <w:rFonts w:ascii="Times New Roman" w:eastAsia="Times New Roman"/>
            </w:rPr>
            <w:t>80</w:t>
          </w:r>
          <w:r>
            <w:rPr>
              <w:rFonts w:ascii="Times New Roman" w:eastAsia="Times New Roman"/>
            </w:rPr>
            <w:fldChar w:fldCharType="end"/>
          </w:r>
        </w:p>
        <w:p>
          <w:pPr>
            <w:pStyle w:val="8"/>
            <w:tabs>
              <w:tab w:val="left" w:pos="906"/>
              <w:tab w:val="right" w:leader="dot" w:pos="10082"/>
            </w:tabs>
            <w:rPr>
              <w:rFonts w:ascii="Times New Roman" w:eastAsia="Times New Roman"/>
            </w:rPr>
          </w:pPr>
          <w:r>
            <w:fldChar w:fldCharType="begin"/>
          </w:r>
          <w:r>
            <w:instrText xml:space="preserve"> HYPERLINK \l "_bookmark24" </w:instrText>
          </w:r>
          <w:r>
            <w:fldChar w:fldCharType="separate"/>
          </w:r>
          <w:r>
            <w:t>第五章</w:t>
          </w:r>
          <w:r>
            <w:tab/>
          </w:r>
          <w:r>
            <w:t>收入、费用和利润</w:t>
          </w:r>
          <w:r>
            <w:tab/>
          </w:r>
          <w:r>
            <w:rPr>
              <w:rFonts w:ascii="Times New Roman" w:eastAsia="Times New Roman"/>
            </w:rPr>
            <w:t>82</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"_bookmark25" </w:instrText>
          </w:r>
          <w:r>
            <w:fldChar w:fldCharType="separate"/>
          </w:r>
          <w:r>
            <w:t>第一节</w:t>
          </w:r>
          <w:r>
            <w:rPr>
              <w:spacing w:val="98"/>
            </w:rPr>
            <w:t xml:space="preserve"> </w:t>
          </w:r>
          <w:r>
            <w:t>收入</w:t>
          </w:r>
          <w:r>
            <w:tab/>
          </w:r>
          <w:r>
            <w:rPr>
              <w:rFonts w:ascii="Times New Roman" w:eastAsia="Times New Roman"/>
            </w:rPr>
            <w:t>82</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"_bookmark26" </w:instrText>
          </w:r>
          <w:r>
            <w:fldChar w:fldCharType="separate"/>
          </w:r>
          <w:r>
            <w:t>第二节</w:t>
          </w:r>
          <w:r>
            <w:rPr>
              <w:spacing w:val="98"/>
            </w:rPr>
            <w:t xml:space="preserve"> </w:t>
          </w:r>
          <w:r>
            <w:t>费用</w:t>
          </w:r>
          <w:r>
            <w:tab/>
          </w:r>
          <w:r>
            <w:rPr>
              <w:rFonts w:ascii="Times New Roman" w:eastAsia="Times New Roman"/>
            </w:rPr>
            <w:t>88</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"_bookmark27" </w:instrText>
          </w:r>
          <w:r>
            <w:fldChar w:fldCharType="separate"/>
          </w:r>
          <w:r>
            <w:t>第三节</w:t>
          </w:r>
          <w:r>
            <w:rPr>
              <w:spacing w:val="98"/>
            </w:rPr>
            <w:t xml:space="preserve"> </w:t>
          </w:r>
          <w:r>
            <w:t>利润</w:t>
          </w:r>
          <w:r>
            <w:tab/>
          </w:r>
          <w:r>
            <w:rPr>
              <w:rFonts w:ascii="Times New Roman" w:eastAsia="Times New Roman"/>
            </w:rPr>
            <w:t>90</w:t>
          </w:r>
          <w:r>
            <w:rPr>
              <w:rFonts w:ascii="Times New Roman" w:eastAsia="Times New Roman"/>
            </w:rPr>
            <w:fldChar w:fldCharType="end"/>
          </w:r>
        </w:p>
        <w:p>
          <w:pPr>
            <w:pStyle w:val="8"/>
            <w:tabs>
              <w:tab w:val="left" w:pos="906"/>
              <w:tab w:val="right" w:leader="dot" w:pos="10082"/>
            </w:tabs>
            <w:rPr>
              <w:rFonts w:ascii="Times New Roman" w:eastAsia="Times New Roman"/>
            </w:rPr>
          </w:pPr>
          <w:r>
            <w:fldChar w:fldCharType="begin"/>
          </w:r>
          <w:r>
            <w:instrText xml:space="preserve"> HYPERLINK \l "_bookmark28" </w:instrText>
          </w:r>
          <w:r>
            <w:fldChar w:fldCharType="separate"/>
          </w:r>
          <w:r>
            <w:t>第六章</w:t>
          </w:r>
          <w:r>
            <w:tab/>
          </w:r>
          <w:r>
            <w:t>财务报表</w:t>
          </w:r>
          <w:r>
            <w:tab/>
          </w:r>
          <w:r>
            <w:rPr>
              <w:rFonts w:ascii="Times New Roman" w:eastAsia="Times New Roman"/>
            </w:rPr>
            <w:t>91</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"_bookmark29" </w:instrText>
          </w:r>
          <w:r>
            <w:fldChar w:fldCharType="separate"/>
          </w:r>
          <w:r>
            <w:t>第一节</w:t>
          </w:r>
          <w:r>
            <w:rPr>
              <w:spacing w:val="98"/>
            </w:rPr>
            <w:t xml:space="preserve"> </w:t>
          </w:r>
          <w:r>
            <w:t>资产负债表</w:t>
          </w:r>
          <w:r>
            <w:tab/>
          </w:r>
          <w:r>
            <w:rPr>
              <w:rFonts w:ascii="Times New Roman" w:eastAsia="Times New Roman"/>
            </w:rPr>
            <w:t>91</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"_bookmark30" </w:instrText>
          </w:r>
          <w:r>
            <w:fldChar w:fldCharType="separate"/>
          </w:r>
          <w:r>
            <w:t>第二节</w:t>
          </w:r>
          <w:r>
            <w:rPr>
              <w:spacing w:val="98"/>
            </w:rPr>
            <w:t xml:space="preserve"> </w:t>
          </w:r>
          <w:r>
            <w:t>利润表</w:t>
          </w:r>
          <w:r>
            <w:tab/>
          </w:r>
          <w:r>
            <w:rPr>
              <w:rFonts w:ascii="Times New Roman" w:eastAsia="Times New Roman"/>
            </w:rPr>
            <w:t>93</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"_bookmark31" </w:instrText>
          </w:r>
          <w:r>
            <w:fldChar w:fldCharType="separate"/>
          </w:r>
          <w:r>
            <w:t>第三节</w:t>
          </w:r>
          <w:r>
            <w:rPr>
              <w:spacing w:val="98"/>
            </w:rPr>
            <w:t xml:space="preserve"> </w:t>
          </w:r>
          <w:r>
            <w:t>所有者权益变动表</w:t>
          </w:r>
          <w:r>
            <w:tab/>
          </w:r>
          <w:r>
            <w:rPr>
              <w:rFonts w:ascii="Times New Roman" w:eastAsia="Times New Roman"/>
            </w:rPr>
            <w:t>94</w:t>
          </w:r>
          <w:r>
            <w:rPr>
              <w:rFonts w:ascii="Times New Roman" w:eastAsia="Times New Roman"/>
            </w:rPr>
            <w:fldChar w:fldCharType="end"/>
          </w:r>
        </w:p>
        <w:p>
          <w:pPr>
            <w:pStyle w:val="9"/>
            <w:tabs>
              <w:tab w:val="right" w:leader="dot" w:pos="10082"/>
            </w:tabs>
            <w:spacing w:before="55"/>
            <w:rPr>
              <w:rFonts w:ascii="Times New Roman" w:eastAsia="Times New Roman"/>
            </w:rPr>
          </w:pPr>
          <w:r>
            <w:fldChar w:fldCharType="begin"/>
          </w:r>
          <w:r>
            <w:instrText xml:space="preserve"> HYPERLINK \l "_bookmark32" </w:instrText>
          </w:r>
          <w:r>
            <w:fldChar w:fldCharType="separate"/>
          </w:r>
          <w:r>
            <w:t>第四节</w:t>
          </w:r>
          <w:r>
            <w:rPr>
              <w:spacing w:val="98"/>
            </w:rPr>
            <w:t xml:space="preserve"> </w:t>
          </w:r>
          <w:r>
            <w:t>附注</w:t>
          </w:r>
          <w:r>
            <w:tab/>
          </w:r>
          <w:r>
            <w:rPr>
              <w:rFonts w:ascii="Times New Roman" w:eastAsia="Times New Roman"/>
            </w:rPr>
            <w:t>95</w:t>
          </w:r>
          <w:r>
            <w:rPr>
              <w:rFonts w:ascii="Times New Roman" w:eastAsia="Times New Roman"/>
            </w:rPr>
            <w:fldChar w:fldCharType="end"/>
          </w:r>
        </w:p>
        <w:p>
          <w:pPr>
            <w:pStyle w:val="8"/>
            <w:tabs>
              <w:tab w:val="left" w:pos="906"/>
              <w:tab w:val="right" w:leader="dot" w:pos="10082"/>
            </w:tabs>
            <w:spacing w:before="56"/>
            <w:rPr>
              <w:rFonts w:ascii="Times New Roman" w:eastAsia="Times New Roman"/>
            </w:rPr>
          </w:pPr>
          <w:r>
            <w:fldChar w:fldCharType="begin"/>
          </w:r>
          <w:r>
            <w:instrText xml:space="preserve"> HYPERLINK \l "_bookmark33" </w:instrText>
          </w:r>
          <w:r>
            <w:fldChar w:fldCharType="separate"/>
          </w:r>
          <w:r>
            <w:t>第七章</w:t>
          </w:r>
          <w:r>
            <w:tab/>
          </w:r>
          <w:r>
            <w:t>管理会计基础</w:t>
          </w:r>
          <w:r>
            <w:tab/>
          </w:r>
          <w:r>
            <w:rPr>
              <w:rFonts w:ascii="Times New Roman" w:eastAsia="Times New Roman"/>
            </w:rPr>
            <w:t>95</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"_bookmark34" </w:instrText>
          </w:r>
          <w:r>
            <w:fldChar w:fldCharType="separate"/>
          </w:r>
          <w:r>
            <w:t>第一节</w:t>
          </w:r>
          <w:r>
            <w:rPr>
              <w:spacing w:val="98"/>
            </w:rPr>
            <w:t xml:space="preserve"> </w:t>
          </w:r>
          <w:r>
            <w:t>管理会计概述</w:t>
          </w:r>
          <w:r>
            <w:tab/>
          </w:r>
          <w:r>
            <w:rPr>
              <w:rFonts w:ascii="Times New Roman" w:eastAsia="Times New Roman"/>
            </w:rPr>
            <w:t>96</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"_bookmark35" </w:instrText>
          </w:r>
          <w:r>
            <w:fldChar w:fldCharType="separate"/>
          </w:r>
          <w:r>
            <w:t>第二节</w:t>
          </w:r>
          <w:r>
            <w:rPr>
              <w:spacing w:val="98"/>
            </w:rPr>
            <w:t xml:space="preserve"> </w:t>
          </w:r>
          <w:r>
            <w:t>产品成本核算的要求和一般程序</w:t>
          </w:r>
          <w:r>
            <w:tab/>
          </w:r>
          <w:r>
            <w:rPr>
              <w:rFonts w:ascii="Times New Roman" w:eastAsia="Times New Roman"/>
            </w:rPr>
            <w:t>97</w:t>
          </w:r>
          <w:r>
            <w:rPr>
              <w:rFonts w:ascii="Times New Roman" w:eastAsia="Times New Roman"/>
            </w:rPr>
            <w:fldChar w:fldCharType="end"/>
          </w:r>
        </w:p>
        <w:p>
          <w:pPr>
            <w:pStyle w:val="9"/>
            <w:tabs>
              <w:tab w:val="right" w:leader="dot" w:pos="10082"/>
            </w:tabs>
            <w:spacing w:before="55"/>
            <w:rPr>
              <w:rFonts w:ascii="Times New Roman" w:eastAsia="Times New Roman"/>
            </w:rPr>
          </w:pPr>
          <w:r>
            <w:fldChar w:fldCharType="begin"/>
          </w:r>
          <w:r>
            <w:instrText xml:space="preserve"> HYPERLINK \l "_bookmark36" </w:instrText>
          </w:r>
          <w:r>
            <w:fldChar w:fldCharType="separate"/>
          </w:r>
          <w:r>
            <w:t>第三节</w:t>
          </w:r>
          <w:r>
            <w:rPr>
              <w:spacing w:val="98"/>
            </w:rPr>
            <w:t xml:space="preserve"> </w:t>
          </w:r>
          <w:r>
            <w:t>产品成本的归集和分配</w:t>
          </w:r>
          <w:r>
            <w:tab/>
          </w:r>
          <w:r>
            <w:rPr>
              <w:rFonts w:ascii="Times New Roman" w:eastAsia="Times New Roman"/>
            </w:rPr>
            <w:t>98</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"_bookmark37" </w:instrText>
          </w:r>
          <w:r>
            <w:fldChar w:fldCharType="separate"/>
          </w:r>
          <w:r>
            <w:t>第四节</w:t>
          </w:r>
          <w:r>
            <w:rPr>
              <w:spacing w:val="98"/>
            </w:rPr>
            <w:t xml:space="preserve"> </w:t>
          </w:r>
          <w:r>
            <w:t>产品成本计算</w:t>
          </w:r>
          <w:r>
            <w:tab/>
          </w:r>
          <w:r>
            <w:rPr>
              <w:rFonts w:ascii="Times New Roman" w:eastAsia="Times New Roman"/>
            </w:rPr>
            <w:t>103</w:t>
          </w:r>
          <w:r>
            <w:rPr>
              <w:rFonts w:ascii="Times New Roman" w:eastAsia="Times New Roman"/>
            </w:rPr>
            <w:fldChar w:fldCharType="end"/>
          </w:r>
        </w:p>
        <w:p>
          <w:pPr>
            <w:pStyle w:val="8"/>
            <w:tabs>
              <w:tab w:val="left" w:pos="906"/>
              <w:tab w:val="right" w:leader="dot" w:pos="10082"/>
            </w:tabs>
            <w:spacing w:before="56"/>
            <w:rPr>
              <w:rFonts w:ascii="Times New Roman" w:eastAsia="Times New Roman"/>
            </w:rPr>
          </w:pPr>
          <w:r>
            <w:fldChar w:fldCharType="begin"/>
          </w:r>
          <w:r>
            <w:instrText xml:space="preserve"> HYPERLINK \l "_bookmark38" </w:instrText>
          </w:r>
          <w:r>
            <w:fldChar w:fldCharType="separate"/>
          </w:r>
          <w:r>
            <w:t>第八章</w:t>
          </w:r>
          <w:r>
            <w:tab/>
          </w:r>
          <w:r>
            <w:t>政府会计基础</w:t>
          </w:r>
          <w:r>
            <w:tab/>
          </w:r>
          <w:r>
            <w:rPr>
              <w:rFonts w:ascii="Times New Roman" w:eastAsia="Times New Roman"/>
            </w:rPr>
            <w:t>108</w:t>
          </w:r>
          <w:r>
            <w:rPr>
              <w:rFonts w:ascii="Times New Roman" w:eastAsia="Times New Roman"/>
            </w:rPr>
            <w:fldChar w:fldCharType="end"/>
          </w:r>
        </w:p>
        <w:p>
          <w:pPr>
            <w:pStyle w:val="9"/>
            <w:tabs>
              <w:tab w:val="right" w:leader="dot" w:pos="10082"/>
            </w:tabs>
            <w:rPr>
              <w:rFonts w:ascii="Times New Roman" w:eastAsia="Times New Roman"/>
            </w:rPr>
          </w:pPr>
          <w:r>
            <w:fldChar w:fldCharType="begin"/>
          </w:r>
          <w:r>
            <w:instrText xml:space="preserve"> HYPERLINK \l "_bookmark39" </w:instrText>
          </w:r>
          <w:r>
            <w:fldChar w:fldCharType="separate"/>
          </w:r>
          <w:r>
            <w:t>第一节</w:t>
          </w:r>
          <w:r>
            <w:rPr>
              <w:spacing w:val="98"/>
            </w:rPr>
            <w:t xml:space="preserve"> </w:t>
          </w:r>
          <w:r>
            <w:t>政府会计概述</w:t>
          </w:r>
          <w:r>
            <w:tab/>
          </w:r>
          <w:r>
            <w:rPr>
              <w:rFonts w:ascii="Times New Roman" w:eastAsia="Times New Roman"/>
            </w:rPr>
            <w:t>108</w:t>
          </w:r>
          <w:r>
            <w:rPr>
              <w:rFonts w:ascii="Times New Roman" w:eastAsia="Times New Roman"/>
            </w:rPr>
            <w:fldChar w:fldCharType="end"/>
          </w:r>
        </w:p>
        <w:p>
          <w:pPr>
            <w:pStyle w:val="9"/>
            <w:tabs>
              <w:tab w:val="right" w:leader="dot" w:pos="10082"/>
            </w:tabs>
            <w:spacing w:before="55"/>
            <w:rPr>
              <w:rFonts w:ascii="Times New Roman" w:eastAsia="Times New Roman"/>
            </w:rPr>
          </w:pPr>
          <w:r>
            <w:fldChar w:fldCharType="begin"/>
          </w:r>
          <w:r>
            <w:instrText xml:space="preserve"> HYPERLINK \l "_bookmark40" </w:instrText>
          </w:r>
          <w:r>
            <w:fldChar w:fldCharType="separate"/>
          </w:r>
          <w:r>
            <w:t>第二节</w:t>
          </w:r>
          <w:r>
            <w:rPr>
              <w:spacing w:val="98"/>
            </w:rPr>
            <w:t xml:space="preserve"> </w:t>
          </w:r>
          <w:r>
            <w:t>政府单位会计核算</w:t>
          </w:r>
          <w:r>
            <w:tab/>
          </w:r>
          <w:r>
            <w:rPr>
              <w:rFonts w:ascii="Times New Roman" w:eastAsia="Times New Roman"/>
            </w:rPr>
            <w:t>112</w:t>
          </w:r>
          <w:r>
            <w:rPr>
              <w:rFonts w:ascii="Times New Roman" w:eastAsia="Times New Roman"/>
            </w:rPr>
            <w:fldChar w:fldCharType="end"/>
          </w:r>
        </w:p>
      </w:sdtContent>
    </w:sdt>
    <w:p>
      <w:pPr>
        <w:spacing w:after="0"/>
        <w:rPr>
          <w:rFonts w:ascii="Times New Roman" w:eastAsia="Times New Roman"/>
        </w:rPr>
        <w:sectPr>
          <w:pgSz w:w="11910" w:h="16840"/>
          <w:pgMar w:top="1680" w:right="760" w:bottom="280" w:left="860" w:header="0" w:footer="0" w:gutter="0"/>
        </w:sectPr>
      </w:pPr>
    </w:p>
    <w:p>
      <w:pPr>
        <w:pStyle w:val="2"/>
        <w:tabs>
          <w:tab w:val="left" w:pos="1118"/>
        </w:tabs>
        <w:spacing w:before="297"/>
      </w:pPr>
      <w:bookmarkStart w:id="0" w:name="第一章　会计概述"/>
      <w:bookmarkEnd w:id="0"/>
      <w:bookmarkStart w:id="1" w:name="_bookmark0"/>
      <w:bookmarkEnd w:id="1"/>
      <w:r>
        <w:rPr>
          <w:color w:val="FF0000"/>
        </w:rPr>
        <w:t>第</w:t>
      </w:r>
      <w:r>
        <w:rPr>
          <w:color w:val="FF0000"/>
          <w:spacing w:val="-3"/>
        </w:rPr>
        <w:t>一</w:t>
      </w:r>
      <w:r>
        <w:rPr>
          <w:color w:val="FF0000"/>
        </w:rPr>
        <w:t>章</w:t>
      </w:r>
      <w:r>
        <w:rPr>
          <w:color w:val="FF0000"/>
        </w:rPr>
        <w:tab/>
      </w:r>
      <w:r>
        <w:rPr>
          <w:color w:val="FF0000"/>
        </w:rPr>
        <w:t>会</w:t>
      </w:r>
      <w:r>
        <w:rPr>
          <w:color w:val="FF0000"/>
          <w:spacing w:val="-3"/>
        </w:rPr>
        <w:t>计</w:t>
      </w:r>
      <w:r>
        <w:rPr>
          <w:color w:val="FF0000"/>
        </w:rPr>
        <w:t>概述</w:t>
      </w:r>
    </w:p>
    <w:p>
      <w:pPr>
        <w:pStyle w:val="5"/>
        <w:spacing w:before="184"/>
        <w:ind w:left="0" w:right="395"/>
        <w:jc w:val="center"/>
      </w:pPr>
      <w:r>
        <w:rPr>
          <w:color w:val="00AFEF"/>
          <w:u w:val="single" w:color="00AFEF"/>
        </w:rPr>
        <w:t>【本章考情分析】</w:t>
      </w:r>
    </w:p>
    <w:p>
      <w:pPr>
        <w:pStyle w:val="6"/>
        <w:spacing w:line="304" w:lineRule="auto"/>
        <w:ind w:left="322" w:right="720" w:firstLine="400"/>
        <w:jc w:val="both"/>
      </w:pPr>
      <w:r>
        <w:rPr>
          <w:spacing w:val="-4"/>
          <w:w w:val="95"/>
        </w:rPr>
        <w:t xml:space="preserve">本章内容是基本知识章节，其内容完全来自于原会计从业资格证考试中会计基础的内容，是整个初级职称通    </w:t>
      </w:r>
      <w:r>
        <w:rPr>
          <w:spacing w:val="-6"/>
          <w:w w:val="95"/>
        </w:rPr>
        <w:t>过的基础，对于</w:t>
      </w:r>
      <w:r>
        <w:rPr>
          <w:color w:val="FF0000"/>
          <w:w w:val="95"/>
          <w:u w:val="double" w:color="FF0000"/>
        </w:rPr>
        <w:t>零基础</w:t>
      </w:r>
      <w:r>
        <w:rPr>
          <w:spacing w:val="-4"/>
          <w:w w:val="95"/>
        </w:rPr>
        <w:t xml:space="preserve">学员来说要重点关注会计要素、会计科目、借贷记账法的内容并准确理解；对于其他内容    </w:t>
      </w:r>
      <w:r>
        <w:rPr>
          <w:spacing w:val="-8"/>
        </w:rPr>
        <w:t xml:space="preserve">着重掌握其主要考点；预计 </w:t>
      </w:r>
      <w:r>
        <w:t>2020</w:t>
      </w:r>
      <w:r>
        <w:rPr>
          <w:spacing w:val="-15"/>
        </w:rPr>
        <w:t xml:space="preserve"> 年考试分值在 </w:t>
      </w:r>
      <w:r>
        <w:rPr>
          <w:color w:val="FF0000"/>
          <w:u w:val="double" w:color="FF0000"/>
        </w:rPr>
        <w:t>5</w:t>
      </w:r>
      <w:r>
        <w:rPr>
          <w:color w:val="FF0000"/>
          <w:spacing w:val="-25"/>
          <w:u w:val="double" w:color="FF0000"/>
        </w:rPr>
        <w:t xml:space="preserve"> 分</w:t>
      </w:r>
      <w:r>
        <w:t>左右。</w:t>
      </w:r>
    </w:p>
    <w:p>
      <w:pPr>
        <w:pStyle w:val="6"/>
        <w:spacing w:before="0"/>
        <w:ind w:left="0"/>
        <w:rPr>
          <w:sz w:val="26"/>
        </w:rPr>
      </w:pPr>
    </w:p>
    <w:p>
      <w:pPr>
        <w:pStyle w:val="3"/>
        <w:tabs>
          <w:tab w:val="left" w:pos="855"/>
        </w:tabs>
        <w:spacing w:before="44"/>
        <w:ind w:left="15"/>
        <w:jc w:val="center"/>
        <w:rPr>
          <w:rFonts w:hint="eastAsia" w:ascii="微软雅黑" w:eastAsia="微软雅黑"/>
        </w:rPr>
      </w:pPr>
      <w:bookmarkStart w:id="2" w:name="第一节　会计概念、职能与目标"/>
      <w:bookmarkEnd w:id="2"/>
      <w:bookmarkStart w:id="3" w:name="_bookmark1"/>
      <w:bookmarkEnd w:id="3"/>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会计概念、职能与目标</w:t>
      </w:r>
    </w:p>
    <w:p>
      <w:pPr>
        <w:spacing w:before="139"/>
        <w:ind w:left="742" w:right="0" w:firstLine="0"/>
        <w:jc w:val="left"/>
        <w:rPr>
          <w:b/>
          <w:sz w:val="21"/>
        </w:rPr>
      </w:pPr>
      <w:bookmarkStart w:id="4" w:name="一、会计的概念"/>
      <w:bookmarkEnd w:id="4"/>
      <w:r>
        <w:rPr>
          <w:b/>
          <w:sz w:val="21"/>
          <w:shd w:val="clear" w:color="auto" w:fill="C0C0C0"/>
        </w:rPr>
        <w:t>一、会计的概念</w:t>
      </w:r>
    </w:p>
    <w:p>
      <w:pPr>
        <w:pStyle w:val="6"/>
        <w:spacing w:before="91"/>
      </w:pPr>
      <w:r>
        <w:t>（一）会计概念</w:t>
      </w:r>
    </w:p>
    <w:p>
      <w:pPr>
        <w:spacing w:before="70" w:line="304" w:lineRule="auto"/>
        <w:ind w:left="322" w:right="660" w:firstLine="400"/>
        <w:jc w:val="left"/>
        <w:rPr>
          <w:sz w:val="20"/>
        </w:rPr>
      </w:pPr>
      <w:r>
        <mc:AlternateContent>
          <mc:Choice Requires="wps">
            <w:drawing>
              <wp:anchor distT="0" distB="0" distL="114300" distR="114300" simplePos="0" relativeHeight="482364416" behindDoc="1" locked="0" layoutInCell="1" allowOverlap="1">
                <wp:simplePos x="0" y="0"/>
                <wp:positionH relativeFrom="page">
                  <wp:posOffset>6402070</wp:posOffset>
                </wp:positionH>
                <wp:positionV relativeFrom="paragraph">
                  <wp:posOffset>182245</wp:posOffset>
                </wp:positionV>
                <wp:extent cx="468630" cy="5715"/>
                <wp:effectExtent l="0" t="0" r="0" b="0"/>
                <wp:wrapNone/>
                <wp:docPr id="209" name="任意多边形 5"/>
                <wp:cNvGraphicFramePr/>
                <a:graphic xmlns:a="http://schemas.openxmlformats.org/drawingml/2006/main">
                  <a:graphicData uri="http://schemas.microsoft.com/office/word/2010/wordprocessingShape">
                    <wps:wsp>
                      <wps:cNvSpPr/>
                      <wps:spPr>
                        <a:xfrm>
                          <a:off x="0" y="0"/>
                          <a:ext cx="468630" cy="5715"/>
                        </a:xfrm>
                        <a:custGeom>
                          <a:avLst/>
                          <a:gdLst/>
                          <a:ahLst/>
                          <a:cxnLst/>
                          <a:pathLst>
                            <a:path w="738"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5" o:spid="_x0000_s1026" o:spt="100" style="position:absolute;left:0pt;margin-left:504.1pt;margin-top:14.35pt;height:0.45pt;width:36.9pt;mso-position-horizontal-relative:page;z-index:-20952064;mso-width-relative:page;mso-height-relative:page;" filled="f" stroked="t" coordsize="738,9" o:gfxdata="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C+tP7/1gAAAAsBAAAPAAAAAAAAAAEAIAAAACIAAABkcnMvZG93bnJldi54bWxQSwEC&#10;FAAUAAAACACHTuJAOJ64SNoCAAAnCgAADgAAAAAAAAABACAAAAAlAQAAZHJzL2Uyb0RvYy54bWxQ&#10;SwUGAAAAAAYABgBZAQAAcQYAAAAA&#10;" path="m0,0l18,9,36,0,54,9,72,0,90,9,108,0,126,9,144,0,162,9,180,0,198,9,216,0,234,9,252,0,270,9,288,0,306,9,324,0,342,9,360,0,378,9,396,0,414,9,432,0,450,9,468,0,486,9,504,0,522,9,540,0,558,9,576,0,594,9,612,0,630,9,648,0,666,9,684,0,702,9,720,0,738,9e">
                <v:fill on="f" focussize="0,0"/>
                <v:stroke weight="0.28496062992126pt" color="#00AFEF" joinstyle="round"/>
                <v:imagedata o:title=""/>
                <o:lock v:ext="edit" aspectratio="f"/>
              </v:shape>
            </w:pict>
          </mc:Fallback>
        </mc:AlternateContent>
      </w:r>
      <w:r>
        <w:rPr>
          <w:w w:val="95"/>
          <w:sz w:val="20"/>
        </w:rPr>
        <w:t>会计是以</w:t>
      </w:r>
      <w:r>
        <w:rPr>
          <w:color w:val="FF0000"/>
          <w:w w:val="95"/>
          <w:sz w:val="20"/>
          <w:u w:val="double" w:color="FF0000"/>
        </w:rPr>
        <w:t>货币</w:t>
      </w:r>
      <w:r>
        <w:rPr>
          <w:w w:val="95"/>
          <w:sz w:val="20"/>
        </w:rPr>
        <w:t>为主要计量单位，运用专门的方法和程序，对企业和行政、事业单位的经济活动进行</w:t>
      </w:r>
      <w:r>
        <w:rPr>
          <w:b/>
          <w:color w:val="00AFEF"/>
          <w:w w:val="95"/>
          <w:sz w:val="20"/>
        </w:rPr>
        <w:t xml:space="preserve">完整的、   </w:t>
      </w:r>
      <w:r>
        <w:rPr>
          <w:b/>
          <w:color w:val="00AFEF"/>
          <w:sz w:val="20"/>
          <w:u w:val="single" w:color="00AFEF"/>
        </w:rPr>
        <w:t>连续的、系统的</w:t>
      </w:r>
      <w:r>
        <w:rPr>
          <w:color w:val="FF0000"/>
          <w:sz w:val="20"/>
          <w:u w:val="single" w:color="00AFEF"/>
        </w:rPr>
        <w:t>核算</w:t>
      </w:r>
      <w:r>
        <w:rPr>
          <w:sz w:val="20"/>
        </w:rPr>
        <w:t>和</w:t>
      </w:r>
      <w:r>
        <w:rPr>
          <w:color w:val="FF0000"/>
          <w:sz w:val="20"/>
          <w:u w:val="double" w:color="FF0000"/>
        </w:rPr>
        <w:t>监督</w:t>
      </w:r>
      <w:r>
        <w:rPr>
          <w:sz w:val="20"/>
        </w:rPr>
        <w:t>，以</w:t>
      </w:r>
      <w:r>
        <w:rPr>
          <w:b/>
          <w:color w:val="00AFEF"/>
          <w:sz w:val="20"/>
          <w:u w:val="single" w:color="00AFEF"/>
        </w:rPr>
        <w:t>提供经济信息</w:t>
      </w:r>
      <w:r>
        <w:rPr>
          <w:sz w:val="20"/>
        </w:rPr>
        <w:t>和</w:t>
      </w:r>
      <w:r>
        <w:rPr>
          <w:b/>
          <w:color w:val="00AFEF"/>
          <w:sz w:val="20"/>
          <w:u w:val="single" w:color="00AFEF"/>
        </w:rPr>
        <w:t>反应受托责任履行情况</w:t>
      </w:r>
      <w:r>
        <w:rPr>
          <w:sz w:val="20"/>
        </w:rPr>
        <w:t>为主要目的的经济管理活动。</w:t>
      </w:r>
    </w:p>
    <w:p>
      <w:pPr>
        <w:pStyle w:val="6"/>
        <w:spacing w:before="2"/>
      </w:pPr>
      <w:r>
        <w:t>本课程主要以《企业会计准则》为依据介绍企业经济业务的会计处理。</w:t>
      </w:r>
    </w:p>
    <w:p>
      <w:pPr>
        <w:spacing w:before="22"/>
        <w:ind w:left="742" w:right="0" w:firstLine="0"/>
        <w:jc w:val="left"/>
        <w:rPr>
          <w:b/>
          <w:sz w:val="21"/>
        </w:rPr>
      </w:pPr>
      <w:bookmarkStart w:id="5" w:name="二、会计职能"/>
      <w:bookmarkEnd w:id="5"/>
      <w:r>
        <w:rPr>
          <w:b/>
          <w:sz w:val="21"/>
          <w:shd w:val="clear" w:color="auto" w:fill="C0C0C0"/>
        </w:rPr>
        <w:t>二、会计职能</w:t>
      </w:r>
    </w:p>
    <w:p>
      <w:pPr>
        <w:pStyle w:val="6"/>
        <w:spacing w:before="89" w:line="304" w:lineRule="auto"/>
        <w:ind w:right="5261"/>
      </w:pPr>
      <w:r>
        <w:t>会计的职能是指会计在经济管理过程中所具有的职能。</w:t>
      </w:r>
      <w:r>
        <w:rPr>
          <w:b/>
          <w:color w:val="00AFEF"/>
        </w:rPr>
        <w:t>基本职能</w:t>
      </w:r>
      <w:r>
        <w:t>：</w:t>
      </w:r>
      <w:r>
        <w:rPr>
          <w:color w:val="FF0000"/>
          <w:u w:val="double" w:color="FF0000"/>
        </w:rPr>
        <w:t>核算、监督</w:t>
      </w:r>
    </w:p>
    <w:p>
      <w:pPr>
        <w:pStyle w:val="6"/>
        <w:spacing w:before="2"/>
      </w:pPr>
      <w:r>
        <w:rPr>
          <w:b/>
          <w:color w:val="00AFEF"/>
        </w:rPr>
        <w:t>拓展职能</w:t>
      </w:r>
      <w:r>
        <w:t>：</w:t>
      </w:r>
      <w:r>
        <w:rPr>
          <w:color w:val="FF0000"/>
          <w:u w:val="double" w:color="FF0000"/>
        </w:rPr>
        <w:t>预测经济前景、参与经济决策、评价经营业绩</w:t>
      </w:r>
    </w:p>
    <w:p>
      <w:pPr>
        <w:pStyle w:val="5"/>
      </w:pPr>
      <w:r>
        <w:t>（一）核算职能</w:t>
      </w:r>
    </w:p>
    <w:p>
      <w:pPr>
        <w:pStyle w:val="6"/>
        <w:spacing w:line="304" w:lineRule="auto"/>
        <w:ind w:left="322" w:right="647" w:firstLine="400"/>
      </w:pPr>
      <w:r>
        <w:rPr>
          <w:w w:val="95"/>
        </w:rPr>
        <w:t>会计以</w:t>
      </w:r>
      <w:r>
        <w:rPr>
          <w:color w:val="FF0000"/>
          <w:w w:val="95"/>
          <w:u w:val="double" w:color="FF0000"/>
        </w:rPr>
        <w:t>货币</w:t>
      </w:r>
      <w:r>
        <w:rPr>
          <w:w w:val="95"/>
        </w:rPr>
        <w:t>为主要计量单位，对特定主体的经济活动进行</w:t>
      </w:r>
      <w:r>
        <w:rPr>
          <w:color w:val="FF0000"/>
          <w:w w:val="95"/>
          <w:u w:val="double" w:color="FF0000"/>
        </w:rPr>
        <w:t>确认、计量、记录和报告</w:t>
      </w:r>
      <w:r>
        <w:rPr>
          <w:w w:val="95"/>
        </w:rPr>
        <w:t xml:space="preserve">；会计核算贯穿于经济活   </w:t>
      </w:r>
      <w:r>
        <w:t>动的全过程，是</w:t>
      </w:r>
      <w:r>
        <w:rPr>
          <w:color w:val="FF0000"/>
          <w:u w:val="double" w:color="FF0000"/>
        </w:rPr>
        <w:t>最基本的职能</w:t>
      </w:r>
      <w:r>
        <w:t>；</w:t>
      </w:r>
    </w:p>
    <w:p>
      <w:pPr>
        <w:spacing w:before="0" w:line="304" w:lineRule="auto"/>
        <w:ind w:left="723" w:right="2853" w:firstLine="0"/>
        <w:jc w:val="left"/>
        <w:rPr>
          <w:b/>
          <w:sz w:val="20"/>
        </w:rPr>
      </w:pPr>
      <w:r>
        <w:rPr>
          <w:sz w:val="20"/>
        </w:rPr>
        <w:t>会计核算的内容就是企业的经济业务事项，包括</w:t>
      </w:r>
      <w:r>
        <w:rPr>
          <w:b/>
          <w:color w:val="00AFEF"/>
          <w:sz w:val="20"/>
          <w:u w:val="single" w:color="00AFEF"/>
        </w:rPr>
        <w:t>经济业务和经济事项</w:t>
      </w:r>
      <w:r>
        <w:rPr>
          <w:sz w:val="20"/>
        </w:rPr>
        <w:t xml:space="preserve">，具体包括： </w:t>
      </w:r>
      <w:r>
        <w:rPr>
          <w:b/>
          <w:sz w:val="20"/>
        </w:rPr>
        <w:t>1.款项和有价证券的收付</w:t>
      </w:r>
    </w:p>
    <w:p>
      <w:pPr>
        <w:pStyle w:val="13"/>
        <w:numPr>
          <w:ilvl w:val="1"/>
          <w:numId w:val="1"/>
        </w:numPr>
        <w:tabs>
          <w:tab w:val="left" w:pos="1224"/>
        </w:tabs>
        <w:spacing w:before="1" w:after="0" w:line="240" w:lineRule="auto"/>
        <w:ind w:left="1223" w:right="0" w:hanging="501"/>
        <w:jc w:val="left"/>
        <w:rPr>
          <w:sz w:val="20"/>
        </w:rPr>
      </w:pPr>
      <w:r>
        <w:rPr>
          <w:sz w:val="20"/>
        </w:rPr>
        <w:t>款项是作为支付手段的货币资金，包括库存现金、银行存款和其他货币资金；</w:t>
      </w:r>
    </w:p>
    <w:p>
      <w:pPr>
        <w:pStyle w:val="6"/>
        <w:spacing w:before="71"/>
      </w:pPr>
      <w:r>
        <w:t>其他货币资金包括银行汇票存款、银行本票存款、信用卡存款、信用证保证金存款、外埠存款和存出投资款；</w:t>
      </w:r>
    </w:p>
    <w:p>
      <w:pPr>
        <w:pStyle w:val="13"/>
        <w:numPr>
          <w:ilvl w:val="1"/>
          <w:numId w:val="1"/>
        </w:numPr>
        <w:tabs>
          <w:tab w:val="left" w:pos="1224"/>
        </w:tabs>
        <w:spacing w:before="70" w:after="0" w:line="240" w:lineRule="auto"/>
        <w:ind w:left="1223" w:right="0" w:hanging="501"/>
        <w:jc w:val="left"/>
        <w:rPr>
          <w:sz w:val="20"/>
        </w:rPr>
      </w:pPr>
      <w:r>
        <w:rPr>
          <w:sz w:val="20"/>
        </w:rPr>
        <w:t>有价证券是指表示一定财产拥有权和支配权的证券，包括国库券、企业债券、股票等；</w:t>
      </w:r>
    </w:p>
    <w:p>
      <w:pPr>
        <w:pStyle w:val="13"/>
        <w:numPr>
          <w:ilvl w:val="1"/>
          <w:numId w:val="1"/>
        </w:numPr>
        <w:tabs>
          <w:tab w:val="left" w:pos="1224"/>
        </w:tabs>
        <w:spacing w:before="70" w:after="0" w:line="302" w:lineRule="auto"/>
        <w:ind w:left="723" w:right="6162" w:firstLine="0"/>
        <w:jc w:val="left"/>
        <w:rPr>
          <w:b/>
          <w:sz w:val="20"/>
        </w:rPr>
      </w:pPr>
      <w:r>
        <w:rPr>
          <w:color w:val="FF0000"/>
          <w:sz w:val="20"/>
          <w:u w:val="double" w:color="FF0000"/>
        </w:rPr>
        <w:t>款项和有价证券是流动性最强的资产</w:t>
      </w:r>
      <w:r>
        <w:rPr>
          <w:spacing w:val="-13"/>
          <w:sz w:val="20"/>
        </w:rPr>
        <w:t>。</w:t>
      </w:r>
      <w:r>
        <w:rPr>
          <w:b/>
          <w:sz w:val="20"/>
        </w:rPr>
        <w:t>2.财物的收发、增减和使用</w:t>
      </w:r>
    </w:p>
    <w:p>
      <w:pPr>
        <w:pStyle w:val="6"/>
        <w:spacing w:before="5" w:line="304" w:lineRule="auto"/>
        <w:ind w:left="322" w:right="761" w:firstLine="400"/>
      </w:pPr>
      <w:r>
        <w:rPr>
          <w:w w:val="95"/>
        </w:rPr>
        <w:t xml:space="preserve">（1）财物是财产物资的简称，是企业具有实物形态的经济资源，主要包括：原材料、燃料、包装物、低值   </w:t>
      </w:r>
      <w:r>
        <w:t>易耗品等存货和房屋、建筑物、机器设备等固定资产；</w:t>
      </w:r>
    </w:p>
    <w:p>
      <w:pPr>
        <w:spacing w:before="1" w:line="304" w:lineRule="auto"/>
        <w:ind w:left="723" w:right="4061" w:firstLine="0"/>
        <w:jc w:val="left"/>
        <w:rPr>
          <w:b/>
          <w:sz w:val="20"/>
        </w:rPr>
      </w:pPr>
      <w:r>
        <mc:AlternateContent>
          <mc:Choice Requires="wps">
            <w:drawing>
              <wp:anchor distT="0" distB="0" distL="114300" distR="114300" simplePos="0" relativeHeight="482364416" behindDoc="1" locked="0" layoutInCell="1" allowOverlap="1">
                <wp:simplePos x="0" y="0"/>
                <wp:positionH relativeFrom="page">
                  <wp:posOffset>1068705</wp:posOffset>
                </wp:positionH>
                <wp:positionV relativeFrom="paragraph">
                  <wp:posOffset>138430</wp:posOffset>
                </wp:positionV>
                <wp:extent cx="251460" cy="5715"/>
                <wp:effectExtent l="0" t="0" r="0" b="0"/>
                <wp:wrapNone/>
                <wp:docPr id="210" name="任意多边形 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6" o:spid="_x0000_s1026" o:spt="100" style="position:absolute;left:0pt;margin-left:84.15pt;margin-top:10.9pt;height:0.45pt;width:19.8pt;mso-position-horizontal-relative:page;z-index:-20952064;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JoYQ&#10;ndkAAAAJAQAADwAAAAAAAAABACAAAAAiAAAAZHJzL2Rvd25yZXYueG1sUEsBAhQAFAAAAAgAh07i&#10;QId209mTAgAAVQcAAA4AAAAAAAAAAQAgAAAAKA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sz w:val="20"/>
        </w:rPr>
        <w:t>【</w:t>
      </w:r>
      <w:r>
        <w:rPr>
          <w:b/>
          <w:color w:val="00AFEF"/>
          <w:w w:val="95"/>
          <w:sz w:val="20"/>
        </w:rPr>
        <w:t>提示</w:t>
      </w:r>
      <w:r>
        <w:rPr>
          <w:w w:val="95"/>
          <w:sz w:val="20"/>
        </w:rPr>
        <w:t xml:space="preserve">】无形资产、库存现金、银行存款及应收预付款项不是财物。  </w:t>
      </w:r>
      <w:r>
        <w:rPr>
          <w:b/>
          <w:sz w:val="20"/>
        </w:rPr>
        <w:t>3.债权、债务的发生和结算</w:t>
      </w:r>
    </w:p>
    <w:p>
      <w:pPr>
        <w:pStyle w:val="13"/>
        <w:numPr>
          <w:ilvl w:val="0"/>
          <w:numId w:val="2"/>
        </w:numPr>
        <w:tabs>
          <w:tab w:val="left" w:pos="1224"/>
        </w:tabs>
        <w:spacing w:before="2" w:after="0" w:line="240" w:lineRule="auto"/>
        <w:ind w:left="1223" w:right="0" w:hanging="501"/>
        <w:jc w:val="left"/>
        <w:rPr>
          <w:sz w:val="20"/>
        </w:rPr>
      </w:pPr>
      <w:r>
        <w:rPr>
          <w:spacing w:val="-1"/>
          <w:sz w:val="20"/>
        </w:rPr>
        <w:t>债权是企业收取款项的权利，主要包括</w:t>
      </w:r>
      <w:r>
        <w:rPr>
          <w:color w:val="FF0000"/>
          <w:spacing w:val="-4"/>
          <w:sz w:val="20"/>
          <w:u w:val="double" w:color="FF0000"/>
        </w:rPr>
        <w:t>应收账款、应收票据、应收利息、预付账款等应收及预付款项</w:t>
      </w:r>
      <w:r>
        <w:rPr>
          <w:sz w:val="20"/>
        </w:rPr>
        <w:t>。</w:t>
      </w:r>
    </w:p>
    <w:p>
      <w:pPr>
        <w:pStyle w:val="13"/>
        <w:numPr>
          <w:ilvl w:val="0"/>
          <w:numId w:val="2"/>
        </w:numPr>
        <w:tabs>
          <w:tab w:val="left" w:pos="1224"/>
        </w:tabs>
        <w:spacing w:before="68" w:after="0" w:line="304" w:lineRule="auto"/>
        <w:ind w:left="322" w:right="621" w:firstLine="400"/>
        <w:jc w:val="left"/>
        <w:rPr>
          <w:sz w:val="20"/>
        </w:rPr>
      </w:pPr>
      <w:r>
        <w:rPr>
          <w:spacing w:val="-3"/>
          <w:w w:val="95"/>
          <w:sz w:val="20"/>
        </w:rPr>
        <w:t>债务是由企业过去的交易或事项形成的，会导致经济利益流出企业的现时义务，主要包括：</w:t>
      </w:r>
      <w:r>
        <w:rPr>
          <w:color w:val="FF0000"/>
          <w:w w:val="95"/>
          <w:sz w:val="20"/>
          <w:u w:val="double" w:color="FF0000"/>
        </w:rPr>
        <w:t>各种借款、</w:t>
      </w:r>
      <w:r>
        <w:rPr>
          <w:color w:val="FF0000"/>
          <w:spacing w:val="-199"/>
          <w:w w:val="95"/>
          <w:sz w:val="20"/>
          <w:u w:val="double" w:color="FF0000"/>
        </w:rPr>
        <w:t>应</w:t>
      </w:r>
      <w:r>
        <w:rPr>
          <w:color w:val="FF0000"/>
          <w:spacing w:val="153"/>
          <w:w w:val="95"/>
          <w:sz w:val="20"/>
          <w:u w:val="double" w:color="FF0000"/>
        </w:rPr>
        <w:t xml:space="preserve"> </w:t>
      </w:r>
      <w:r>
        <w:rPr>
          <w:color w:val="FF0000"/>
          <w:sz w:val="20"/>
          <w:u w:val="double" w:color="FF0000"/>
        </w:rPr>
        <w:t>付及预收款项、应交款项</w:t>
      </w:r>
      <w:r>
        <w:rPr>
          <w:sz w:val="20"/>
        </w:rPr>
        <w:t>。</w:t>
      </w:r>
    </w:p>
    <w:p>
      <w:pPr>
        <w:pStyle w:val="5"/>
        <w:numPr>
          <w:ilvl w:val="0"/>
          <w:numId w:val="1"/>
        </w:numPr>
        <w:tabs>
          <w:tab w:val="left" w:pos="925"/>
        </w:tabs>
        <w:spacing w:before="2" w:after="0" w:line="240" w:lineRule="auto"/>
        <w:ind w:left="924" w:right="0" w:hanging="202"/>
        <w:jc w:val="left"/>
        <w:rPr>
          <w:sz w:val="18"/>
        </w:rPr>
      </w:pPr>
      <w:r>
        <w:t>资本的增减</w:t>
      </w:r>
    </w:p>
    <w:p>
      <w:pPr>
        <w:pStyle w:val="13"/>
        <w:numPr>
          <w:ilvl w:val="0"/>
          <w:numId w:val="3"/>
        </w:numPr>
        <w:tabs>
          <w:tab w:val="left" w:pos="1224"/>
        </w:tabs>
        <w:spacing w:before="70" w:after="0" w:line="240" w:lineRule="auto"/>
        <w:ind w:left="1223" w:right="0" w:hanging="501"/>
        <w:jc w:val="left"/>
        <w:rPr>
          <w:sz w:val="20"/>
        </w:rPr>
      </w:pPr>
      <w:r>
        <w:rPr>
          <w:sz w:val="20"/>
        </w:rPr>
        <w:t>资本是投资者为开展生产经营活动而投入的资金。</w:t>
      </w:r>
    </w:p>
    <w:p>
      <w:pPr>
        <w:pStyle w:val="13"/>
        <w:numPr>
          <w:ilvl w:val="0"/>
          <w:numId w:val="3"/>
        </w:numPr>
        <w:tabs>
          <w:tab w:val="left" w:pos="1224"/>
        </w:tabs>
        <w:spacing w:before="70" w:after="0" w:line="240" w:lineRule="auto"/>
        <w:ind w:left="1223" w:right="0" w:hanging="501"/>
        <w:jc w:val="left"/>
        <w:rPr>
          <w:sz w:val="20"/>
        </w:rPr>
      </w:pPr>
      <w:r>
        <w:rPr>
          <w:sz w:val="20"/>
        </w:rPr>
        <w:t>会计上的资本专指所有者权益中的</w:t>
      </w:r>
      <w:r>
        <w:rPr>
          <w:color w:val="FF0000"/>
          <w:sz w:val="20"/>
          <w:u w:val="double" w:color="FF0000"/>
        </w:rPr>
        <w:t>投入资本</w:t>
      </w:r>
      <w:r>
        <w:rPr>
          <w:sz w:val="20"/>
        </w:rPr>
        <w:t>。</w:t>
      </w:r>
    </w:p>
    <w:p>
      <w:pPr>
        <w:spacing w:after="0" w:line="240" w:lineRule="auto"/>
        <w:jc w:val="left"/>
        <w:rPr>
          <w:sz w:val="20"/>
        </w:rPr>
        <w:sectPr>
          <w:headerReference r:id="rId4" w:type="default"/>
          <w:footerReference r:id="rId5" w:type="default"/>
          <w:pgSz w:w="11910" w:h="16160"/>
          <w:pgMar w:top="1680" w:right="360" w:bottom="780" w:left="760" w:header="0" w:footer="584" w:gutter="0"/>
          <w:pgNumType w:start="1"/>
        </w:sectPr>
      </w:pPr>
    </w:p>
    <w:p>
      <w:pPr>
        <w:pStyle w:val="6"/>
        <w:spacing w:before="11"/>
        <w:ind w:left="0"/>
        <w:rPr>
          <w:sz w:val="13"/>
        </w:rPr>
      </w:pPr>
    </w:p>
    <w:p>
      <w:pPr>
        <w:pStyle w:val="13"/>
        <w:numPr>
          <w:ilvl w:val="0"/>
          <w:numId w:val="3"/>
        </w:numPr>
        <w:tabs>
          <w:tab w:val="left" w:pos="1224"/>
        </w:tabs>
        <w:spacing w:before="71" w:after="0" w:line="304" w:lineRule="auto"/>
        <w:ind w:left="723" w:right="6761" w:firstLine="0"/>
        <w:jc w:val="left"/>
        <w:rPr>
          <w:b/>
          <w:sz w:val="20"/>
        </w:rPr>
      </w:pPr>
      <w:r>
        <w:rPr>
          <w:spacing w:val="-1"/>
          <w:sz w:val="20"/>
        </w:rPr>
        <w:t>资本包括实收资本、资本公积。</w:t>
      </w:r>
      <w:r>
        <w:rPr>
          <w:b/>
          <w:sz w:val="20"/>
        </w:rPr>
        <w:t>5.收入、支出、费用、成本的计算</w:t>
      </w:r>
    </w:p>
    <w:p>
      <w:pPr>
        <w:pStyle w:val="13"/>
        <w:numPr>
          <w:ilvl w:val="0"/>
          <w:numId w:val="4"/>
        </w:numPr>
        <w:tabs>
          <w:tab w:val="left" w:pos="1224"/>
        </w:tabs>
        <w:spacing w:before="2" w:after="0" w:line="240" w:lineRule="auto"/>
        <w:ind w:left="1223" w:right="0" w:hanging="501"/>
        <w:jc w:val="left"/>
        <w:rPr>
          <w:sz w:val="20"/>
        </w:rPr>
      </w:pPr>
      <w:r>
        <w:rPr>
          <w:sz w:val="20"/>
        </w:rPr>
        <w:t>收入是企业在日常活动中形成的经济利益的总流入。</w:t>
      </w:r>
      <w:r>
        <w:rPr>
          <w:color w:val="FF0000"/>
          <w:sz w:val="20"/>
          <w:u w:val="double" w:color="FF0000"/>
        </w:rPr>
        <w:t>非日常活动的资金流入叫利得</w:t>
      </w:r>
    </w:p>
    <w:p>
      <w:pPr>
        <w:pStyle w:val="13"/>
        <w:numPr>
          <w:ilvl w:val="0"/>
          <w:numId w:val="4"/>
        </w:numPr>
        <w:tabs>
          <w:tab w:val="left" w:pos="1224"/>
        </w:tabs>
        <w:spacing w:before="70" w:after="0" w:line="240" w:lineRule="auto"/>
        <w:ind w:left="1223" w:right="0" w:hanging="501"/>
        <w:jc w:val="left"/>
        <w:rPr>
          <w:sz w:val="20"/>
        </w:rPr>
      </w:pPr>
      <w:r>
        <w:rPr>
          <w:sz w:val="20"/>
        </w:rPr>
        <w:t>支出是企业实际发生的各项开支，以及在正常生产经营活动以外的各项支出和损失。</w:t>
      </w:r>
    </w:p>
    <w:p>
      <w:pPr>
        <w:pStyle w:val="13"/>
        <w:numPr>
          <w:ilvl w:val="0"/>
          <w:numId w:val="4"/>
        </w:numPr>
        <w:tabs>
          <w:tab w:val="left" w:pos="1224"/>
        </w:tabs>
        <w:spacing w:before="70" w:after="0" w:line="240" w:lineRule="auto"/>
        <w:ind w:left="1223" w:right="0" w:hanging="501"/>
        <w:jc w:val="left"/>
        <w:rPr>
          <w:sz w:val="20"/>
        </w:rPr>
      </w:pPr>
      <w:r>
        <w:rPr>
          <w:sz w:val="20"/>
        </w:rPr>
        <w:t>费用是指企业在日常活动中形成的经济利益的总流出</w:t>
      </w:r>
      <w:r>
        <w:rPr>
          <w:color w:val="FF0000"/>
          <w:sz w:val="20"/>
          <w:u w:val="double" w:color="FF0000"/>
        </w:rPr>
        <w:t>非日常活动的资金流出叫损失</w:t>
      </w:r>
    </w:p>
    <w:p>
      <w:pPr>
        <w:pStyle w:val="13"/>
        <w:numPr>
          <w:ilvl w:val="0"/>
          <w:numId w:val="4"/>
        </w:numPr>
        <w:tabs>
          <w:tab w:val="left" w:pos="1224"/>
        </w:tabs>
        <w:spacing w:before="68" w:after="0" w:line="304" w:lineRule="auto"/>
        <w:ind w:left="322" w:right="763" w:firstLine="400"/>
        <w:jc w:val="left"/>
        <w:rPr>
          <w:sz w:val="20"/>
        </w:rPr>
      </w:pPr>
      <w:r>
        <w:rPr>
          <w:w w:val="95"/>
          <w:sz w:val="20"/>
        </w:rPr>
        <w:t xml:space="preserve">成本是企业为生产产品、提供劳务而发生的各种经济资源的耗费，是按一定产品和劳务对象所归集的   </w:t>
      </w:r>
      <w:r>
        <w:rPr>
          <w:sz w:val="20"/>
        </w:rPr>
        <w:t>费用，是对象化的费用。</w:t>
      </w:r>
    </w:p>
    <w:p>
      <w:pPr>
        <w:pStyle w:val="5"/>
        <w:spacing w:before="2"/>
      </w:pPr>
      <w:r>
        <w:t>6.财务成果的计算与处理</w:t>
      </w:r>
    </w:p>
    <w:p>
      <w:pPr>
        <w:pStyle w:val="13"/>
        <w:numPr>
          <w:ilvl w:val="0"/>
          <w:numId w:val="5"/>
        </w:numPr>
        <w:tabs>
          <w:tab w:val="left" w:pos="1224"/>
        </w:tabs>
        <w:spacing w:before="70" w:after="0" w:line="304" w:lineRule="auto"/>
        <w:ind w:left="322" w:right="761" w:firstLine="400"/>
        <w:jc w:val="left"/>
        <w:rPr>
          <w:sz w:val="20"/>
        </w:rPr>
      </w:pPr>
      <w:r>
        <w:rPr>
          <w:w w:val="95"/>
          <w:sz w:val="20"/>
        </w:rPr>
        <w:t xml:space="preserve">财务成果是指企业在一定时期内通过从事生产经营活动而在财务上所取得的结果，具体表现为盈利或   </w:t>
      </w:r>
      <w:r>
        <w:rPr>
          <w:sz w:val="20"/>
        </w:rPr>
        <w:t>亏损。</w:t>
      </w:r>
    </w:p>
    <w:p>
      <w:pPr>
        <w:pStyle w:val="13"/>
        <w:numPr>
          <w:ilvl w:val="0"/>
          <w:numId w:val="5"/>
        </w:numPr>
        <w:tabs>
          <w:tab w:val="left" w:pos="1224"/>
        </w:tabs>
        <w:spacing w:before="2" w:after="0" w:line="302" w:lineRule="auto"/>
        <w:ind w:left="723" w:right="2162" w:firstLine="0"/>
        <w:jc w:val="left"/>
        <w:rPr>
          <w:b/>
          <w:sz w:val="20"/>
        </w:rPr>
      </w:pPr>
      <w:r>
        <w:rPr>
          <w:w w:val="95"/>
          <w:sz w:val="20"/>
        </w:rPr>
        <w:t>财务成果的计算和处理一般包括</w:t>
      </w:r>
      <w:r>
        <w:rPr>
          <w:color w:val="FF0000"/>
          <w:w w:val="95"/>
          <w:sz w:val="20"/>
          <w:u w:val="double" w:color="FF0000"/>
        </w:rPr>
        <w:t>利润的计算、所得税的计算、利润分配或亏损弥补</w:t>
      </w:r>
      <w:r>
        <w:rPr>
          <w:w w:val="95"/>
          <w:sz w:val="20"/>
        </w:rPr>
        <w:t xml:space="preserve">。  </w:t>
      </w:r>
      <w:r>
        <w:rPr>
          <w:b/>
          <w:sz w:val="20"/>
        </w:rPr>
        <w:t>7.其他事项</w:t>
      </w:r>
    </w:p>
    <w:p>
      <w:pPr>
        <w:pStyle w:val="5"/>
        <w:spacing w:before="5"/>
      </w:pPr>
      <w:r>
        <w:t>（二）监督职能</w:t>
      </w:r>
    </w:p>
    <w:p>
      <w:pPr>
        <w:pStyle w:val="13"/>
        <w:numPr>
          <w:ilvl w:val="0"/>
          <w:numId w:val="6"/>
        </w:numPr>
        <w:tabs>
          <w:tab w:val="left" w:pos="925"/>
        </w:tabs>
        <w:spacing w:before="70" w:after="0" w:line="240" w:lineRule="auto"/>
        <w:ind w:left="924" w:right="0" w:hanging="202"/>
        <w:jc w:val="left"/>
        <w:rPr>
          <w:sz w:val="20"/>
        </w:rPr>
      </w:pPr>
      <w:r>
        <w:rPr>
          <w:b/>
          <w:sz w:val="20"/>
        </w:rPr>
        <w:t>会计监督</w:t>
      </w:r>
      <w:r>
        <w:rPr>
          <w:sz w:val="20"/>
        </w:rPr>
        <w:t>，是对特定主体经济活动和相关会计核算的真实性、合法性和合理性进行监督检查。</w:t>
      </w:r>
    </w:p>
    <w:p>
      <w:pPr>
        <w:pStyle w:val="6"/>
        <w:spacing w:line="304" w:lineRule="auto"/>
        <w:ind w:left="322" w:right="646" w:firstLine="400"/>
      </w:pPr>
      <w:r>
        <w:rPr>
          <w:w w:val="95"/>
        </w:rPr>
        <w:t>①</w:t>
      </w:r>
      <w:r>
        <w:rPr>
          <w:color w:val="FF0000"/>
          <w:w w:val="95"/>
          <w:u w:val="double" w:color="FF0000"/>
        </w:rPr>
        <w:t>真实性</w:t>
      </w:r>
      <w:r>
        <w:rPr>
          <w:w w:val="95"/>
        </w:rPr>
        <w:t xml:space="preserve">审查是指检查各项会计核算是否根据实际发生的经济业务进行；是否如实反映经济业务或事项的真   </w:t>
      </w:r>
      <w:r>
        <w:t>实状况。</w:t>
      </w:r>
    </w:p>
    <w:p>
      <w:pPr>
        <w:pStyle w:val="6"/>
        <w:spacing w:before="2" w:line="302" w:lineRule="auto"/>
        <w:ind w:left="322" w:right="662" w:firstLine="400"/>
      </w:pPr>
      <w:r>
        <w:rPr>
          <w:w w:val="95"/>
        </w:rPr>
        <w:t>②</w:t>
      </w:r>
      <w:r>
        <w:rPr>
          <w:color w:val="FF0000"/>
          <w:w w:val="95"/>
          <w:u w:val="double" w:color="FF0000"/>
        </w:rPr>
        <w:t>合法性</w:t>
      </w:r>
      <w:r>
        <w:rPr>
          <w:w w:val="95"/>
        </w:rPr>
        <w:t xml:space="preserve">审查是指保证各项经济业务符合国家的有关法律法规，遵守财经纪律，执行国家的各项方针政策，   </w:t>
      </w:r>
      <w:r>
        <w:t>杜绝违法乱纪行为；</w:t>
      </w:r>
    </w:p>
    <w:p>
      <w:pPr>
        <w:pStyle w:val="6"/>
        <w:spacing w:before="4" w:line="304" w:lineRule="auto"/>
        <w:ind w:left="322" w:right="647" w:firstLine="400"/>
      </w:pPr>
      <w:r>
        <w:rPr>
          <w:w w:val="95"/>
        </w:rPr>
        <w:t>③</w:t>
      </w:r>
      <w:r>
        <w:rPr>
          <w:color w:val="FF0000"/>
          <w:w w:val="95"/>
          <w:u w:val="double" w:color="FF0000"/>
        </w:rPr>
        <w:t>合理性</w:t>
      </w:r>
      <w:r>
        <w:rPr>
          <w:w w:val="95"/>
        </w:rPr>
        <w:t xml:space="preserve">审查是指检查各项财务收支是否符合客观经济规律及经营管理方面的要求，保证各项财务收支符合   </w:t>
      </w:r>
      <w:r>
        <w:t>特定的财务收支计划，实现预算目标。</w:t>
      </w:r>
    </w:p>
    <w:p>
      <w:pPr>
        <w:pStyle w:val="5"/>
        <w:numPr>
          <w:ilvl w:val="0"/>
          <w:numId w:val="6"/>
        </w:numPr>
        <w:tabs>
          <w:tab w:val="left" w:pos="925"/>
        </w:tabs>
        <w:spacing w:before="2" w:after="0" w:line="240" w:lineRule="auto"/>
        <w:ind w:left="924" w:right="0" w:hanging="202"/>
        <w:jc w:val="left"/>
      </w:pPr>
      <w:r>
        <w:t>会计监督的特点</w:t>
      </w:r>
    </w:p>
    <w:p>
      <w:pPr>
        <w:spacing w:before="71"/>
        <w:ind w:left="723" w:right="0" w:firstLine="0"/>
        <w:jc w:val="left"/>
        <w:rPr>
          <w:sz w:val="20"/>
        </w:rPr>
      </w:pPr>
      <w:r>
        <w:rPr>
          <w:sz w:val="20"/>
        </w:rPr>
        <w:t>①会计监督是</w:t>
      </w:r>
      <w:r>
        <w:rPr>
          <w:b/>
          <w:color w:val="00AFEF"/>
          <w:sz w:val="20"/>
          <w:u w:val="single" w:color="00AFEF"/>
        </w:rPr>
        <w:t>利用核算职能所提供的各种价值指标进行的货币监督</w:t>
      </w:r>
      <w:r>
        <w:rPr>
          <w:sz w:val="20"/>
        </w:rPr>
        <w:t>。</w:t>
      </w:r>
    </w:p>
    <w:p>
      <w:pPr>
        <w:spacing w:before="70" w:line="302" w:lineRule="auto"/>
        <w:ind w:left="723" w:right="5652" w:firstLine="0"/>
        <w:jc w:val="left"/>
        <w:rPr>
          <w:b/>
          <w:sz w:val="20"/>
        </w:rPr>
      </w:pPr>
      <w:r>
        <w:rPr>
          <w:w w:val="95"/>
          <w:sz w:val="20"/>
        </w:rPr>
        <w:t>②会计监督分为</w:t>
      </w:r>
      <w:r>
        <w:rPr>
          <w:b/>
          <w:color w:val="00AFEF"/>
          <w:w w:val="95"/>
          <w:sz w:val="20"/>
          <w:u w:val="single" w:color="00AFEF"/>
        </w:rPr>
        <w:t>事前监督、事中监督和事后监督</w:t>
      </w:r>
      <w:r>
        <w:rPr>
          <w:w w:val="95"/>
          <w:sz w:val="20"/>
        </w:rPr>
        <w:t xml:space="preserve">。 </w:t>
      </w:r>
      <w:r>
        <w:rPr>
          <w:b/>
          <w:sz w:val="20"/>
        </w:rPr>
        <w:t>3.会计核算与监督的关系</w:t>
      </w:r>
    </w:p>
    <w:p>
      <w:pPr>
        <w:pStyle w:val="6"/>
        <w:spacing w:before="4"/>
      </w:pPr>
      <w:r>
        <w:rPr>
          <w:color w:val="FF0000"/>
          <w:u w:val="double" w:color="FF0000"/>
        </w:rPr>
        <w:t>会计核算与会计监督是相辅相成、辩证统一的关系</w:t>
      </w:r>
      <w:r>
        <w:t>。</w:t>
      </w:r>
    </w:p>
    <w:p>
      <w:pPr>
        <w:pStyle w:val="6"/>
      </w:pPr>
      <w:r>
        <w:rPr>
          <w:color w:val="FF0000"/>
          <w:u w:val="double" w:color="FF0000"/>
        </w:rPr>
        <w:t>会计核算是会计监督的基础，会计监督是会计核算的质量保证</w:t>
      </w:r>
      <w:r>
        <w:t>。</w:t>
      </w:r>
    </w:p>
    <w:p>
      <w:pPr>
        <w:pStyle w:val="5"/>
        <w:spacing w:before="71"/>
      </w:pPr>
      <w:r>
        <w:t>（三）拓展职能</w:t>
      </w:r>
    </w:p>
    <w:p>
      <w:pPr>
        <w:pStyle w:val="13"/>
        <w:numPr>
          <w:ilvl w:val="0"/>
          <w:numId w:val="7"/>
        </w:numPr>
        <w:tabs>
          <w:tab w:val="left" w:pos="925"/>
        </w:tabs>
        <w:spacing w:before="70" w:after="0" w:line="304" w:lineRule="auto"/>
        <w:ind w:left="322" w:right="662" w:firstLine="400"/>
        <w:jc w:val="left"/>
        <w:rPr>
          <w:sz w:val="20"/>
        </w:rPr>
      </w:pPr>
      <w:r>
        <w:rPr>
          <w:color w:val="FF0000"/>
          <w:w w:val="95"/>
          <w:sz w:val="20"/>
          <w:u w:val="double" w:color="FF0000"/>
        </w:rPr>
        <w:t>预测经济前景</w:t>
      </w:r>
      <w:r>
        <w:rPr>
          <w:w w:val="95"/>
          <w:sz w:val="20"/>
        </w:rPr>
        <w:t xml:space="preserve">；是指根据财务报告等提供的信息，定量或者定性的判断和推测经济活动的发展变化规律，   </w:t>
      </w:r>
      <w:r>
        <w:rPr>
          <w:sz w:val="20"/>
        </w:rPr>
        <w:t>以指导和调节经济活动，提高经济效益。</w:t>
      </w:r>
    </w:p>
    <w:p>
      <w:pPr>
        <w:pStyle w:val="13"/>
        <w:numPr>
          <w:ilvl w:val="0"/>
          <w:numId w:val="7"/>
        </w:numPr>
        <w:tabs>
          <w:tab w:val="left" w:pos="925"/>
        </w:tabs>
        <w:spacing w:before="0" w:after="0" w:line="304" w:lineRule="auto"/>
        <w:ind w:left="322" w:right="722" w:firstLine="400"/>
        <w:jc w:val="left"/>
        <w:rPr>
          <w:sz w:val="20"/>
        </w:rPr>
      </w:pPr>
      <w:r>
        <w:rPr>
          <w:color w:val="FF0000"/>
          <w:w w:val="95"/>
          <w:sz w:val="20"/>
          <w:u w:val="double" w:color="FF0000"/>
        </w:rPr>
        <w:t>参与经济决策</w:t>
      </w:r>
      <w:r>
        <w:rPr>
          <w:spacing w:val="-7"/>
          <w:w w:val="95"/>
          <w:sz w:val="20"/>
        </w:rPr>
        <w:t xml:space="preserve">；是指根据财务报告等提供的信息，运用定量分析和定性分析方法，对备选方案进行可行性   </w:t>
      </w:r>
      <w:r>
        <w:rPr>
          <w:spacing w:val="-7"/>
          <w:sz w:val="20"/>
        </w:rPr>
        <w:t>分析，为企业经营管理等提供决策相关的信息。</w:t>
      </w:r>
    </w:p>
    <w:p>
      <w:pPr>
        <w:pStyle w:val="13"/>
        <w:numPr>
          <w:ilvl w:val="0"/>
          <w:numId w:val="7"/>
        </w:numPr>
        <w:tabs>
          <w:tab w:val="left" w:pos="925"/>
        </w:tabs>
        <w:spacing w:before="1" w:after="0" w:line="304" w:lineRule="auto"/>
        <w:ind w:left="322" w:right="722" w:firstLine="400"/>
        <w:jc w:val="left"/>
        <w:rPr>
          <w:sz w:val="20"/>
        </w:rPr>
      </w:pPr>
      <w:r>
        <w:rPr>
          <w:color w:val="FF0000"/>
          <w:w w:val="95"/>
          <w:sz w:val="20"/>
          <w:u w:val="double" w:color="FF0000"/>
        </w:rPr>
        <w:t>评价经营业绩</w:t>
      </w:r>
      <w:r>
        <w:rPr>
          <w:spacing w:val="-7"/>
          <w:w w:val="95"/>
          <w:sz w:val="20"/>
        </w:rPr>
        <w:t xml:space="preserve">；是指利用财务报告等提供的信息，采用适当的防范，对企业一定经营期间的资产运营，经   </w:t>
      </w:r>
      <w:r>
        <w:rPr>
          <w:spacing w:val="-7"/>
          <w:sz w:val="20"/>
        </w:rPr>
        <w:t>济效益等经营成果，对照相应的评价标准，进行定量及定性对比分析，做出真实、客观、公正的综合评判。</w:t>
      </w:r>
    </w:p>
    <w:p>
      <w:pPr>
        <w:spacing w:before="0" w:line="223" w:lineRule="exact"/>
        <w:ind w:left="742" w:right="0" w:firstLine="0"/>
        <w:jc w:val="left"/>
        <w:rPr>
          <w:b/>
          <w:sz w:val="21"/>
        </w:rPr>
      </w:pPr>
      <w:bookmarkStart w:id="6" w:name="三、会计目标"/>
      <w:bookmarkEnd w:id="6"/>
      <w:r>
        <w:rPr>
          <w:b/>
          <w:sz w:val="21"/>
          <w:shd w:val="clear" w:color="auto" w:fill="C0C0C0"/>
        </w:rPr>
        <w:t>三、会计目标</w:t>
      </w:r>
    </w:p>
    <w:p>
      <w:pPr>
        <w:pStyle w:val="6"/>
        <w:spacing w:before="92" w:line="304" w:lineRule="auto"/>
        <w:ind w:left="322" w:right="647" w:firstLine="400"/>
      </w:pPr>
      <w:r>
        <mc:AlternateContent>
          <mc:Choice Requires="wps">
            <w:drawing>
              <wp:anchor distT="0" distB="0" distL="114300" distR="114300" simplePos="0" relativeHeight="482365440" behindDoc="1" locked="0" layoutInCell="1" allowOverlap="1">
                <wp:simplePos x="0" y="0"/>
                <wp:positionH relativeFrom="page">
                  <wp:posOffset>687705</wp:posOffset>
                </wp:positionH>
                <wp:positionV relativeFrom="paragraph">
                  <wp:posOffset>402590</wp:posOffset>
                </wp:positionV>
                <wp:extent cx="502920" cy="5715"/>
                <wp:effectExtent l="0" t="0" r="0" b="0"/>
                <wp:wrapNone/>
                <wp:docPr id="211" name="任意多边形 7"/>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797" cap="flat" cmpd="sng">
                          <a:solidFill>
                            <a:srgbClr val="00AFEF"/>
                          </a:solidFill>
                          <a:prstDash val="solid"/>
                          <a:headEnd type="none" w="med" len="med"/>
                          <a:tailEnd type="none" w="med" len="med"/>
                        </a:ln>
                      </wps:spPr>
                      <wps:bodyPr upright="1"/>
                    </wps:wsp>
                  </a:graphicData>
                </a:graphic>
              </wp:anchor>
            </w:drawing>
          </mc:Choice>
          <mc:Fallback>
            <w:pict>
              <v:shape id="任意多边形 7" o:spid="_x0000_s1026" o:spt="100" style="position:absolute;left:0pt;margin-left:54.15pt;margin-top:31.7pt;height:0.45pt;width:39.6pt;mso-position-horizontal-relative:page;z-index:-20951040;mso-width-relative:page;mso-height-relative:page;" filled="f" stroked="t" coordsize="792,9" o:gfxdata="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&#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KujK81wAAAAkBAAAPAAAAAAAAAAEAIAAAACIAAABk&#10;cnMvZG93bnJldi54bWxQSwECFAAUAAAACACHTuJANO5GnusCAACZCgAADgAAAAAAAAABACAAAAAm&#10;AQAAZHJzL2Uyb0RvYy54bWxQSwUGAAAAAAYABgBZAQAAgwYAAAAA&#10;" path="m0,0l18,9,36,0,54,9,72,0,90,9,108,0,126,9,144,0,162,9,180,0,198,9,216,0,234,9,252,0,270,9,288,0,306,9,324,0,342,9,360,0,378,9,396,0,414,9,432,0,450,9,468,0,486,9,504,0,522,9,540,0,558,9,576,0,594,9,612,0,630,9,648,0,666,9,684,0,702,9,720,0,738,9,756,0,774,9,792,0e">
                <v:fill on="f" focussize="0,0"/>
                <v:stroke weight="0.298976377952756pt" color="#00AFEF" joinstyle="round"/>
                <v:imagedata o:title=""/>
                <o:lock v:ext="edit" aspectratio="f"/>
              </v:shape>
            </w:pict>
          </mc:Fallback>
        </mc:AlternateContent>
      </w:r>
      <w:r>
        <w:rPr>
          <w:w w:val="95"/>
        </w:rPr>
        <w:t>会计目标是要求会计工作完成的任务或达到的标准，即向财务报告使用者提供与</w:t>
      </w:r>
      <w:r>
        <w:rPr>
          <w:color w:val="00AFEF"/>
          <w:w w:val="95"/>
          <w:u w:val="single" w:color="00AFEF"/>
        </w:rPr>
        <w:t xml:space="preserve">企业财务状况、经营成果和   </w:t>
      </w:r>
      <w:r>
        <w:rPr>
          <w:color w:val="00AFEF"/>
        </w:rPr>
        <w:t>现金流量</w:t>
      </w:r>
      <w:r>
        <w:t>等有关的会计信息，反映企业管理层受托责任履行情况，有助于财务报告使用者做出经济决策。</w:t>
      </w:r>
    </w:p>
    <w:p>
      <w:pPr>
        <w:pStyle w:val="6"/>
        <w:spacing w:before="0" w:line="256" w:lineRule="exact"/>
      </w:pPr>
      <w:r>
        <w:t>会计信息的使用者主要包括</w:t>
      </w:r>
      <w:r>
        <w:rPr>
          <w:color w:val="FF0000"/>
          <w:u w:val="double" w:color="FF0000"/>
        </w:rPr>
        <w:t>投资者、债权人、企业管理者、政府及其相关部门和社会公众</w:t>
      </w:r>
      <w:r>
        <w:t>等。</w:t>
      </w:r>
    </w:p>
    <w:p>
      <w:pPr>
        <w:spacing w:after="0" w:line="256" w:lineRule="exact"/>
        <w:sectPr>
          <w:pgSz w:w="11910" w:h="16160"/>
          <w:pgMar w:top="1680" w:right="360" w:bottom="860" w:left="760" w:header="0" w:footer="584" w:gutter="0"/>
        </w:sectPr>
      </w:pPr>
    </w:p>
    <w:p>
      <w:pPr>
        <w:pStyle w:val="6"/>
        <w:spacing w:before="11"/>
        <w:ind w:left="0"/>
        <w:rPr>
          <w:sz w:val="19"/>
        </w:rPr>
      </w:pPr>
    </w:p>
    <w:p>
      <w:pPr>
        <w:pStyle w:val="3"/>
        <w:tabs>
          <w:tab w:val="left" w:pos="839"/>
        </w:tabs>
        <w:spacing w:before="44"/>
        <w:ind w:left="0" w:right="399"/>
        <w:jc w:val="center"/>
        <w:rPr>
          <w:rFonts w:hint="eastAsia" w:ascii="微软雅黑" w:eastAsia="微软雅黑"/>
        </w:rPr>
      </w:pPr>
      <w:bookmarkStart w:id="7" w:name="第二节　会计基本假设、会计基础和会计信息质量要求"/>
      <w:bookmarkEnd w:id="7"/>
      <w:bookmarkStart w:id="8" w:name="_bookmark2"/>
      <w:bookmarkEnd w:id="8"/>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会计基本假设、会计基础和会计信息质量要求</w:t>
      </w:r>
    </w:p>
    <w:p>
      <w:pPr>
        <w:pStyle w:val="6"/>
        <w:spacing w:before="8"/>
        <w:ind w:left="0"/>
        <w:rPr>
          <w:rFonts w:ascii="微软雅黑"/>
          <w:b/>
          <w:sz w:val="11"/>
        </w:rPr>
      </w:pPr>
    </w:p>
    <w:p>
      <w:pPr>
        <w:spacing w:before="69"/>
        <w:ind w:left="742" w:right="0" w:firstLine="0"/>
        <w:jc w:val="left"/>
        <w:rPr>
          <w:b/>
          <w:sz w:val="21"/>
        </w:rPr>
      </w:pPr>
      <w:bookmarkStart w:id="9" w:name="一、会计基本假设"/>
      <w:bookmarkEnd w:id="9"/>
      <w:r>
        <w:rPr>
          <w:b/>
          <w:sz w:val="21"/>
          <w:shd w:val="clear" w:color="auto" w:fill="C0C0C0"/>
        </w:rPr>
        <w:t>一、会计基本假设</w:t>
      </w:r>
    </w:p>
    <w:p>
      <w:pPr>
        <w:spacing w:before="92" w:line="302" w:lineRule="auto"/>
        <w:ind w:left="322" w:right="648" w:firstLine="400"/>
        <w:jc w:val="left"/>
        <w:rPr>
          <w:sz w:val="20"/>
        </w:rPr>
      </w:pPr>
      <w:r>
        <mc:AlternateContent>
          <mc:Choice Requires="wps">
            <w:drawing>
              <wp:anchor distT="0" distB="0" distL="114300" distR="114300" simplePos="0" relativeHeight="482366464" behindDoc="1" locked="0" layoutInCell="1" allowOverlap="1">
                <wp:simplePos x="0" y="0"/>
                <wp:positionH relativeFrom="page">
                  <wp:posOffset>4119245</wp:posOffset>
                </wp:positionH>
                <wp:positionV relativeFrom="paragraph">
                  <wp:posOffset>195580</wp:posOffset>
                </wp:positionV>
                <wp:extent cx="502920" cy="5715"/>
                <wp:effectExtent l="0" t="0" r="0" b="0"/>
                <wp:wrapNone/>
                <wp:docPr id="212" name="任意多边形 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8" o:spid="_x0000_s1026" o:spt="100" style="position:absolute;left:0pt;margin-left:324.35pt;margin-top:15.4pt;height:0.45pt;width:39.6pt;mso-position-horizontal-relative:page;z-index:-20950016;mso-width-relative:page;mso-height-relative:page;" filled="f" stroked="t" coordsize="792,9" o:gfxdata="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Mo+YwjXAAAACQEAAA8AAAAAAAAAAQAgAAAAIgAA&#10;AGRycy9kb3ducmV2LnhtbFBLAQIUABQAAAAIAIdO4kDfwoNw7QIAAJkKAAAOAAAAAAAAAAEAIAAA&#10;ACYBAABkcnMvZTJvRG9jLnhtbFBLBQYAAAAABgAGAFkBAACF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15733760" behindDoc="0" locked="0" layoutInCell="1" allowOverlap="1">
                <wp:simplePos x="0" y="0"/>
                <wp:positionH relativeFrom="page">
                  <wp:posOffset>615950</wp:posOffset>
                </wp:positionH>
                <wp:positionV relativeFrom="paragraph">
                  <wp:posOffset>427990</wp:posOffset>
                </wp:positionV>
                <wp:extent cx="6412230" cy="4178300"/>
                <wp:effectExtent l="0" t="0" r="0" b="0"/>
                <wp:wrapNone/>
                <wp:docPr id="4" name="文本框 9"/>
                <wp:cNvGraphicFramePr/>
                <a:graphic xmlns:a="http://schemas.openxmlformats.org/drawingml/2006/main">
                  <a:graphicData uri="http://schemas.microsoft.com/office/word/2010/wordprocessingShape">
                    <wps:wsp>
                      <wps:cNvSpPr txBox="1"/>
                      <wps:spPr>
                        <a:xfrm>
                          <a:off x="0" y="0"/>
                          <a:ext cx="6412230" cy="417830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3"/>
                              <w:gridCol w:w="8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83" w:type="dxa"/>
                                </w:tcPr>
                                <w:p>
                                  <w:pPr>
                                    <w:pStyle w:val="14"/>
                                    <w:spacing w:before="68" w:line="238" w:lineRule="exact"/>
                                    <w:ind w:right="282"/>
                                    <w:jc w:val="right"/>
                                    <w:rPr>
                                      <w:sz w:val="20"/>
                                    </w:rPr>
                                  </w:pPr>
                                  <w:r>
                                    <w:rPr>
                                      <w:w w:val="95"/>
                                      <w:sz w:val="20"/>
                                    </w:rPr>
                                    <w:t>基本假设</w:t>
                                  </w:r>
                                </w:p>
                              </w:tc>
                              <w:tc>
                                <w:tcPr>
                                  <w:tcW w:w="8700" w:type="dxa"/>
                                </w:tcPr>
                                <w:p>
                                  <w:pPr>
                                    <w:pStyle w:val="14"/>
                                    <w:spacing w:before="68" w:line="238" w:lineRule="exact"/>
                                    <w:ind w:left="4328" w:right="3921"/>
                                    <w:jc w:val="center"/>
                                    <w:rPr>
                                      <w:sz w:val="20"/>
                                    </w:rPr>
                                  </w:pPr>
                                  <w:r>
                                    <w:rPr>
                                      <w:sz w:val="20"/>
                                    </w:rPr>
                                    <w:t>考点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6" w:hRule="atLeast"/>
                              </w:trPr>
                              <w:tc>
                                <w:tcPr>
                                  <w:tcW w:w="1383" w:type="dxa"/>
                                </w:tcPr>
                                <w:p>
                                  <w:pPr>
                                    <w:pStyle w:val="14"/>
                                    <w:rPr>
                                      <w:sz w:val="20"/>
                                    </w:rPr>
                                  </w:pPr>
                                </w:p>
                                <w:p>
                                  <w:pPr>
                                    <w:pStyle w:val="14"/>
                                    <w:rPr>
                                      <w:sz w:val="20"/>
                                    </w:rPr>
                                  </w:pPr>
                                </w:p>
                                <w:p>
                                  <w:pPr>
                                    <w:pStyle w:val="14"/>
                                    <w:rPr>
                                      <w:sz w:val="29"/>
                                    </w:rPr>
                                  </w:pPr>
                                </w:p>
                                <w:p>
                                  <w:pPr>
                                    <w:pStyle w:val="14"/>
                                    <w:ind w:right="282"/>
                                    <w:jc w:val="right"/>
                                    <w:rPr>
                                      <w:sz w:val="20"/>
                                    </w:rPr>
                                  </w:pPr>
                                  <w:r>
                                    <w:rPr>
                                      <w:color w:val="FF0000"/>
                                      <w:w w:val="95"/>
                                      <w:sz w:val="20"/>
                                      <w:u w:val="double" w:color="FF0000"/>
                                    </w:rPr>
                                    <w:t>会计主体</w:t>
                                  </w:r>
                                </w:p>
                              </w:tc>
                              <w:tc>
                                <w:tcPr>
                                  <w:tcW w:w="8700" w:type="dxa"/>
                                </w:tcPr>
                                <w:p>
                                  <w:pPr>
                                    <w:pStyle w:val="14"/>
                                    <w:spacing w:before="68" w:line="304" w:lineRule="auto"/>
                                    <w:ind w:left="106" w:right="97" w:firstLine="400"/>
                                    <w:rPr>
                                      <w:sz w:val="20"/>
                                    </w:rPr>
                                  </w:pPr>
                                  <w:r>
                                    <w:rPr>
                                      <w:w w:val="95"/>
                                      <w:sz w:val="20"/>
                                    </w:rPr>
                                    <w:t>1</w:t>
                                  </w:r>
                                  <w:r>
                                    <w:rPr>
                                      <w:spacing w:val="-2"/>
                                      <w:w w:val="95"/>
                                      <w:sz w:val="20"/>
                                    </w:rPr>
                                    <w:t>、会计主体是指会计工作服务的特定</w:t>
                                  </w:r>
                                  <w:r>
                                    <w:rPr>
                                      <w:b/>
                                      <w:color w:val="00AFEF"/>
                                      <w:w w:val="95"/>
                                      <w:sz w:val="20"/>
                                    </w:rPr>
                                    <w:t>对象</w:t>
                                  </w:r>
                                  <w:r>
                                    <w:rPr>
                                      <w:spacing w:val="-3"/>
                                      <w:w w:val="95"/>
                                      <w:sz w:val="20"/>
                                    </w:rPr>
                                    <w:t>，是企业会计确认、计量和报告的</w:t>
                                  </w:r>
                                  <w:r>
                                    <w:rPr>
                                      <w:color w:val="FF0000"/>
                                      <w:w w:val="95"/>
                                      <w:sz w:val="20"/>
                                      <w:u w:val="double" w:color="FF0000"/>
                                    </w:rPr>
                                    <w:t>空间范围</w:t>
                                  </w:r>
                                  <w:r>
                                    <w:rPr>
                                      <w:spacing w:val="-2"/>
                                      <w:w w:val="95"/>
                                      <w:sz w:val="20"/>
                                    </w:rPr>
                                    <w:t xml:space="preserve">，即会   </w:t>
                                  </w:r>
                                  <w:r>
                                    <w:rPr>
                                      <w:spacing w:val="-2"/>
                                      <w:sz w:val="20"/>
                                    </w:rPr>
                                    <w:t>计核算和监督的特定单位；</w:t>
                                  </w:r>
                                </w:p>
                                <w:p>
                                  <w:pPr>
                                    <w:pStyle w:val="14"/>
                                    <w:spacing w:before="2"/>
                                    <w:ind w:left="507"/>
                                    <w:rPr>
                                      <w:sz w:val="20"/>
                                    </w:rPr>
                                  </w:pPr>
                                  <w:r>
                                    <w:rPr>
                                      <w:spacing w:val="1"/>
                                      <w:w w:val="99"/>
                                      <w:sz w:val="20"/>
                                    </w:rPr>
                                    <w:t>2</w:t>
                                  </w:r>
                                  <w:r>
                                    <w:rPr>
                                      <w:w w:val="99"/>
                                      <w:sz w:val="20"/>
                                    </w:rPr>
                                    <w:t>、</w:t>
                                  </w:r>
                                  <w:r>
                                    <w:rPr>
                                      <w:b/>
                                      <w:color w:val="00AFEF"/>
                                      <w:spacing w:val="1"/>
                                      <w:w w:val="99"/>
                                      <w:sz w:val="20"/>
                                      <w:u w:val="single" w:color="00AFEF"/>
                                    </w:rPr>
                                    <w:t>法律主体</w:t>
                                  </w:r>
                                  <w:r>
                                    <w:rPr>
                                      <w:b/>
                                      <w:color w:val="00AFEF"/>
                                      <w:w w:val="99"/>
                                      <w:sz w:val="20"/>
                                      <w:u w:val="single" w:color="00AFEF"/>
                                    </w:rPr>
                                    <w:t>（</w:t>
                                  </w:r>
                                  <w:r>
                                    <w:rPr>
                                      <w:b/>
                                      <w:color w:val="00AFEF"/>
                                      <w:spacing w:val="2"/>
                                      <w:w w:val="99"/>
                                      <w:sz w:val="20"/>
                                      <w:u w:val="single" w:color="00AFEF"/>
                                    </w:rPr>
                                    <w:t>法人</w:t>
                                  </w:r>
                                  <w:r>
                                    <w:rPr>
                                      <w:b/>
                                      <w:color w:val="00AFEF"/>
                                      <w:w w:val="99"/>
                                      <w:sz w:val="20"/>
                                      <w:u w:val="single" w:color="00AFEF"/>
                                    </w:rPr>
                                    <w:t>）可以作为会计主体，但会计主体不一定是法律主体（</w:t>
                                  </w:r>
                                  <w:r>
                                    <w:rPr>
                                      <w:b/>
                                      <w:color w:val="00AFEF"/>
                                      <w:spacing w:val="2"/>
                                      <w:w w:val="99"/>
                                      <w:sz w:val="20"/>
                                      <w:u w:val="single" w:color="00AFEF"/>
                                    </w:rPr>
                                    <w:t>法人</w:t>
                                  </w:r>
                                  <w:r>
                                    <w:rPr>
                                      <w:b/>
                                      <w:color w:val="00AFEF"/>
                                      <w:spacing w:val="-99"/>
                                      <w:w w:val="99"/>
                                      <w:sz w:val="20"/>
                                      <w:u w:val="single" w:color="00AFEF"/>
                                    </w:rPr>
                                    <w:t>）</w:t>
                                  </w:r>
                                  <w:r>
                                    <w:rPr>
                                      <w:w w:val="99"/>
                                      <w:sz w:val="20"/>
                                    </w:rPr>
                                    <w:t>；</w:t>
                                  </w:r>
                                </w:p>
                                <w:p>
                                  <w:pPr>
                                    <w:pStyle w:val="14"/>
                                    <w:spacing w:before="70"/>
                                    <w:ind w:left="507"/>
                                    <w:rPr>
                                      <w:sz w:val="20"/>
                                    </w:rPr>
                                  </w:pPr>
                                  <w:r>
                                    <w:rPr>
                                      <w:sz w:val="20"/>
                                    </w:rPr>
                                    <w:t>3、</w:t>
                                  </w:r>
                                  <w:r>
                                    <w:rPr>
                                      <w:b/>
                                      <w:color w:val="00AFEF"/>
                                      <w:sz w:val="20"/>
                                      <w:u w:val="single" w:color="00AFEF"/>
                                    </w:rPr>
                                    <w:t>企业内部独立核算的部分也可以是会计主体</w:t>
                                  </w:r>
                                  <w:r>
                                    <w:rPr>
                                      <w:sz w:val="20"/>
                                    </w:rPr>
                                    <w:t>；</w:t>
                                  </w:r>
                                </w:p>
                                <w:p>
                                  <w:pPr>
                                    <w:pStyle w:val="14"/>
                                    <w:spacing w:before="70"/>
                                    <w:ind w:left="507"/>
                                    <w:rPr>
                                      <w:sz w:val="20"/>
                                    </w:rPr>
                                  </w:pPr>
                                  <w:r>
                                    <w:rPr>
                                      <w:sz w:val="20"/>
                                    </w:rPr>
                                    <w:t>4、企业集团是会计主体，但不是法律主体；</w:t>
                                  </w:r>
                                </w:p>
                                <w:p>
                                  <w:pPr>
                                    <w:pStyle w:val="14"/>
                                    <w:spacing w:before="70" w:line="236" w:lineRule="exact"/>
                                    <w:ind w:left="507" w:right="-15"/>
                                    <w:rPr>
                                      <w:sz w:val="20"/>
                                    </w:rPr>
                                  </w:pPr>
                                  <w:r>
                                    <w:rPr>
                                      <w:sz w:val="20"/>
                                    </w:rPr>
                                    <w:t>5</w:t>
                                  </w:r>
                                  <w:r>
                                    <w:rPr>
                                      <w:spacing w:val="-11"/>
                                      <w:sz w:val="20"/>
                                    </w:rPr>
                                    <w:t>、母公司、子公司、总公司既是会计主体又是法律主体，分公司是会计主体但不是法律主体。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9" w:hRule="atLeast"/>
                              </w:trPr>
                              <w:tc>
                                <w:tcPr>
                                  <w:tcW w:w="1383" w:type="dxa"/>
                                </w:tcPr>
                                <w:p>
                                  <w:pPr>
                                    <w:pStyle w:val="14"/>
                                    <w:rPr>
                                      <w:sz w:val="20"/>
                                    </w:rPr>
                                  </w:pPr>
                                </w:p>
                                <w:p>
                                  <w:pPr>
                                    <w:pStyle w:val="14"/>
                                    <w:rPr>
                                      <w:sz w:val="20"/>
                                    </w:rPr>
                                  </w:pPr>
                                </w:p>
                                <w:p>
                                  <w:pPr>
                                    <w:pStyle w:val="14"/>
                                    <w:spacing w:before="3"/>
                                    <w:rPr>
                                      <w:sz w:val="16"/>
                                    </w:rPr>
                                  </w:pPr>
                                </w:p>
                                <w:p>
                                  <w:pPr>
                                    <w:pStyle w:val="14"/>
                                    <w:ind w:right="282"/>
                                    <w:jc w:val="right"/>
                                    <w:rPr>
                                      <w:sz w:val="20"/>
                                    </w:rPr>
                                  </w:pPr>
                                  <w:r>
                                    <w:rPr>
                                      <w:color w:val="FF0000"/>
                                      <w:w w:val="95"/>
                                      <w:sz w:val="20"/>
                                      <w:u w:val="double" w:color="FF0000"/>
                                    </w:rPr>
                                    <w:t>持续经营</w:t>
                                  </w:r>
                                </w:p>
                              </w:tc>
                              <w:tc>
                                <w:tcPr>
                                  <w:tcW w:w="8700" w:type="dxa"/>
                                </w:tcPr>
                                <w:p>
                                  <w:pPr>
                                    <w:pStyle w:val="14"/>
                                    <w:spacing w:before="70" w:line="302" w:lineRule="auto"/>
                                    <w:ind w:left="106" w:right="97" w:firstLine="400"/>
                                    <w:rPr>
                                      <w:sz w:val="20"/>
                                    </w:rPr>
                                  </w:pPr>
                                  <w:r>
                                    <w:rPr>
                                      <w:sz w:val="20"/>
                                    </w:rPr>
                                    <w:t>1</w:t>
                                  </w:r>
                                  <w:r>
                                    <w:rPr>
                                      <w:spacing w:val="-5"/>
                                      <w:sz w:val="20"/>
                                    </w:rPr>
                                    <w:t>、在可预见的将来，企业将会按当前的规模和状态持续经营下去，不会停业，也不会大规模削减业务；</w:t>
                                  </w:r>
                                </w:p>
                                <w:p>
                                  <w:pPr>
                                    <w:pStyle w:val="14"/>
                                    <w:spacing w:before="5"/>
                                    <w:ind w:left="507"/>
                                    <w:rPr>
                                      <w:sz w:val="20"/>
                                    </w:rPr>
                                  </w:pPr>
                                  <w:r>
                                    <w:rPr>
                                      <w:sz w:val="20"/>
                                    </w:rPr>
                                    <w:t>2、会计上的一系列处理方法和原则的基础是持续经营；</w:t>
                                  </w:r>
                                </w:p>
                                <w:p>
                                  <w:pPr>
                                    <w:pStyle w:val="14"/>
                                    <w:spacing w:before="70"/>
                                    <w:ind w:left="507"/>
                                    <w:rPr>
                                      <w:sz w:val="20"/>
                                    </w:rPr>
                                  </w:pPr>
                                  <w:r>
                                    <w:rPr>
                                      <w:sz w:val="20"/>
                                    </w:rPr>
                                    <w:t>3、企业一旦</w:t>
                                  </w:r>
                                  <w:r>
                                    <w:rPr>
                                      <w:b/>
                                      <w:color w:val="00AFEF"/>
                                      <w:sz w:val="20"/>
                                      <w:u w:val="single" w:color="00AFEF"/>
                                    </w:rPr>
                                    <w:t>进入清算，就不再适用持续经营，应改按清算会计处理</w:t>
                                  </w:r>
                                  <w:r>
                                    <w:rPr>
                                      <w:sz w:val="20"/>
                                    </w:rPr>
                                    <w:t>；</w:t>
                                  </w:r>
                                </w:p>
                                <w:p>
                                  <w:pPr>
                                    <w:pStyle w:val="14"/>
                                    <w:spacing w:before="70" w:line="237" w:lineRule="exact"/>
                                    <w:ind w:left="507"/>
                                    <w:rPr>
                                      <w:sz w:val="20"/>
                                    </w:rPr>
                                  </w:pPr>
                                  <w:r>
                                    <w:rPr>
                                      <w:sz w:val="20"/>
                                    </w:rPr>
                                    <w:t>4、企业会计确认、计量和报告应以持续经营为前提。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0" w:hRule="atLeast"/>
                              </w:trPr>
                              <w:tc>
                                <w:tcPr>
                                  <w:tcW w:w="1383" w:type="dxa"/>
                                </w:tcPr>
                                <w:p>
                                  <w:pPr>
                                    <w:pStyle w:val="14"/>
                                    <w:rPr>
                                      <w:sz w:val="20"/>
                                    </w:rPr>
                                  </w:pPr>
                                </w:p>
                                <w:p>
                                  <w:pPr>
                                    <w:pStyle w:val="14"/>
                                    <w:rPr>
                                      <w:sz w:val="20"/>
                                    </w:rPr>
                                  </w:pPr>
                                </w:p>
                                <w:p>
                                  <w:pPr>
                                    <w:pStyle w:val="14"/>
                                    <w:spacing w:before="4"/>
                                    <w:rPr>
                                      <w:sz w:val="16"/>
                                    </w:rPr>
                                  </w:pPr>
                                </w:p>
                                <w:p>
                                  <w:pPr>
                                    <w:pStyle w:val="14"/>
                                    <w:ind w:right="282"/>
                                    <w:jc w:val="right"/>
                                    <w:rPr>
                                      <w:sz w:val="20"/>
                                    </w:rPr>
                                  </w:pPr>
                                  <w:r>
                                    <w:rPr>
                                      <w:color w:val="FF0000"/>
                                      <w:w w:val="95"/>
                                      <w:sz w:val="20"/>
                                      <w:u w:val="double" w:color="FF0000"/>
                                    </w:rPr>
                                    <w:t>会计分期</w:t>
                                  </w:r>
                                </w:p>
                              </w:tc>
                              <w:tc>
                                <w:tcPr>
                                  <w:tcW w:w="8700" w:type="dxa"/>
                                </w:tcPr>
                                <w:p>
                                  <w:pPr>
                                    <w:pStyle w:val="14"/>
                                    <w:spacing w:before="69"/>
                                    <w:ind w:left="507"/>
                                    <w:rPr>
                                      <w:sz w:val="20"/>
                                    </w:rPr>
                                  </w:pPr>
                                  <w:r>
                                    <w:rPr>
                                      <w:sz w:val="20"/>
                                    </w:rPr>
                                    <w:t>1、将一个企业持续经营的生产经营活动划分为一个个连续的、长短相同的期间；</w:t>
                                  </w:r>
                                </w:p>
                                <w:p>
                                  <w:pPr>
                                    <w:pStyle w:val="14"/>
                                    <w:spacing w:before="70" w:line="304" w:lineRule="auto"/>
                                    <w:ind w:left="106" w:right="97" w:firstLine="400"/>
                                    <w:rPr>
                                      <w:sz w:val="20"/>
                                    </w:rPr>
                                  </w:pPr>
                                  <w:r>
                                    <w:rPr>
                                      <w:sz w:val="20"/>
                                    </w:rPr>
                                    <w:t>2</w:t>
                                  </w:r>
                                  <w:r>
                                    <w:rPr>
                                      <w:spacing w:val="-3"/>
                                      <w:sz w:val="20"/>
                                    </w:rPr>
                                    <w:t>、分类：</w:t>
                                  </w:r>
                                  <w:r>
                                    <w:rPr>
                                      <w:color w:val="FF0000"/>
                                      <w:spacing w:val="-3"/>
                                      <w:sz w:val="20"/>
                                      <w:u w:val="double" w:color="FF0000"/>
                                    </w:rPr>
                                    <w:t>年度、半年度、季度、月度</w:t>
                                  </w:r>
                                  <w:r>
                                    <w:rPr>
                                      <w:sz w:val="20"/>
                                    </w:rPr>
                                    <w:t>。</w:t>
                                  </w:r>
                                  <w:r>
                                    <w:rPr>
                                      <w:color w:val="FF0000"/>
                                      <w:spacing w:val="-6"/>
                                      <w:sz w:val="20"/>
                                      <w:u w:val="double" w:color="FF0000"/>
                                    </w:rPr>
                                    <w:t xml:space="preserve">年度期间是从每年 </w:t>
                                  </w:r>
                                  <w:r>
                                    <w:rPr>
                                      <w:color w:val="FF0000"/>
                                      <w:sz w:val="20"/>
                                      <w:u w:val="double" w:color="FF0000"/>
                                    </w:rPr>
                                    <w:t>1</w:t>
                                  </w:r>
                                  <w:r>
                                    <w:rPr>
                                      <w:color w:val="FF0000"/>
                                      <w:spacing w:val="-35"/>
                                      <w:sz w:val="20"/>
                                      <w:u w:val="double" w:color="FF0000"/>
                                    </w:rPr>
                                    <w:t xml:space="preserve"> 月 </w:t>
                                  </w:r>
                                  <w:r>
                                    <w:rPr>
                                      <w:color w:val="FF0000"/>
                                      <w:sz w:val="20"/>
                                      <w:u w:val="double" w:color="FF0000"/>
                                    </w:rPr>
                                    <w:t>1</w:t>
                                  </w:r>
                                  <w:r>
                                    <w:rPr>
                                      <w:color w:val="FF0000"/>
                                      <w:spacing w:val="-26"/>
                                      <w:sz w:val="20"/>
                                      <w:u w:val="double" w:color="FF0000"/>
                                    </w:rPr>
                                    <w:t xml:space="preserve"> 日到 </w:t>
                                  </w:r>
                                  <w:r>
                                    <w:rPr>
                                      <w:color w:val="FF0000"/>
                                      <w:sz w:val="20"/>
                                      <w:u w:val="double" w:color="FF0000"/>
                                    </w:rPr>
                                    <w:t>12</w:t>
                                  </w:r>
                                  <w:r>
                                    <w:rPr>
                                      <w:color w:val="FF0000"/>
                                      <w:spacing w:val="-36"/>
                                      <w:sz w:val="20"/>
                                      <w:u w:val="double" w:color="FF0000"/>
                                    </w:rPr>
                                    <w:t xml:space="preserve"> 月 </w:t>
                                  </w:r>
                                  <w:r>
                                    <w:rPr>
                                      <w:color w:val="FF0000"/>
                                      <w:sz w:val="20"/>
                                      <w:u w:val="double" w:color="FF0000"/>
                                    </w:rPr>
                                    <w:t>31</w:t>
                                  </w:r>
                                  <w:r>
                                    <w:rPr>
                                      <w:color w:val="FF0000"/>
                                      <w:spacing w:val="-27"/>
                                      <w:sz w:val="20"/>
                                      <w:u w:val="double" w:color="FF0000"/>
                                    </w:rPr>
                                    <w:t xml:space="preserve"> 日</w:t>
                                  </w:r>
                                  <w:r>
                                    <w:rPr>
                                      <w:spacing w:val="-2"/>
                                      <w:sz w:val="20"/>
                                    </w:rPr>
                                    <w:t>，短于一年的称为中期；</w:t>
                                  </w:r>
                                </w:p>
                                <w:p>
                                  <w:pPr>
                                    <w:pStyle w:val="14"/>
                                    <w:spacing w:line="256" w:lineRule="exact"/>
                                    <w:ind w:left="507"/>
                                    <w:rPr>
                                      <w:b/>
                                      <w:sz w:val="20"/>
                                    </w:rPr>
                                  </w:pPr>
                                  <w:r>
                                    <w:rPr>
                                      <w:sz w:val="20"/>
                                    </w:rPr>
                                    <w:t>3、由于有了会计分期，才产生了</w:t>
                                  </w:r>
                                  <w:r>
                                    <w:rPr>
                                      <w:b/>
                                      <w:color w:val="00AFEF"/>
                                      <w:sz w:val="20"/>
                                      <w:u w:val="single" w:color="00AFEF"/>
                                    </w:rPr>
                                    <w:t>本期与非本期</w:t>
                                  </w:r>
                                  <w:r>
                                    <w:rPr>
                                      <w:sz w:val="20"/>
                                    </w:rPr>
                                    <w:t>的区别，</w:t>
                                  </w:r>
                                  <w:r>
                                    <w:rPr>
                                      <w:b/>
                                      <w:color w:val="00AFEF"/>
                                      <w:sz w:val="20"/>
                                      <w:u w:val="single" w:color="00AFEF"/>
                                    </w:rPr>
                                    <w:t>从而出现权责发生制和收付实现制的</w:t>
                                  </w:r>
                                </w:p>
                                <w:p>
                                  <w:pPr>
                                    <w:pStyle w:val="14"/>
                                    <w:spacing w:before="70" w:line="237" w:lineRule="exact"/>
                                    <w:ind w:left="106"/>
                                    <w:rPr>
                                      <w:sz w:val="20"/>
                                    </w:rPr>
                                  </w:pPr>
                                  <w:r>
                                    <w:rPr>
                                      <w:b/>
                                      <w:color w:val="00AFEF"/>
                                      <w:sz w:val="20"/>
                                    </w:rPr>
                                    <w:t>区别</w:t>
                                  </w:r>
                                  <w:r>
                                    <w:rPr>
                                      <w:sz w:val="20"/>
                                    </w:rPr>
                                    <w:t>，进而又需要在会计的处理方法上运用预收、预付、应收、应付等一些特殊的会计方法。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383" w:type="dxa"/>
                                </w:tcPr>
                                <w:p>
                                  <w:pPr>
                                    <w:pStyle w:val="14"/>
                                    <w:rPr>
                                      <w:sz w:val="20"/>
                                    </w:rPr>
                                  </w:pPr>
                                </w:p>
                                <w:p>
                                  <w:pPr>
                                    <w:pStyle w:val="14"/>
                                    <w:spacing w:before="138"/>
                                    <w:ind w:right="282"/>
                                    <w:jc w:val="right"/>
                                    <w:rPr>
                                      <w:sz w:val="20"/>
                                    </w:rPr>
                                  </w:pPr>
                                  <w:r>
                                    <w:rPr>
                                      <w:color w:val="FF0000"/>
                                      <w:w w:val="95"/>
                                      <w:sz w:val="20"/>
                                      <w:u w:val="double" w:color="FF0000"/>
                                    </w:rPr>
                                    <w:t>货币计量</w:t>
                                  </w:r>
                                </w:p>
                              </w:tc>
                              <w:tc>
                                <w:tcPr>
                                  <w:tcW w:w="8700" w:type="dxa"/>
                                </w:tcPr>
                                <w:p>
                                  <w:pPr>
                                    <w:pStyle w:val="14"/>
                                    <w:spacing w:before="68"/>
                                    <w:ind w:left="507"/>
                                    <w:rPr>
                                      <w:sz w:val="20"/>
                                    </w:rPr>
                                  </w:pPr>
                                  <w:r>
                                    <w:rPr>
                                      <w:sz w:val="20"/>
                                    </w:rPr>
                                    <w:t>1、会计主体在确认、计量和报告时以货币计量，反映会计主体的生产经营活动；</w:t>
                                  </w:r>
                                </w:p>
                                <w:p>
                                  <w:pPr>
                                    <w:pStyle w:val="14"/>
                                    <w:spacing w:before="7" w:line="320" w:lineRule="atLeast"/>
                                    <w:ind w:left="106" w:right="97" w:firstLine="400"/>
                                    <w:rPr>
                                      <w:sz w:val="20"/>
                                    </w:rPr>
                                  </w:pPr>
                                  <w:r>
                                    <w:rPr>
                                      <w:w w:val="95"/>
                                      <w:sz w:val="20"/>
                                    </w:rPr>
                                    <w:t>2</w:t>
                                  </w:r>
                                  <w:r>
                                    <w:rPr>
                                      <w:spacing w:val="-4"/>
                                      <w:w w:val="95"/>
                                      <w:sz w:val="20"/>
                                    </w:rPr>
                                    <w:t xml:space="preserve">、业务收支以外币为主的单位可选择一种外币为记账本位币，但财务报告应当折算为人民币   </w:t>
                                  </w:r>
                                  <w:r>
                                    <w:rPr>
                                      <w:spacing w:val="-36"/>
                                      <w:sz w:val="20"/>
                                    </w:rPr>
                                    <w:t>反映。</w:t>
                                  </w:r>
                                  <w:r>
                                    <w:rPr>
                                      <w:sz w:val="20"/>
                                    </w:rPr>
                                    <w:t>（不管记账用什么，财报一定是人民币）</w:t>
                                  </w:r>
                                </w:p>
                              </w:tc>
                            </w:tr>
                          </w:tbl>
                          <w:p>
                            <w:pPr>
                              <w:pStyle w:val="6"/>
                              <w:spacing w:before="0"/>
                              <w:ind w:left="0"/>
                            </w:pPr>
                          </w:p>
                        </w:txbxContent>
                      </wps:txbx>
                      <wps:bodyPr lIns="0" tIns="0" rIns="0" bIns="0" upright="1"/>
                    </wps:wsp>
                  </a:graphicData>
                </a:graphic>
              </wp:anchor>
            </w:drawing>
          </mc:Choice>
          <mc:Fallback>
            <w:pict>
              <v:shape id="文本框 9" o:spid="_x0000_s1026" o:spt="202" type="#_x0000_t202" style="position:absolute;left:0pt;margin-left:48.5pt;margin-top:33.7pt;height:329pt;width:504.9pt;mso-position-horizontal-relative:page;z-index:15733760;mso-width-relative:page;mso-height-relative:page;" filled="f" stroked="f" coordsize="21600,21600" o:gfxdata="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c+PDadkAAAAKAQAADwAAAAAA&#10;AAABACAAAAAiAAAAZHJzL2Rvd25yZXYueG1sUEsBAhQAFAAAAAgAh07iQDLLQ56gAQAAJQMAAA4A&#10;AAAAAAAAAQAgAAAAKAEAAGRycy9lMm9Eb2MueG1sUEsFBgAAAAAGAAYAWQEAADo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3"/>
                        <w:gridCol w:w="8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83" w:type="dxa"/>
                          </w:tcPr>
                          <w:p>
                            <w:pPr>
                              <w:pStyle w:val="14"/>
                              <w:spacing w:before="68" w:line="238" w:lineRule="exact"/>
                              <w:ind w:right="282"/>
                              <w:jc w:val="right"/>
                              <w:rPr>
                                <w:sz w:val="20"/>
                              </w:rPr>
                            </w:pPr>
                            <w:r>
                              <w:rPr>
                                <w:w w:val="95"/>
                                <w:sz w:val="20"/>
                              </w:rPr>
                              <w:t>基本假设</w:t>
                            </w:r>
                          </w:p>
                        </w:tc>
                        <w:tc>
                          <w:tcPr>
                            <w:tcW w:w="8700" w:type="dxa"/>
                          </w:tcPr>
                          <w:p>
                            <w:pPr>
                              <w:pStyle w:val="14"/>
                              <w:spacing w:before="68" w:line="238" w:lineRule="exact"/>
                              <w:ind w:left="4328" w:right="3921"/>
                              <w:jc w:val="center"/>
                              <w:rPr>
                                <w:sz w:val="20"/>
                              </w:rPr>
                            </w:pPr>
                            <w:r>
                              <w:rPr>
                                <w:sz w:val="20"/>
                              </w:rPr>
                              <w:t>考点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6" w:hRule="atLeast"/>
                        </w:trPr>
                        <w:tc>
                          <w:tcPr>
                            <w:tcW w:w="1383" w:type="dxa"/>
                          </w:tcPr>
                          <w:p>
                            <w:pPr>
                              <w:pStyle w:val="14"/>
                              <w:rPr>
                                <w:sz w:val="20"/>
                              </w:rPr>
                            </w:pPr>
                          </w:p>
                          <w:p>
                            <w:pPr>
                              <w:pStyle w:val="14"/>
                              <w:rPr>
                                <w:sz w:val="20"/>
                              </w:rPr>
                            </w:pPr>
                          </w:p>
                          <w:p>
                            <w:pPr>
                              <w:pStyle w:val="14"/>
                              <w:rPr>
                                <w:sz w:val="29"/>
                              </w:rPr>
                            </w:pPr>
                          </w:p>
                          <w:p>
                            <w:pPr>
                              <w:pStyle w:val="14"/>
                              <w:ind w:right="282"/>
                              <w:jc w:val="right"/>
                              <w:rPr>
                                <w:sz w:val="20"/>
                              </w:rPr>
                            </w:pPr>
                            <w:r>
                              <w:rPr>
                                <w:color w:val="FF0000"/>
                                <w:w w:val="95"/>
                                <w:sz w:val="20"/>
                                <w:u w:val="double" w:color="FF0000"/>
                              </w:rPr>
                              <w:t>会计主体</w:t>
                            </w:r>
                          </w:p>
                        </w:tc>
                        <w:tc>
                          <w:tcPr>
                            <w:tcW w:w="8700" w:type="dxa"/>
                          </w:tcPr>
                          <w:p>
                            <w:pPr>
                              <w:pStyle w:val="14"/>
                              <w:spacing w:before="68" w:line="304" w:lineRule="auto"/>
                              <w:ind w:left="106" w:right="97" w:firstLine="400"/>
                              <w:rPr>
                                <w:sz w:val="20"/>
                              </w:rPr>
                            </w:pPr>
                            <w:r>
                              <w:rPr>
                                <w:w w:val="95"/>
                                <w:sz w:val="20"/>
                              </w:rPr>
                              <w:t>1</w:t>
                            </w:r>
                            <w:r>
                              <w:rPr>
                                <w:spacing w:val="-2"/>
                                <w:w w:val="95"/>
                                <w:sz w:val="20"/>
                              </w:rPr>
                              <w:t>、会计主体是指会计工作服务的特定</w:t>
                            </w:r>
                            <w:r>
                              <w:rPr>
                                <w:b/>
                                <w:color w:val="00AFEF"/>
                                <w:w w:val="95"/>
                                <w:sz w:val="20"/>
                              </w:rPr>
                              <w:t>对象</w:t>
                            </w:r>
                            <w:r>
                              <w:rPr>
                                <w:spacing w:val="-3"/>
                                <w:w w:val="95"/>
                                <w:sz w:val="20"/>
                              </w:rPr>
                              <w:t>，是企业会计确认、计量和报告的</w:t>
                            </w:r>
                            <w:r>
                              <w:rPr>
                                <w:color w:val="FF0000"/>
                                <w:w w:val="95"/>
                                <w:sz w:val="20"/>
                                <w:u w:val="double" w:color="FF0000"/>
                              </w:rPr>
                              <w:t>空间范围</w:t>
                            </w:r>
                            <w:r>
                              <w:rPr>
                                <w:spacing w:val="-2"/>
                                <w:w w:val="95"/>
                                <w:sz w:val="20"/>
                              </w:rPr>
                              <w:t xml:space="preserve">，即会   </w:t>
                            </w:r>
                            <w:r>
                              <w:rPr>
                                <w:spacing w:val="-2"/>
                                <w:sz w:val="20"/>
                              </w:rPr>
                              <w:t>计核算和监督的特定单位；</w:t>
                            </w:r>
                          </w:p>
                          <w:p>
                            <w:pPr>
                              <w:pStyle w:val="14"/>
                              <w:spacing w:before="2"/>
                              <w:ind w:left="507"/>
                              <w:rPr>
                                <w:sz w:val="20"/>
                              </w:rPr>
                            </w:pPr>
                            <w:r>
                              <w:rPr>
                                <w:spacing w:val="1"/>
                                <w:w w:val="99"/>
                                <w:sz w:val="20"/>
                              </w:rPr>
                              <w:t>2</w:t>
                            </w:r>
                            <w:r>
                              <w:rPr>
                                <w:w w:val="99"/>
                                <w:sz w:val="20"/>
                              </w:rPr>
                              <w:t>、</w:t>
                            </w:r>
                            <w:r>
                              <w:rPr>
                                <w:b/>
                                <w:color w:val="00AFEF"/>
                                <w:spacing w:val="1"/>
                                <w:w w:val="99"/>
                                <w:sz w:val="20"/>
                                <w:u w:val="single" w:color="00AFEF"/>
                              </w:rPr>
                              <w:t>法律主体</w:t>
                            </w:r>
                            <w:r>
                              <w:rPr>
                                <w:b/>
                                <w:color w:val="00AFEF"/>
                                <w:w w:val="99"/>
                                <w:sz w:val="20"/>
                                <w:u w:val="single" w:color="00AFEF"/>
                              </w:rPr>
                              <w:t>（</w:t>
                            </w:r>
                            <w:r>
                              <w:rPr>
                                <w:b/>
                                <w:color w:val="00AFEF"/>
                                <w:spacing w:val="2"/>
                                <w:w w:val="99"/>
                                <w:sz w:val="20"/>
                                <w:u w:val="single" w:color="00AFEF"/>
                              </w:rPr>
                              <w:t>法人</w:t>
                            </w:r>
                            <w:r>
                              <w:rPr>
                                <w:b/>
                                <w:color w:val="00AFEF"/>
                                <w:w w:val="99"/>
                                <w:sz w:val="20"/>
                                <w:u w:val="single" w:color="00AFEF"/>
                              </w:rPr>
                              <w:t>）可以作为会计主体，但会计主体不一定是法律主体（</w:t>
                            </w:r>
                            <w:r>
                              <w:rPr>
                                <w:b/>
                                <w:color w:val="00AFEF"/>
                                <w:spacing w:val="2"/>
                                <w:w w:val="99"/>
                                <w:sz w:val="20"/>
                                <w:u w:val="single" w:color="00AFEF"/>
                              </w:rPr>
                              <w:t>法人</w:t>
                            </w:r>
                            <w:r>
                              <w:rPr>
                                <w:b/>
                                <w:color w:val="00AFEF"/>
                                <w:spacing w:val="-99"/>
                                <w:w w:val="99"/>
                                <w:sz w:val="20"/>
                                <w:u w:val="single" w:color="00AFEF"/>
                              </w:rPr>
                              <w:t>）</w:t>
                            </w:r>
                            <w:r>
                              <w:rPr>
                                <w:w w:val="99"/>
                                <w:sz w:val="20"/>
                              </w:rPr>
                              <w:t>；</w:t>
                            </w:r>
                          </w:p>
                          <w:p>
                            <w:pPr>
                              <w:pStyle w:val="14"/>
                              <w:spacing w:before="70"/>
                              <w:ind w:left="507"/>
                              <w:rPr>
                                <w:sz w:val="20"/>
                              </w:rPr>
                            </w:pPr>
                            <w:r>
                              <w:rPr>
                                <w:sz w:val="20"/>
                              </w:rPr>
                              <w:t>3、</w:t>
                            </w:r>
                            <w:r>
                              <w:rPr>
                                <w:b/>
                                <w:color w:val="00AFEF"/>
                                <w:sz w:val="20"/>
                                <w:u w:val="single" w:color="00AFEF"/>
                              </w:rPr>
                              <w:t>企业内部独立核算的部分也可以是会计主体</w:t>
                            </w:r>
                            <w:r>
                              <w:rPr>
                                <w:sz w:val="20"/>
                              </w:rPr>
                              <w:t>；</w:t>
                            </w:r>
                          </w:p>
                          <w:p>
                            <w:pPr>
                              <w:pStyle w:val="14"/>
                              <w:spacing w:before="70"/>
                              <w:ind w:left="507"/>
                              <w:rPr>
                                <w:sz w:val="20"/>
                              </w:rPr>
                            </w:pPr>
                            <w:r>
                              <w:rPr>
                                <w:sz w:val="20"/>
                              </w:rPr>
                              <w:t>4、企业集团是会计主体，但不是法律主体；</w:t>
                            </w:r>
                          </w:p>
                          <w:p>
                            <w:pPr>
                              <w:pStyle w:val="14"/>
                              <w:spacing w:before="70" w:line="236" w:lineRule="exact"/>
                              <w:ind w:left="507" w:right="-15"/>
                              <w:rPr>
                                <w:sz w:val="20"/>
                              </w:rPr>
                            </w:pPr>
                            <w:r>
                              <w:rPr>
                                <w:sz w:val="20"/>
                              </w:rPr>
                              <w:t>5</w:t>
                            </w:r>
                            <w:r>
                              <w:rPr>
                                <w:spacing w:val="-11"/>
                                <w:sz w:val="20"/>
                              </w:rPr>
                              <w:t>、母公司、子公司、总公司既是会计主体又是法律主体，分公司是会计主体但不是法律主体。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9" w:hRule="atLeast"/>
                        </w:trPr>
                        <w:tc>
                          <w:tcPr>
                            <w:tcW w:w="1383" w:type="dxa"/>
                          </w:tcPr>
                          <w:p>
                            <w:pPr>
                              <w:pStyle w:val="14"/>
                              <w:rPr>
                                <w:sz w:val="20"/>
                              </w:rPr>
                            </w:pPr>
                          </w:p>
                          <w:p>
                            <w:pPr>
                              <w:pStyle w:val="14"/>
                              <w:rPr>
                                <w:sz w:val="20"/>
                              </w:rPr>
                            </w:pPr>
                          </w:p>
                          <w:p>
                            <w:pPr>
                              <w:pStyle w:val="14"/>
                              <w:spacing w:before="3"/>
                              <w:rPr>
                                <w:sz w:val="16"/>
                              </w:rPr>
                            </w:pPr>
                          </w:p>
                          <w:p>
                            <w:pPr>
                              <w:pStyle w:val="14"/>
                              <w:ind w:right="282"/>
                              <w:jc w:val="right"/>
                              <w:rPr>
                                <w:sz w:val="20"/>
                              </w:rPr>
                            </w:pPr>
                            <w:r>
                              <w:rPr>
                                <w:color w:val="FF0000"/>
                                <w:w w:val="95"/>
                                <w:sz w:val="20"/>
                                <w:u w:val="double" w:color="FF0000"/>
                              </w:rPr>
                              <w:t>持续经营</w:t>
                            </w:r>
                          </w:p>
                        </w:tc>
                        <w:tc>
                          <w:tcPr>
                            <w:tcW w:w="8700" w:type="dxa"/>
                          </w:tcPr>
                          <w:p>
                            <w:pPr>
                              <w:pStyle w:val="14"/>
                              <w:spacing w:before="70" w:line="302" w:lineRule="auto"/>
                              <w:ind w:left="106" w:right="97" w:firstLine="400"/>
                              <w:rPr>
                                <w:sz w:val="20"/>
                              </w:rPr>
                            </w:pPr>
                            <w:r>
                              <w:rPr>
                                <w:sz w:val="20"/>
                              </w:rPr>
                              <w:t>1</w:t>
                            </w:r>
                            <w:r>
                              <w:rPr>
                                <w:spacing w:val="-5"/>
                                <w:sz w:val="20"/>
                              </w:rPr>
                              <w:t>、在可预见的将来，企业将会按当前的规模和状态持续经营下去，不会停业，也不会大规模削减业务；</w:t>
                            </w:r>
                          </w:p>
                          <w:p>
                            <w:pPr>
                              <w:pStyle w:val="14"/>
                              <w:spacing w:before="5"/>
                              <w:ind w:left="507"/>
                              <w:rPr>
                                <w:sz w:val="20"/>
                              </w:rPr>
                            </w:pPr>
                            <w:r>
                              <w:rPr>
                                <w:sz w:val="20"/>
                              </w:rPr>
                              <w:t>2、会计上的一系列处理方法和原则的基础是持续经营；</w:t>
                            </w:r>
                          </w:p>
                          <w:p>
                            <w:pPr>
                              <w:pStyle w:val="14"/>
                              <w:spacing w:before="70"/>
                              <w:ind w:left="507"/>
                              <w:rPr>
                                <w:sz w:val="20"/>
                              </w:rPr>
                            </w:pPr>
                            <w:r>
                              <w:rPr>
                                <w:sz w:val="20"/>
                              </w:rPr>
                              <w:t>3、企业一旦</w:t>
                            </w:r>
                            <w:r>
                              <w:rPr>
                                <w:b/>
                                <w:color w:val="00AFEF"/>
                                <w:sz w:val="20"/>
                                <w:u w:val="single" w:color="00AFEF"/>
                              </w:rPr>
                              <w:t>进入清算，就不再适用持续经营，应改按清算会计处理</w:t>
                            </w:r>
                            <w:r>
                              <w:rPr>
                                <w:sz w:val="20"/>
                              </w:rPr>
                              <w:t>；</w:t>
                            </w:r>
                          </w:p>
                          <w:p>
                            <w:pPr>
                              <w:pStyle w:val="14"/>
                              <w:spacing w:before="70" w:line="237" w:lineRule="exact"/>
                              <w:ind w:left="507"/>
                              <w:rPr>
                                <w:sz w:val="20"/>
                              </w:rPr>
                            </w:pPr>
                            <w:r>
                              <w:rPr>
                                <w:sz w:val="20"/>
                              </w:rPr>
                              <w:t>4、企业会计确认、计量和报告应以持续经营为前提。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0" w:hRule="atLeast"/>
                        </w:trPr>
                        <w:tc>
                          <w:tcPr>
                            <w:tcW w:w="1383" w:type="dxa"/>
                          </w:tcPr>
                          <w:p>
                            <w:pPr>
                              <w:pStyle w:val="14"/>
                              <w:rPr>
                                <w:sz w:val="20"/>
                              </w:rPr>
                            </w:pPr>
                          </w:p>
                          <w:p>
                            <w:pPr>
                              <w:pStyle w:val="14"/>
                              <w:rPr>
                                <w:sz w:val="20"/>
                              </w:rPr>
                            </w:pPr>
                          </w:p>
                          <w:p>
                            <w:pPr>
                              <w:pStyle w:val="14"/>
                              <w:spacing w:before="4"/>
                              <w:rPr>
                                <w:sz w:val="16"/>
                              </w:rPr>
                            </w:pPr>
                          </w:p>
                          <w:p>
                            <w:pPr>
                              <w:pStyle w:val="14"/>
                              <w:ind w:right="282"/>
                              <w:jc w:val="right"/>
                              <w:rPr>
                                <w:sz w:val="20"/>
                              </w:rPr>
                            </w:pPr>
                            <w:r>
                              <w:rPr>
                                <w:color w:val="FF0000"/>
                                <w:w w:val="95"/>
                                <w:sz w:val="20"/>
                                <w:u w:val="double" w:color="FF0000"/>
                              </w:rPr>
                              <w:t>会计分期</w:t>
                            </w:r>
                          </w:p>
                        </w:tc>
                        <w:tc>
                          <w:tcPr>
                            <w:tcW w:w="8700" w:type="dxa"/>
                          </w:tcPr>
                          <w:p>
                            <w:pPr>
                              <w:pStyle w:val="14"/>
                              <w:spacing w:before="69"/>
                              <w:ind w:left="507"/>
                              <w:rPr>
                                <w:sz w:val="20"/>
                              </w:rPr>
                            </w:pPr>
                            <w:r>
                              <w:rPr>
                                <w:sz w:val="20"/>
                              </w:rPr>
                              <w:t>1、将一个企业持续经营的生产经营活动划分为一个个连续的、长短相同的期间；</w:t>
                            </w:r>
                          </w:p>
                          <w:p>
                            <w:pPr>
                              <w:pStyle w:val="14"/>
                              <w:spacing w:before="70" w:line="304" w:lineRule="auto"/>
                              <w:ind w:left="106" w:right="97" w:firstLine="400"/>
                              <w:rPr>
                                <w:sz w:val="20"/>
                              </w:rPr>
                            </w:pPr>
                            <w:r>
                              <w:rPr>
                                <w:sz w:val="20"/>
                              </w:rPr>
                              <w:t>2</w:t>
                            </w:r>
                            <w:r>
                              <w:rPr>
                                <w:spacing w:val="-3"/>
                                <w:sz w:val="20"/>
                              </w:rPr>
                              <w:t>、分类：</w:t>
                            </w:r>
                            <w:r>
                              <w:rPr>
                                <w:color w:val="FF0000"/>
                                <w:spacing w:val="-3"/>
                                <w:sz w:val="20"/>
                                <w:u w:val="double" w:color="FF0000"/>
                              </w:rPr>
                              <w:t>年度、半年度、季度、月度</w:t>
                            </w:r>
                            <w:r>
                              <w:rPr>
                                <w:sz w:val="20"/>
                              </w:rPr>
                              <w:t>。</w:t>
                            </w:r>
                            <w:r>
                              <w:rPr>
                                <w:color w:val="FF0000"/>
                                <w:spacing w:val="-6"/>
                                <w:sz w:val="20"/>
                                <w:u w:val="double" w:color="FF0000"/>
                              </w:rPr>
                              <w:t xml:space="preserve">年度期间是从每年 </w:t>
                            </w:r>
                            <w:r>
                              <w:rPr>
                                <w:color w:val="FF0000"/>
                                <w:sz w:val="20"/>
                                <w:u w:val="double" w:color="FF0000"/>
                              </w:rPr>
                              <w:t>1</w:t>
                            </w:r>
                            <w:r>
                              <w:rPr>
                                <w:color w:val="FF0000"/>
                                <w:spacing w:val="-35"/>
                                <w:sz w:val="20"/>
                                <w:u w:val="double" w:color="FF0000"/>
                              </w:rPr>
                              <w:t xml:space="preserve"> 月 </w:t>
                            </w:r>
                            <w:r>
                              <w:rPr>
                                <w:color w:val="FF0000"/>
                                <w:sz w:val="20"/>
                                <w:u w:val="double" w:color="FF0000"/>
                              </w:rPr>
                              <w:t>1</w:t>
                            </w:r>
                            <w:r>
                              <w:rPr>
                                <w:color w:val="FF0000"/>
                                <w:spacing w:val="-26"/>
                                <w:sz w:val="20"/>
                                <w:u w:val="double" w:color="FF0000"/>
                              </w:rPr>
                              <w:t xml:space="preserve"> 日到 </w:t>
                            </w:r>
                            <w:r>
                              <w:rPr>
                                <w:color w:val="FF0000"/>
                                <w:sz w:val="20"/>
                                <w:u w:val="double" w:color="FF0000"/>
                              </w:rPr>
                              <w:t>12</w:t>
                            </w:r>
                            <w:r>
                              <w:rPr>
                                <w:color w:val="FF0000"/>
                                <w:spacing w:val="-36"/>
                                <w:sz w:val="20"/>
                                <w:u w:val="double" w:color="FF0000"/>
                              </w:rPr>
                              <w:t xml:space="preserve"> 月 </w:t>
                            </w:r>
                            <w:r>
                              <w:rPr>
                                <w:color w:val="FF0000"/>
                                <w:sz w:val="20"/>
                                <w:u w:val="double" w:color="FF0000"/>
                              </w:rPr>
                              <w:t>31</w:t>
                            </w:r>
                            <w:r>
                              <w:rPr>
                                <w:color w:val="FF0000"/>
                                <w:spacing w:val="-27"/>
                                <w:sz w:val="20"/>
                                <w:u w:val="double" w:color="FF0000"/>
                              </w:rPr>
                              <w:t xml:space="preserve"> 日</w:t>
                            </w:r>
                            <w:r>
                              <w:rPr>
                                <w:spacing w:val="-2"/>
                                <w:sz w:val="20"/>
                              </w:rPr>
                              <w:t>，短于一年的称为中期；</w:t>
                            </w:r>
                          </w:p>
                          <w:p>
                            <w:pPr>
                              <w:pStyle w:val="14"/>
                              <w:spacing w:line="256" w:lineRule="exact"/>
                              <w:ind w:left="507"/>
                              <w:rPr>
                                <w:b/>
                                <w:sz w:val="20"/>
                              </w:rPr>
                            </w:pPr>
                            <w:r>
                              <w:rPr>
                                <w:sz w:val="20"/>
                              </w:rPr>
                              <w:t>3、由于有了会计分期，才产生了</w:t>
                            </w:r>
                            <w:r>
                              <w:rPr>
                                <w:b/>
                                <w:color w:val="00AFEF"/>
                                <w:sz w:val="20"/>
                                <w:u w:val="single" w:color="00AFEF"/>
                              </w:rPr>
                              <w:t>本期与非本期</w:t>
                            </w:r>
                            <w:r>
                              <w:rPr>
                                <w:sz w:val="20"/>
                              </w:rPr>
                              <w:t>的区别，</w:t>
                            </w:r>
                            <w:r>
                              <w:rPr>
                                <w:b/>
                                <w:color w:val="00AFEF"/>
                                <w:sz w:val="20"/>
                                <w:u w:val="single" w:color="00AFEF"/>
                              </w:rPr>
                              <w:t>从而出现权责发生制和收付实现制的</w:t>
                            </w:r>
                          </w:p>
                          <w:p>
                            <w:pPr>
                              <w:pStyle w:val="14"/>
                              <w:spacing w:before="70" w:line="237" w:lineRule="exact"/>
                              <w:ind w:left="106"/>
                              <w:rPr>
                                <w:sz w:val="20"/>
                              </w:rPr>
                            </w:pPr>
                            <w:r>
                              <w:rPr>
                                <w:b/>
                                <w:color w:val="00AFEF"/>
                                <w:sz w:val="20"/>
                              </w:rPr>
                              <w:t>区别</w:t>
                            </w:r>
                            <w:r>
                              <w:rPr>
                                <w:sz w:val="20"/>
                              </w:rPr>
                              <w:t>，进而又需要在会计的处理方法上运用预收、预付、应收、应付等一些特殊的会计方法。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383" w:type="dxa"/>
                          </w:tcPr>
                          <w:p>
                            <w:pPr>
                              <w:pStyle w:val="14"/>
                              <w:rPr>
                                <w:sz w:val="20"/>
                              </w:rPr>
                            </w:pPr>
                          </w:p>
                          <w:p>
                            <w:pPr>
                              <w:pStyle w:val="14"/>
                              <w:spacing w:before="138"/>
                              <w:ind w:right="282"/>
                              <w:jc w:val="right"/>
                              <w:rPr>
                                <w:sz w:val="20"/>
                              </w:rPr>
                            </w:pPr>
                            <w:r>
                              <w:rPr>
                                <w:color w:val="FF0000"/>
                                <w:w w:val="95"/>
                                <w:sz w:val="20"/>
                                <w:u w:val="double" w:color="FF0000"/>
                              </w:rPr>
                              <w:t>货币计量</w:t>
                            </w:r>
                          </w:p>
                        </w:tc>
                        <w:tc>
                          <w:tcPr>
                            <w:tcW w:w="8700" w:type="dxa"/>
                          </w:tcPr>
                          <w:p>
                            <w:pPr>
                              <w:pStyle w:val="14"/>
                              <w:spacing w:before="68"/>
                              <w:ind w:left="507"/>
                              <w:rPr>
                                <w:sz w:val="20"/>
                              </w:rPr>
                            </w:pPr>
                            <w:r>
                              <w:rPr>
                                <w:sz w:val="20"/>
                              </w:rPr>
                              <w:t>1、会计主体在确认、计量和报告时以货币计量，反映会计主体的生产经营活动；</w:t>
                            </w:r>
                          </w:p>
                          <w:p>
                            <w:pPr>
                              <w:pStyle w:val="14"/>
                              <w:spacing w:before="7" w:line="320" w:lineRule="atLeast"/>
                              <w:ind w:left="106" w:right="97" w:firstLine="400"/>
                              <w:rPr>
                                <w:sz w:val="20"/>
                              </w:rPr>
                            </w:pPr>
                            <w:r>
                              <w:rPr>
                                <w:w w:val="95"/>
                                <w:sz w:val="20"/>
                              </w:rPr>
                              <w:t>2</w:t>
                            </w:r>
                            <w:r>
                              <w:rPr>
                                <w:spacing w:val="-4"/>
                                <w:w w:val="95"/>
                                <w:sz w:val="20"/>
                              </w:rPr>
                              <w:t xml:space="preserve">、业务收支以外币为主的单位可选择一种外币为记账本位币，但财务报告应当折算为人民币   </w:t>
                            </w:r>
                            <w:r>
                              <w:rPr>
                                <w:spacing w:val="-36"/>
                                <w:sz w:val="20"/>
                              </w:rPr>
                              <w:t>反映。</w:t>
                            </w:r>
                            <w:r>
                              <w:rPr>
                                <w:sz w:val="20"/>
                              </w:rPr>
                              <w:t>（不管记账用什么，财报一定是人民币）</w:t>
                            </w:r>
                          </w:p>
                        </w:tc>
                      </w:tr>
                    </w:tbl>
                    <w:p>
                      <w:pPr>
                        <w:pStyle w:val="6"/>
                        <w:spacing w:before="0"/>
                        <w:ind w:left="0"/>
                      </w:pPr>
                    </w:p>
                  </w:txbxContent>
                </v:textbox>
              </v:shape>
            </w:pict>
          </mc:Fallback>
        </mc:AlternateContent>
      </w:r>
      <w:r>
        <w:rPr>
          <w:w w:val="95"/>
          <w:sz w:val="20"/>
        </w:rPr>
        <w:t>会计基本假设是对会计核算所处</w:t>
      </w:r>
      <w:r>
        <w:rPr>
          <w:b/>
          <w:color w:val="00AFEF"/>
          <w:w w:val="95"/>
          <w:sz w:val="20"/>
          <w:u w:val="single" w:color="00AFEF"/>
        </w:rPr>
        <w:t>时间、空间环境</w:t>
      </w:r>
      <w:r>
        <w:rPr>
          <w:w w:val="95"/>
          <w:sz w:val="20"/>
        </w:rPr>
        <w:t>等所作的</w:t>
      </w:r>
      <w:r>
        <w:rPr>
          <w:b/>
          <w:color w:val="00AFEF"/>
          <w:w w:val="95"/>
          <w:sz w:val="20"/>
        </w:rPr>
        <w:t>合理假定</w:t>
      </w:r>
      <w:r>
        <w:rPr>
          <w:w w:val="95"/>
          <w:sz w:val="20"/>
        </w:rPr>
        <w:t>，是企业会计</w:t>
      </w:r>
      <w:r>
        <w:rPr>
          <w:b/>
          <w:color w:val="00AFEF"/>
          <w:w w:val="95"/>
          <w:sz w:val="20"/>
          <w:u w:val="single" w:color="00AFEF"/>
        </w:rPr>
        <w:t>确认、计量和报告</w:t>
      </w:r>
      <w:r>
        <w:rPr>
          <w:w w:val="95"/>
          <w:sz w:val="20"/>
        </w:rPr>
        <w:t>的</w:t>
      </w:r>
      <w:r>
        <w:rPr>
          <w:color w:val="FF0000"/>
          <w:w w:val="95"/>
          <w:sz w:val="20"/>
          <w:u w:val="double" w:color="FF0000"/>
        </w:rPr>
        <w:t>前提</w:t>
      </w:r>
      <w:r>
        <w:rPr>
          <w:w w:val="95"/>
          <w:sz w:val="20"/>
        </w:rPr>
        <w:t xml:space="preserve">。   </w:t>
      </w:r>
      <w:r>
        <w:rPr>
          <w:sz w:val="20"/>
        </w:rPr>
        <w:t>会计基本假设包括</w:t>
      </w:r>
      <w:r>
        <w:rPr>
          <w:color w:val="FF0000"/>
          <w:sz w:val="20"/>
          <w:u w:val="double" w:color="FF0000"/>
        </w:rPr>
        <w:t>会计主体、持续经营、会计分期和货币计量</w:t>
      </w:r>
      <w:r>
        <w:rPr>
          <w:sz w:val="20"/>
        </w:rPr>
        <w:t>。</w:t>
      </w:r>
    </w:p>
    <w:p>
      <w:pPr>
        <w:pStyle w:val="6"/>
        <w:spacing w:before="0"/>
        <w:ind w:left="0"/>
      </w:pPr>
    </w:p>
    <w:p>
      <w:pPr>
        <w:pStyle w:val="6"/>
        <w:spacing w:before="1"/>
        <w:ind w:left="0"/>
        <w:rPr>
          <w:sz w:val="21"/>
        </w:rPr>
      </w:pPr>
      <w:r>
        <mc:AlternateContent>
          <mc:Choice Requires="wps">
            <w:drawing>
              <wp:anchor distT="0" distB="0" distL="0" distR="0" simplePos="0" relativeHeight="487589888" behindDoc="1" locked="0" layoutInCell="1" allowOverlap="1">
                <wp:simplePos x="0" y="0"/>
                <wp:positionH relativeFrom="page">
                  <wp:posOffset>3911600</wp:posOffset>
                </wp:positionH>
                <wp:positionV relativeFrom="paragraph">
                  <wp:posOffset>198120</wp:posOffset>
                </wp:positionV>
                <wp:extent cx="251460" cy="5715"/>
                <wp:effectExtent l="0" t="0" r="0" b="0"/>
                <wp:wrapTopAndBottom/>
                <wp:docPr id="348" name="任意多边形 10"/>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0" o:spid="_x0000_s1026" o:spt="100" style="position:absolute;left:0pt;margin-left:308pt;margin-top:15.6pt;height:0.45pt;width:19.8pt;mso-position-horizontal-relative:page;mso-wrap-distance-bottom:0pt;mso-wrap-distance-top:0pt;z-index:-15726592;mso-width-relative:page;mso-height-relative:page;" filled="f" stroked="t" coordsize="396,9" o:gfxdata="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GpmM5&#10;2QAAAAkBAAAPAAAAAAAAAAEAIAAAACIAAABkcnMvZG93bnJldi54bWxQSwECFAAUAAAACACHTuJA&#10;qTyZtpICAABWBwAADgAAAAAAAAABACAAAAAoAQAAZHJzL2Uyb0RvYy54bWxQSwUGAAAAAAYABgBZ&#10;AQAALAYAAAAA&#10;" path="m0,0l18,9,36,0,54,9,72,0,90,9,108,0,126,9,144,0,162,9,180,0,198,9,216,0,234,9,252,0,270,9,288,0,306,9,324,0,342,9,360,0,378,9,396,0e">
                <v:fill on="f" focussize="0,0"/>
                <v:stroke weight="0.28496062992126pt" color="#00AFEF" joinstyle="round"/>
                <v:imagedata o:title=""/>
                <o:lock v:ext="edit" aspectratio="f"/>
                <w10:wrap type="topAndBottom"/>
              </v:shape>
            </w:pict>
          </mc:Fallback>
        </mc:AlternateConten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10"/>
        <w:ind w:left="0"/>
        <w:rPr>
          <w:sz w:val="16"/>
        </w:rPr>
      </w:pPr>
      <w:r>
        <mc:AlternateContent>
          <mc:Choice Requires="wps">
            <w:drawing>
              <wp:anchor distT="0" distB="0" distL="0" distR="0" simplePos="0" relativeHeight="487590912" behindDoc="1" locked="0" layoutInCell="1" allowOverlap="1">
                <wp:simplePos x="0" y="0"/>
                <wp:positionH relativeFrom="page">
                  <wp:posOffset>1565910</wp:posOffset>
                </wp:positionH>
                <wp:positionV relativeFrom="paragraph">
                  <wp:posOffset>163195</wp:posOffset>
                </wp:positionV>
                <wp:extent cx="251460" cy="5715"/>
                <wp:effectExtent l="0" t="0" r="0" b="0"/>
                <wp:wrapTopAndBottom/>
                <wp:docPr id="349" name="任意多边形 11"/>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1" o:spid="_x0000_s1026" o:spt="100" style="position:absolute;left:0pt;margin-left:123.3pt;margin-top:12.85pt;height:0.45pt;width:19.8pt;mso-position-horizontal-relative:page;mso-wrap-distance-bottom:0pt;mso-wrap-distance-top:0pt;z-index:-15725568;mso-width-relative:page;mso-height-relative:page;" filled="f" stroked="t" coordsize="396,9" o:gfxdata="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x7XD&#10;PdgAAAAJAQAADwAAAAAAAAABACAAAAAiAAAAZHJzL2Rvd25yZXYueG1sUEsBAhQAFAAAAAgAh07i&#10;QIYaKMWUAgAAVgcAAA4AAAAAAAAAAQAgAAAAJwEAAGRycy9lMm9Eb2MueG1sUEsFBgAAAAAGAAYA&#10;WQEAAC0GAAAAAA==&#10;" path="m0,0l18,9,36,0,54,9,72,0,90,9,108,0,126,9,144,0,162,9,180,0,198,9,216,0,234,9,252,0,270,9,288,0,306,9,324,0,342,9,360,0,378,9,396,0e">
                <v:fill on="f" focussize="0,0"/>
                <v:stroke weight="0.28496062992126pt" color="#00AFEF" joinstyle="round"/>
                <v:imagedata o:title=""/>
                <o:lock v:ext="edit" aspectratio="f"/>
                <w10:wrap type="topAndBottom"/>
              </v:shape>
            </w:pict>
          </mc:Fallback>
        </mc:AlternateContent>
      </w:r>
    </w:p>
    <w:p>
      <w:pPr>
        <w:pStyle w:val="6"/>
        <w:spacing w:before="0"/>
        <w:ind w:left="0"/>
      </w:pPr>
    </w:p>
    <w:p>
      <w:pPr>
        <w:pStyle w:val="6"/>
        <w:spacing w:before="0"/>
        <w:ind w:left="0"/>
      </w:pPr>
    </w:p>
    <w:p>
      <w:pPr>
        <w:pStyle w:val="6"/>
        <w:spacing w:before="0"/>
        <w:ind w:left="0"/>
      </w:pPr>
    </w:p>
    <w:p>
      <w:pPr>
        <w:pStyle w:val="6"/>
        <w:spacing w:before="1"/>
        <w:ind w:left="0"/>
        <w:rPr>
          <w:sz w:val="23"/>
        </w:rPr>
      </w:pPr>
    </w:p>
    <w:p>
      <w:pPr>
        <w:spacing w:before="0" w:line="304" w:lineRule="auto"/>
        <w:ind w:left="322" w:right="655" w:firstLine="400"/>
        <w:jc w:val="left"/>
        <w:rPr>
          <w:sz w:val="20"/>
        </w:rPr>
      </w:pPr>
      <w:r>
        <w:rPr>
          <w:b/>
          <w:color w:val="00AFEF"/>
          <w:sz w:val="20"/>
          <w:u w:val="single" w:color="00AFEF"/>
        </w:rPr>
        <w:t>会计主体确立了会计核算的空间范围</w:t>
      </w:r>
      <w:r>
        <w:rPr>
          <w:spacing w:val="-46"/>
          <w:sz w:val="20"/>
        </w:rPr>
        <w:t>，</w:t>
      </w:r>
      <w:r>
        <w:rPr>
          <w:b/>
          <w:color w:val="00AFEF"/>
          <w:sz w:val="20"/>
          <w:u w:val="single" w:color="00AFEF"/>
        </w:rPr>
        <w:t>持续经营与会计分期确立了会计核算的时间长度</w:t>
      </w:r>
      <w:r>
        <w:rPr>
          <w:spacing w:val="-24"/>
          <w:sz w:val="20"/>
        </w:rPr>
        <w:t>，而</w:t>
      </w:r>
      <w:r>
        <w:rPr>
          <w:b/>
          <w:color w:val="00AFEF"/>
          <w:sz w:val="20"/>
          <w:u w:val="single" w:color="00AFEF"/>
        </w:rPr>
        <w:t>货币计量为会计</w:t>
      </w:r>
      <w:r>
        <w:rPr>
          <w:b/>
          <w:color w:val="00AFEF"/>
          <w:w w:val="95"/>
          <w:sz w:val="20"/>
          <w:u w:val="single" w:color="00AFEF"/>
        </w:rPr>
        <w:t>核算提供了必要手段</w:t>
      </w:r>
      <w:r>
        <w:rPr>
          <w:w w:val="95"/>
          <w:sz w:val="20"/>
        </w:rPr>
        <w:t xml:space="preserve">。没有会计主体，就不会有持续经营；没有持续经营，就不会有会计分期；没有货币计量，    </w:t>
      </w:r>
      <w:r>
        <w:rPr>
          <w:sz w:val="20"/>
        </w:rPr>
        <w:t>就不会有现代会计。</w:t>
      </w:r>
    </w:p>
    <w:p>
      <w:pPr>
        <w:spacing w:before="0" w:line="224" w:lineRule="exact"/>
        <w:ind w:left="742" w:right="0" w:firstLine="0"/>
        <w:jc w:val="left"/>
        <w:rPr>
          <w:b/>
          <w:sz w:val="21"/>
        </w:rPr>
      </w:pPr>
      <w:bookmarkStart w:id="10" w:name="二、会计基础"/>
      <w:bookmarkEnd w:id="10"/>
      <w:r>
        <w:rPr>
          <w:b/>
          <w:sz w:val="21"/>
          <w:shd w:val="clear" w:color="auto" w:fill="C0C0C0"/>
        </w:rPr>
        <w:t>二、会计基础</w:t>
      </w:r>
    </w:p>
    <w:p>
      <w:pPr>
        <w:spacing w:before="89"/>
        <w:ind w:left="723" w:right="0" w:firstLine="0"/>
        <w:jc w:val="left"/>
        <w:rPr>
          <w:sz w:val="20"/>
        </w:rPr>
      </w:pPr>
      <w:r>
        <w:rPr>
          <w:b/>
          <w:color w:val="00AFEF"/>
          <w:sz w:val="20"/>
          <w:u w:val="single" w:color="00AFEF"/>
        </w:rPr>
        <w:t>会计基础是指会计确认、计量和报告的</w:t>
      </w:r>
      <w:r>
        <w:rPr>
          <w:color w:val="FF0000"/>
          <w:sz w:val="20"/>
          <w:u w:val="single" w:color="00AFEF"/>
        </w:rPr>
        <w:t>基础</w:t>
      </w:r>
      <w:r>
        <w:rPr>
          <w:sz w:val="20"/>
        </w:rPr>
        <w:t>，包括</w:t>
      </w:r>
      <w:r>
        <w:rPr>
          <w:color w:val="FF0000"/>
          <w:sz w:val="20"/>
          <w:u w:val="double" w:color="FF0000"/>
        </w:rPr>
        <w:t>权责发生制和收付实现制</w:t>
      </w:r>
      <w:r>
        <w:rPr>
          <w:sz w:val="20"/>
        </w:rPr>
        <w:t>。</w:t>
      </w:r>
    </w:p>
    <w:p>
      <w:pPr>
        <w:pStyle w:val="6"/>
        <w:spacing w:before="71"/>
      </w:pPr>
      <w:r>
        <w:t>1、</w:t>
      </w:r>
      <w:r>
        <w:rPr>
          <w:b/>
        </w:rPr>
        <w:t>权责发生制</w:t>
      </w:r>
      <w:r>
        <w:t>，是指以取得收取款项的权利或支付款项的</w:t>
      </w:r>
      <w:r>
        <w:rPr>
          <w:color w:val="FF0000"/>
          <w:u w:val="double" w:color="FF0000"/>
        </w:rPr>
        <w:t>义务为标志</w:t>
      </w:r>
      <w:r>
        <w:t>来确定本期收入和费用的会计核算基</w:t>
      </w:r>
    </w:p>
    <w:p>
      <w:pPr>
        <w:pStyle w:val="6"/>
        <w:ind w:left="322"/>
      </w:pPr>
      <w:r>
        <w:t>础。</w:t>
      </w:r>
    </w:p>
    <w:p>
      <w:pPr>
        <w:pStyle w:val="6"/>
      </w:pPr>
      <w:r>
        <w:t>凡是属于本期的收入或费用，不论款项是否收付都应当作为本期的收入或费用处理，凡是不属于本期的收入</w:t>
      </w:r>
    </w:p>
    <w:p>
      <w:pPr>
        <w:pStyle w:val="6"/>
        <w:ind w:left="322"/>
      </w:pPr>
      <w:r>
        <w:t>或费用，即使款项已经在本期收付，也不作为本期的收入或费用。</w:t>
      </w:r>
    </w:p>
    <w:p>
      <w:pPr>
        <w:pStyle w:val="6"/>
      </w:pPr>
      <w:r>
        <w:t>2、</w:t>
      </w:r>
      <w:r>
        <w:rPr>
          <w:b/>
        </w:rPr>
        <w:t>收付实现制</w:t>
      </w:r>
      <w:r>
        <w:t>，是指以</w:t>
      </w:r>
      <w:r>
        <w:rPr>
          <w:color w:val="FF0000"/>
          <w:u w:val="double" w:color="FF0000"/>
        </w:rPr>
        <w:t>现金的实际收付为</w:t>
      </w:r>
      <w:r>
        <w:t>标志来确定本期收入和支出的会计核算基础。</w:t>
      </w:r>
    </w:p>
    <w:p>
      <w:pPr>
        <w:pStyle w:val="6"/>
        <w:spacing w:before="68"/>
      </w:pPr>
      <w:r>
        <mc:AlternateContent>
          <mc:Choice Requires="wps">
            <w:drawing>
              <wp:anchor distT="0" distB="0" distL="114300" distR="114300" simplePos="0" relativeHeight="15732736" behindDoc="0" locked="0" layoutInCell="1" allowOverlap="1">
                <wp:simplePos x="0" y="0"/>
                <wp:positionH relativeFrom="page">
                  <wp:posOffset>1068705</wp:posOffset>
                </wp:positionH>
                <wp:positionV relativeFrom="paragraph">
                  <wp:posOffset>180975</wp:posOffset>
                </wp:positionV>
                <wp:extent cx="251460" cy="5715"/>
                <wp:effectExtent l="0" t="0" r="0" b="0"/>
                <wp:wrapNone/>
                <wp:docPr id="2" name="任意多边形 1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 o:spid="_x0000_s1026" o:spt="100" style="position:absolute;left:0pt;margin-left:84.15pt;margin-top:14.25pt;height:0.45pt;width:19.8pt;mso-position-horizontal-relative:page;z-index:15732736;mso-width-relative:page;mso-height-relative:page;" filled="f" stroked="t" coordsize="396,9" o:gfxdata="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oc&#10;4o3aAAAACQEAAA8AAAAAAAAAAQAgAAAAIgAAAGRycy9kb3ducmV2LnhtbFBLAQIUABQAAAAIAIdO&#10;4kCykuTmkwIAAFQHAAAOAAAAAAAAAAEAIAAAACk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w:t>
      </w:r>
      <w:r>
        <w:rPr>
          <w:color w:val="FF0000"/>
          <w:u w:val="double" w:color="FF0000"/>
        </w:rPr>
        <w:t>企业应当以权责发生制为基础进行确认、计量和报告</w:t>
      </w:r>
      <w:r>
        <w:t>。</w:t>
      </w:r>
    </w:p>
    <w:p>
      <w:pPr>
        <w:pStyle w:val="6"/>
        <w:spacing w:line="304" w:lineRule="auto"/>
        <w:ind w:left="322" w:right="722" w:firstLine="1200"/>
      </w:pPr>
      <w:r>
        <w:rPr>
          <w:w w:val="95"/>
        </w:rPr>
        <w:t>2</w:t>
      </w:r>
      <w:r>
        <w:rPr>
          <w:spacing w:val="-2"/>
          <w:w w:val="95"/>
        </w:rPr>
        <w:t>.政府会计由预算会计和财务会计构成。</w:t>
      </w:r>
      <w:r>
        <w:rPr>
          <w:color w:val="FF0000"/>
          <w:spacing w:val="-2"/>
          <w:w w:val="95"/>
          <w:u w:val="double" w:color="FF0000"/>
        </w:rPr>
        <w:t>预算会计实行收付实现制</w:t>
      </w:r>
      <w:r>
        <w:rPr>
          <w:color w:val="FF0000"/>
          <w:w w:val="95"/>
          <w:u w:val="double" w:color="FF0000"/>
        </w:rPr>
        <w:t>（</w:t>
      </w:r>
      <w:r>
        <w:rPr>
          <w:color w:val="FF0000"/>
          <w:spacing w:val="-3"/>
          <w:w w:val="95"/>
          <w:u w:val="double" w:color="FF0000"/>
        </w:rPr>
        <w:t>国务院另有规定的，依照其规</w:t>
      </w:r>
      <w:r>
        <w:rPr>
          <w:color w:val="FF0000"/>
          <w:spacing w:val="2"/>
          <w:w w:val="99"/>
          <w:u w:val="double" w:color="FF0000"/>
        </w:rPr>
        <w:t>定</w:t>
      </w:r>
      <w:r>
        <w:rPr>
          <w:color w:val="FF0000"/>
          <w:spacing w:val="-101"/>
          <w:w w:val="99"/>
          <w:u w:val="double" w:color="FF0000"/>
        </w:rPr>
        <w:t>）</w:t>
      </w:r>
      <w:r>
        <w:rPr>
          <w:color w:val="FF0000"/>
          <w:w w:val="99"/>
          <w:u w:val="double" w:color="FF0000"/>
        </w:rPr>
        <w:t>，财务会计实行权责发生制</w:t>
      </w:r>
      <w:r>
        <w:rPr>
          <w:w w:val="99"/>
        </w:rPr>
        <w:t>。</w:t>
      </w:r>
    </w:p>
    <w:p>
      <w:pPr>
        <w:spacing w:after="0" w:line="304" w:lineRule="auto"/>
        <w:sectPr>
          <w:pgSz w:w="11910" w:h="16160"/>
          <w:pgMar w:top="1680" w:right="360" w:bottom="860" w:left="760" w:header="0" w:footer="584" w:gutter="0"/>
        </w:sectPr>
      </w:pPr>
    </w:p>
    <w:p>
      <w:pPr>
        <w:pStyle w:val="6"/>
        <w:spacing w:before="2"/>
        <w:ind w:left="0"/>
        <w:rPr>
          <w:sz w:val="10"/>
        </w:rPr>
      </w:pPr>
    </w:p>
    <w:p>
      <w:pPr>
        <w:spacing w:before="70"/>
        <w:ind w:left="742" w:right="0" w:firstLine="0"/>
        <w:jc w:val="left"/>
        <w:rPr>
          <w:b/>
          <w:sz w:val="21"/>
        </w:rPr>
      </w:pPr>
      <w:bookmarkStart w:id="11" w:name="三、会计信息质量要求"/>
      <w:bookmarkEnd w:id="11"/>
      <w:r>
        <w:rPr>
          <w:b/>
          <w:sz w:val="21"/>
          <w:shd w:val="clear" w:color="auto" w:fill="C0C0C0"/>
        </w:rPr>
        <w:t>三、会计信息质量要求</w:t>
      </w:r>
    </w:p>
    <w:p>
      <w:pPr>
        <w:pStyle w:val="6"/>
        <w:spacing w:before="91" w:line="304" w:lineRule="auto"/>
        <w:ind w:left="322" w:right="722" w:firstLine="400"/>
        <w:jc w:val="both"/>
      </w:pPr>
      <w:r>
        <w:rPr>
          <w:spacing w:val="-2"/>
          <w:w w:val="95"/>
        </w:rPr>
        <w:t xml:space="preserve">会计信息质量要求是对企业财务会计报告中所提供会计信息质量的基本要求，是使财务会计报告中所提供会    </w:t>
      </w:r>
      <w:r>
        <w:rPr>
          <w:spacing w:val="-3"/>
          <w:w w:val="95"/>
        </w:rPr>
        <w:t>计信息对投资者等使用者决策有用应具备的基本特征，主要包括</w:t>
      </w:r>
      <w:r>
        <w:rPr>
          <w:color w:val="FF0000"/>
          <w:spacing w:val="-7"/>
          <w:w w:val="95"/>
          <w:u w:val="double" w:color="FF0000"/>
        </w:rPr>
        <w:t>可靠性、相关性、可理解性、可比性、实质重于</w:t>
      </w:r>
      <w:r>
        <w:rPr>
          <w:color w:val="FF0000"/>
          <w:spacing w:val="-199"/>
          <w:w w:val="95"/>
          <w:u w:val="double" w:color="FF0000"/>
        </w:rPr>
        <w:t>形</w:t>
      </w:r>
      <w:r>
        <w:rPr>
          <w:color w:val="FF0000"/>
          <w:spacing w:val="211"/>
          <w:w w:val="95"/>
          <w:u w:val="double" w:color="FF0000"/>
        </w:rPr>
        <w:t xml:space="preserve"> </w:t>
      </w:r>
      <w:r>
        <w:rPr>
          <w:color w:val="FF0000"/>
          <w:u w:val="double" w:color="FF0000"/>
        </w:rPr>
        <w:t>式、重要性、谨慎性和及时性</w:t>
      </w:r>
      <w:r>
        <w:t>等。</w:t>
      </w:r>
    </w:p>
    <w:p>
      <w:pPr>
        <w:pStyle w:val="5"/>
        <w:spacing w:before="3"/>
      </w:pPr>
      <w:r>
        <w:t>（一）可靠性（真实性）</w:t>
      </w:r>
    </w:p>
    <w:p>
      <w:pPr>
        <w:pStyle w:val="6"/>
        <w:spacing w:line="302" w:lineRule="auto"/>
        <w:ind w:left="322" w:right="646" w:firstLine="400"/>
      </w:pPr>
      <w:r>
        <w:rPr>
          <w:w w:val="95"/>
        </w:rPr>
        <w:t xml:space="preserve">可靠性要求企业应当以实际发生的交易或者事项为依据进行确认、计量和报告，如实反映符合确认和计量要   </w:t>
      </w:r>
      <w:r>
        <w:t>求的各项会计要素及其他相关信息，保证会计信息真实可靠、内容完整。</w:t>
      </w:r>
    </w:p>
    <w:p>
      <w:pPr>
        <w:pStyle w:val="5"/>
        <w:spacing w:before="5"/>
        <w:rPr>
          <w:b w:val="0"/>
        </w:rPr>
      </w:pPr>
      <w:r>
        <w:rPr>
          <w:color w:val="00AFEF"/>
          <w:u w:val="single" w:color="00AFEF"/>
        </w:rPr>
        <w:t>可靠性是高质量会计信息的重要基础和关键所在</w:t>
      </w:r>
      <w:r>
        <w:rPr>
          <w:b w:val="0"/>
        </w:rPr>
        <w:t>。</w:t>
      </w:r>
    </w:p>
    <w:p>
      <w:pPr>
        <w:pStyle w:val="5"/>
      </w:pPr>
      <w:r>
        <w:t>（二）相关性</w:t>
      </w:r>
    </w:p>
    <w:p>
      <w:pPr>
        <w:pStyle w:val="6"/>
        <w:spacing w:line="304" w:lineRule="auto"/>
        <w:ind w:left="322" w:right="647" w:firstLine="400"/>
      </w:pPr>
      <w:r>
        <w:rPr>
          <w:w w:val="95"/>
        </w:rPr>
        <w:t xml:space="preserve">相关性要求企业提供的会计信息应当与财务会计报告使用者的经济决策需要相关，有助于财务会计报告使用   </w:t>
      </w:r>
      <w:r>
        <w:t>者对企业过去和现在的情况作出评价，对未来的情况作出预测。</w:t>
      </w:r>
    </w:p>
    <w:p>
      <w:pPr>
        <w:pStyle w:val="5"/>
        <w:spacing w:before="2"/>
      </w:pPr>
      <w:r>
        <w:t>（三）可理解性</w:t>
      </w:r>
    </w:p>
    <w:p>
      <w:pPr>
        <w:pStyle w:val="6"/>
        <w:spacing w:before="68"/>
      </w:pPr>
      <w:r>
        <w:t>可理解性要求企业提供的会计信息应当清晰明了，便于财务会计报告使用者理解和使用。</w:t>
      </w:r>
    </w:p>
    <w:p>
      <w:pPr>
        <w:pStyle w:val="5"/>
      </w:pPr>
      <w:r>
        <w:t>（四）可比性</w:t>
      </w:r>
    </w:p>
    <w:p>
      <w:pPr>
        <w:pStyle w:val="6"/>
        <w:spacing w:line="304" w:lineRule="auto"/>
        <w:ind w:right="662"/>
      </w:pPr>
      <w:r>
        <w:rPr>
          <w:w w:val="95"/>
        </w:rPr>
        <w:t>可比性要求企业提供的会计信息应当相互可比，保证同一企业不同时期可比、不同企业相同会计期间可比。   1.</w:t>
      </w:r>
      <w:r>
        <w:rPr>
          <w:color w:val="FF0000"/>
          <w:w w:val="95"/>
          <w:u w:val="double" w:color="FF0000"/>
        </w:rPr>
        <w:t>同一企业不同时期可比</w:t>
      </w:r>
      <w:r>
        <w:rPr>
          <w:w w:val="95"/>
        </w:rPr>
        <w:t>；同一企业不同时期发生的相同或相似的交易或事项，应当采用一致的会计政策，</w:t>
      </w:r>
    </w:p>
    <w:p>
      <w:pPr>
        <w:pStyle w:val="6"/>
        <w:spacing w:before="2"/>
        <w:ind w:left="322"/>
      </w:pPr>
      <w:r>
        <mc:AlternateContent>
          <mc:Choice Requires="wps">
            <w:drawing>
              <wp:anchor distT="0" distB="0" distL="114300" distR="114300" simplePos="0" relativeHeight="15733760" behindDoc="0" locked="0" layoutInCell="1" allowOverlap="1">
                <wp:simplePos x="0" y="0"/>
                <wp:positionH relativeFrom="page">
                  <wp:posOffset>941705</wp:posOffset>
                </wp:positionH>
                <wp:positionV relativeFrom="paragraph">
                  <wp:posOffset>139700</wp:posOffset>
                </wp:positionV>
                <wp:extent cx="251460" cy="5715"/>
                <wp:effectExtent l="0" t="0" r="0" b="0"/>
                <wp:wrapNone/>
                <wp:docPr id="3" name="任意多边形 1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 o:spid="_x0000_s1026" o:spt="100" style="position:absolute;left:0pt;margin-left:74.15pt;margin-top:11pt;height:0.45pt;width:19.8pt;mso-position-horizontal-relative:page;z-index:15733760;mso-width-relative:page;mso-height-relative:page;" filled="f" stroked="t" coordsize="396,9" o:gfxdata="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GLJQjbY&#10;AAAACQEAAA8AAAAAAAAAAQAgAAAAIgAAAGRycy9kb3ducmV2LnhtbFBLAQIUABQAAAAIAIdO4kCd&#10;tFWVkgIAAFQHAAAOAAAAAAAAAAEAIAAAACcBAABkcnMvZTJvRG9jLnhtbFBLBQYAAAAABgAGAFkB&#10;AAAr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不得</w:t>
      </w:r>
      <w:r>
        <w:rPr>
          <w:b/>
          <w:color w:val="00AFEF"/>
        </w:rPr>
        <w:t>随意</w:t>
      </w:r>
      <w:r>
        <w:t>变更；如需变更，应在财务报告附注中予以说明。</w:t>
      </w:r>
    </w:p>
    <w:p>
      <w:pPr>
        <w:pStyle w:val="6"/>
        <w:spacing w:line="302" w:lineRule="auto"/>
        <w:ind w:left="322" w:right="722" w:firstLine="400"/>
      </w:pPr>
      <w:r>
        <w:rPr>
          <w:w w:val="95"/>
        </w:rPr>
        <w:t>2.</w:t>
      </w:r>
      <w:r>
        <w:rPr>
          <w:color w:val="FF0000"/>
          <w:w w:val="95"/>
          <w:u w:val="double" w:color="FF0000"/>
        </w:rPr>
        <w:t>不同企业相同会计期间可比</w:t>
      </w:r>
      <w:r>
        <w:rPr>
          <w:spacing w:val="-7"/>
          <w:w w:val="95"/>
        </w:rPr>
        <w:t xml:space="preserve">；不同企业发生的相同或相似的交易或事项，应当采用规定的会计政策，确保   </w:t>
      </w:r>
      <w:r>
        <w:rPr>
          <w:spacing w:val="-7"/>
        </w:rPr>
        <w:t>会计信息口径一致、相互可比。</w:t>
      </w:r>
    </w:p>
    <w:p>
      <w:pPr>
        <w:pStyle w:val="5"/>
        <w:spacing w:before="5"/>
      </w:pPr>
      <w:r>
        <w:t>（五）实质重于形式</w:t>
      </w:r>
    </w:p>
    <w:p>
      <w:pPr>
        <w:pStyle w:val="6"/>
        <w:spacing w:line="304" w:lineRule="auto"/>
        <w:ind w:left="322" w:right="646" w:firstLine="400"/>
      </w:pPr>
      <w:r>
        <w:rPr>
          <w:w w:val="95"/>
        </w:rPr>
        <w:t xml:space="preserve">实质重于形式要求企业应当按照交易或者事项的经济实质进行会计确认、计量和报告，不应仅以交易或者事   </w:t>
      </w:r>
      <w:r>
        <w:t>项的法律形式为依据。</w:t>
      </w:r>
    </w:p>
    <w:p>
      <w:pPr>
        <w:pStyle w:val="6"/>
        <w:spacing w:before="2" w:line="304" w:lineRule="auto"/>
        <w:ind w:left="322" w:right="720" w:firstLine="400"/>
        <w:jc w:val="both"/>
      </w:pPr>
      <w:r>
        <mc:AlternateContent>
          <mc:Choice Requires="wps">
            <w:drawing>
              <wp:anchor distT="0" distB="0" distL="114300" distR="114300" simplePos="0" relativeHeight="482368512" behindDoc="1" locked="0" layoutInCell="1" allowOverlap="1">
                <wp:simplePos x="0" y="0"/>
                <wp:positionH relativeFrom="page">
                  <wp:posOffset>1068705</wp:posOffset>
                </wp:positionH>
                <wp:positionV relativeFrom="paragraph">
                  <wp:posOffset>139700</wp:posOffset>
                </wp:positionV>
                <wp:extent cx="251460" cy="5715"/>
                <wp:effectExtent l="0" t="0" r="0" b="0"/>
                <wp:wrapNone/>
                <wp:docPr id="213" name="任意多边形 1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 o:spid="_x0000_s1026" o:spt="100" style="position:absolute;left:0pt;margin-left:84.15pt;margin-top:11pt;height:0.45pt;width:19.8pt;mso-position-horizontal-relative:page;z-index:-20947968;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Hqwj&#10;2AAAAAkBAAAPAAAAAAAAAAEAIAAAACIAAABkcnMvZG93bnJldi54bWxQSwECFAAUAAAACACHTuJA&#10;2WU0qZMCAABWBwAADgAAAAAAAAABACAAAAAn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9"/>
        </w:rPr>
        <w:t>【</w:t>
      </w:r>
      <w:r>
        <w:rPr>
          <w:b/>
          <w:color w:val="00AFEF"/>
          <w:spacing w:val="1"/>
          <w:w w:val="99"/>
        </w:rPr>
        <w:t>提示</w:t>
      </w:r>
      <w:r>
        <w:rPr>
          <w:w w:val="99"/>
        </w:rPr>
        <w:t>】企业</w:t>
      </w:r>
      <w:r>
        <w:rPr>
          <w:color w:val="FF0000"/>
          <w:w w:val="99"/>
          <w:u w:val="double" w:color="FF0000"/>
        </w:rPr>
        <w:t>租入的资产</w:t>
      </w:r>
      <w:r>
        <w:rPr>
          <w:w w:val="99"/>
        </w:rPr>
        <w:t>（短期租赁和低值资产租赁除外</w:t>
      </w:r>
      <w:r>
        <w:rPr>
          <w:spacing w:val="-101"/>
          <w:w w:val="99"/>
        </w:rPr>
        <w:t>）</w:t>
      </w:r>
      <w:r>
        <w:rPr>
          <w:w w:val="99"/>
        </w:rPr>
        <w:t>，由于租赁合同规定的租赁期相当长，往往接近</w:t>
      </w:r>
      <w:r>
        <w:rPr>
          <w:spacing w:val="-4"/>
          <w:w w:val="95"/>
        </w:rPr>
        <w:t xml:space="preserve">于该资产的使用寿命，租赁期结束时企业有优先购买该资产的选择权，在租赁期内承租企业有权支配资产并从中    </w:t>
      </w:r>
      <w:r>
        <w:rPr>
          <w:spacing w:val="-8"/>
          <w:w w:val="95"/>
        </w:rPr>
        <w:t xml:space="preserve">受益等，从其经济实质来看，企业能够控制租入资产所创造的未来经济利益，在会计确认、计量和报告时应当将    </w:t>
      </w:r>
      <w:r>
        <w:rPr>
          <w:spacing w:val="-8"/>
        </w:rPr>
        <w:t>租入的资产视为企业的资产，在资产负债表中反映。</w:t>
      </w:r>
    </w:p>
    <w:p>
      <w:pPr>
        <w:pStyle w:val="5"/>
        <w:spacing w:before="2"/>
      </w:pPr>
      <w:r>
        <w:t>（六）重要性</w:t>
      </w:r>
    </w:p>
    <w:p>
      <w:pPr>
        <w:pStyle w:val="6"/>
        <w:ind w:left="716"/>
      </w:pPr>
      <w:r>
        <w:t>重要性要求企业提供的会计信息应当反映与企业财务状况、经营成果和现金流量有关的所有重要交易或者事</w:t>
      </w:r>
    </w:p>
    <w:p>
      <w:pPr>
        <w:pStyle w:val="6"/>
        <w:ind w:left="322"/>
      </w:pPr>
      <w:r>
        <w:t>项。</w:t>
      </w:r>
    </w:p>
    <w:p>
      <w:pPr>
        <w:pStyle w:val="5"/>
      </w:pPr>
      <w:r>
        <w:t>（七）谨慎性</w:t>
      </w:r>
    </w:p>
    <w:p>
      <w:pPr>
        <w:pStyle w:val="6"/>
        <w:spacing w:before="68"/>
      </w:pPr>
      <w:r>
        <w:t>谨慎性要求企业对交易或者事项进行会计确认、计量和报告时保持应有的谨慎，</w:t>
      </w:r>
      <w:r>
        <w:rPr>
          <w:color w:val="FF0000"/>
          <w:u w:val="double" w:color="FF0000"/>
        </w:rPr>
        <w:t>不应高估资产或者收益、低</w:t>
      </w:r>
    </w:p>
    <w:p>
      <w:pPr>
        <w:pStyle w:val="6"/>
        <w:ind w:left="322"/>
      </w:pPr>
      <w:r>
        <w:rPr>
          <w:color w:val="FF0000"/>
          <w:u w:val="double" w:color="FF0000"/>
        </w:rPr>
        <w:t>估负债或者费用。</w:t>
      </w:r>
    </w:p>
    <w:p>
      <w:pPr>
        <w:pStyle w:val="6"/>
        <w:spacing w:line="304" w:lineRule="auto"/>
        <w:ind w:left="322" w:right="720" w:firstLine="400"/>
        <w:jc w:val="both"/>
      </w:pPr>
      <w:r>
        <w:rPr>
          <w:spacing w:val="-5"/>
          <w:w w:val="95"/>
        </w:rPr>
        <w:t>【提示】</w:t>
      </w:r>
      <w:r>
        <w:rPr>
          <w:w w:val="95"/>
        </w:rPr>
        <w:t>1.</w:t>
      </w:r>
      <w:r>
        <w:rPr>
          <w:color w:val="FF0000"/>
          <w:spacing w:val="-3"/>
          <w:w w:val="95"/>
          <w:u w:val="double" w:color="FF0000"/>
        </w:rPr>
        <w:t>对企业资产计提各项准备、期末存货采用成本与可变现净值孰低法计价、对固定资产采用加速折</w:t>
      </w:r>
      <w:r>
        <w:rPr>
          <w:color w:val="FF0000"/>
          <w:spacing w:val="-198"/>
          <w:w w:val="95"/>
          <w:u w:val="double" w:color="FF0000"/>
        </w:rPr>
        <w:t>旧</w:t>
      </w:r>
      <w:r>
        <w:rPr>
          <w:color w:val="FF0000"/>
          <w:spacing w:val="198"/>
          <w:w w:val="95"/>
          <w:u w:val="double" w:color="FF0000"/>
        </w:rPr>
        <w:t xml:space="preserve"> </w:t>
      </w:r>
      <w:r>
        <w:rPr>
          <w:color w:val="FF0000"/>
          <w:spacing w:val="-6"/>
          <w:w w:val="95"/>
          <w:u w:val="double" w:color="FF0000"/>
        </w:rPr>
        <w:t xml:space="preserve">法计提折旧、对售出商品可能发生的保修义务确认预计负债、对可能承担的环保责任确认预计负债等反映了谨慎    </w:t>
      </w:r>
      <w:r>
        <w:rPr>
          <w:color w:val="FF0000"/>
          <w:spacing w:val="-6"/>
          <w:u w:val="double" w:color="FF0000"/>
        </w:rPr>
        <w:t>性原则</w:t>
      </w:r>
      <w:r>
        <w:rPr>
          <w:spacing w:val="-6"/>
        </w:rPr>
        <w:t>。</w:t>
      </w:r>
    </w:p>
    <w:p>
      <w:pPr>
        <w:pStyle w:val="6"/>
        <w:spacing w:before="3"/>
      </w:pPr>
      <w:r>
        <w:t>2.谨慎性并不意味着企业可以设置各种秘密准备，属于滥用谨慎性。</w:t>
      </w:r>
    </w:p>
    <w:p>
      <w:pPr>
        <w:pStyle w:val="5"/>
        <w:spacing w:before="68"/>
      </w:pPr>
      <w:r>
        <w:t>（八）及时性</w:t>
      </w:r>
    </w:p>
    <w:p>
      <w:pPr>
        <w:pStyle w:val="6"/>
      </w:pPr>
      <w:r>
        <w:t>及时性要求企业对于已经发生的交易或者事项，应当及时进行确认、计量和报告，不得提前或者延后。</w:t>
      </w:r>
    </w:p>
    <w:p>
      <w:pPr>
        <w:spacing w:after="0"/>
        <w:sectPr>
          <w:pgSz w:w="11910" w:h="16160"/>
          <w:pgMar w:top="1680" w:right="360" w:bottom="860" w:left="760" w:header="0" w:footer="584" w:gutter="0"/>
        </w:sectPr>
      </w:pPr>
    </w:p>
    <w:p>
      <w:pPr>
        <w:pStyle w:val="6"/>
        <w:spacing w:before="11"/>
        <w:ind w:left="0"/>
        <w:rPr>
          <w:sz w:val="13"/>
        </w:rPr>
      </w:pPr>
    </w:p>
    <w:p>
      <w:pPr>
        <w:pStyle w:val="6"/>
        <w:spacing w:before="71"/>
      </w:pPr>
      <w:r>
        <w:rPr>
          <w:w w:val="95"/>
        </w:rPr>
        <w:t>①及时收集会计信息</w:t>
      </w:r>
    </w:p>
    <w:p>
      <w:pPr>
        <w:pStyle w:val="6"/>
      </w:pPr>
      <w:r>
        <w:rPr>
          <w:w w:val="95"/>
        </w:rPr>
        <w:t>②及时处理会计信息</w:t>
      </w:r>
    </w:p>
    <w:p>
      <w:pPr>
        <w:pStyle w:val="6"/>
      </w:pPr>
      <w:r>
        <w:rPr>
          <w:w w:val="95"/>
        </w:rPr>
        <w:t>③及时传递会计信息</w:t>
      </w:r>
    </w:p>
    <w:p>
      <w:pPr>
        <w:pStyle w:val="3"/>
        <w:tabs>
          <w:tab w:val="left" w:pos="839"/>
        </w:tabs>
        <w:spacing w:before="120"/>
        <w:ind w:left="0" w:right="399"/>
        <w:jc w:val="center"/>
        <w:rPr>
          <w:rFonts w:hint="eastAsia" w:ascii="微软雅黑" w:eastAsia="微软雅黑"/>
        </w:rPr>
      </w:pPr>
      <w:bookmarkStart w:id="12" w:name="_bookmark3"/>
      <w:bookmarkEnd w:id="12"/>
      <w:bookmarkStart w:id="13" w:name="第三节　会计要素及其确认与计量"/>
      <w:bookmarkEnd w:id="13"/>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会计要素及其确认与计量</w:t>
      </w:r>
    </w:p>
    <w:p>
      <w:pPr>
        <w:spacing w:before="139"/>
        <w:ind w:left="742" w:right="0" w:firstLine="0"/>
        <w:jc w:val="left"/>
        <w:rPr>
          <w:b/>
          <w:sz w:val="21"/>
        </w:rPr>
      </w:pPr>
      <w:bookmarkStart w:id="14" w:name="一、会计要素及其确认条件"/>
      <w:bookmarkEnd w:id="14"/>
      <w:r>
        <w:rPr>
          <w:b/>
          <w:sz w:val="21"/>
          <w:shd w:val="clear" w:color="auto" w:fill="C0C0C0"/>
        </w:rPr>
        <w:t>一、会计要素及其确认条件</w:t>
      </w:r>
    </w:p>
    <w:p>
      <w:pPr>
        <w:pStyle w:val="6"/>
        <w:spacing w:before="91" w:line="304" w:lineRule="auto"/>
        <w:ind w:right="854"/>
      </w:pPr>
      <w:r>
        <mc:AlternateContent>
          <mc:Choice Requires="wps">
            <w:drawing>
              <wp:anchor distT="0" distB="0" distL="114300" distR="114300" simplePos="0" relativeHeight="15735808" behindDoc="0" locked="0" layoutInCell="1" allowOverlap="1">
                <wp:simplePos x="0" y="0"/>
                <wp:positionH relativeFrom="page">
                  <wp:posOffset>615950</wp:posOffset>
                </wp:positionH>
                <wp:positionV relativeFrom="paragraph">
                  <wp:posOffset>427355</wp:posOffset>
                </wp:positionV>
                <wp:extent cx="6394450" cy="1286510"/>
                <wp:effectExtent l="0" t="0" r="0" b="0"/>
                <wp:wrapNone/>
                <wp:docPr id="6" name="文本框 15"/>
                <wp:cNvGraphicFramePr/>
                <a:graphic xmlns:a="http://schemas.openxmlformats.org/drawingml/2006/main">
                  <a:graphicData uri="http://schemas.microsoft.com/office/word/2010/wordprocessingShape">
                    <wps:wsp>
                      <wps:cNvSpPr txBox="1"/>
                      <wps:spPr>
                        <a:xfrm>
                          <a:off x="0" y="0"/>
                          <a:ext cx="6394450" cy="128651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8"/>
                              <w:gridCol w:w="1936"/>
                              <w:gridCol w:w="3150"/>
                              <w:gridCol w:w="30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28" w:type="dxa"/>
                                </w:tcPr>
                                <w:p>
                                  <w:pPr>
                                    <w:pStyle w:val="14"/>
                                    <w:spacing w:before="70" w:line="236" w:lineRule="exact"/>
                                    <w:ind w:left="443" w:right="434"/>
                                    <w:jc w:val="center"/>
                                    <w:rPr>
                                      <w:sz w:val="20"/>
                                    </w:rPr>
                                  </w:pPr>
                                  <w:r>
                                    <w:rPr>
                                      <w:sz w:val="20"/>
                                    </w:rPr>
                                    <w:t>资产</w:t>
                                  </w:r>
                                </w:p>
                              </w:tc>
                              <w:tc>
                                <w:tcPr>
                                  <w:tcW w:w="1936" w:type="dxa"/>
                                  <w:vMerge w:val="restart"/>
                                </w:tcPr>
                                <w:p>
                                  <w:pPr>
                                    <w:pStyle w:val="14"/>
                                    <w:rPr>
                                      <w:sz w:val="20"/>
                                    </w:rPr>
                                  </w:pPr>
                                </w:p>
                                <w:p>
                                  <w:pPr>
                                    <w:pStyle w:val="14"/>
                                    <w:spacing w:before="150"/>
                                    <w:ind w:left="567"/>
                                    <w:rPr>
                                      <w:sz w:val="20"/>
                                    </w:rPr>
                                  </w:pPr>
                                  <w:r>
                                    <w:rPr>
                                      <w:sz w:val="20"/>
                                    </w:rPr>
                                    <w:t>静态要素</w:t>
                                  </w:r>
                                </w:p>
                              </w:tc>
                              <w:tc>
                                <w:tcPr>
                                  <w:tcW w:w="3150" w:type="dxa"/>
                                  <w:vMerge w:val="restart"/>
                                </w:tcPr>
                                <w:p>
                                  <w:pPr>
                                    <w:pStyle w:val="14"/>
                                    <w:rPr>
                                      <w:sz w:val="20"/>
                                    </w:rPr>
                                  </w:pPr>
                                </w:p>
                                <w:p>
                                  <w:pPr>
                                    <w:pStyle w:val="14"/>
                                    <w:spacing w:before="150"/>
                                    <w:ind w:left="107"/>
                                    <w:rPr>
                                      <w:sz w:val="20"/>
                                    </w:rPr>
                                  </w:pPr>
                                  <w:r>
                                    <w:rPr>
                                      <w:sz w:val="20"/>
                                    </w:rPr>
                                    <w:t>反映企业某一特定日期财务状况</w:t>
                                  </w:r>
                                </w:p>
                              </w:tc>
                              <w:tc>
                                <w:tcPr>
                                  <w:tcW w:w="3041" w:type="dxa"/>
                                  <w:vMerge w:val="restart"/>
                                </w:tcPr>
                                <w:p>
                                  <w:pPr>
                                    <w:pStyle w:val="14"/>
                                    <w:rPr>
                                      <w:sz w:val="20"/>
                                    </w:rPr>
                                  </w:pPr>
                                </w:p>
                                <w:p>
                                  <w:pPr>
                                    <w:pStyle w:val="14"/>
                                    <w:spacing w:before="150"/>
                                    <w:ind w:left="518"/>
                                    <w:rPr>
                                      <w:sz w:val="20"/>
                                    </w:rPr>
                                  </w:pPr>
                                  <w:r>
                                    <w:rPr>
                                      <w:sz w:val="20"/>
                                    </w:rPr>
                                    <w:t>编制资产负债表的基础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28" w:type="dxa"/>
                                </w:tcPr>
                                <w:p>
                                  <w:pPr>
                                    <w:pStyle w:val="14"/>
                                    <w:spacing w:before="70" w:line="236" w:lineRule="exact"/>
                                    <w:ind w:left="443" w:right="434"/>
                                    <w:jc w:val="center"/>
                                    <w:rPr>
                                      <w:sz w:val="20"/>
                                    </w:rPr>
                                  </w:pPr>
                                  <w:r>
                                    <w:rPr>
                                      <w:sz w:val="20"/>
                                    </w:rPr>
                                    <w:t>负债</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28" w:type="dxa"/>
                                </w:tcPr>
                                <w:p>
                                  <w:pPr>
                                    <w:pStyle w:val="14"/>
                                    <w:spacing w:before="70" w:line="236" w:lineRule="exact"/>
                                    <w:ind w:left="443" w:right="434"/>
                                    <w:jc w:val="center"/>
                                    <w:rPr>
                                      <w:sz w:val="20"/>
                                    </w:rPr>
                                  </w:pPr>
                                  <w:r>
                                    <w:rPr>
                                      <w:sz w:val="20"/>
                                    </w:rPr>
                                    <w:t>所有者权益</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28" w:type="dxa"/>
                                </w:tcPr>
                                <w:p>
                                  <w:pPr>
                                    <w:pStyle w:val="14"/>
                                    <w:spacing w:before="70" w:line="236" w:lineRule="exact"/>
                                    <w:ind w:left="443" w:right="434"/>
                                    <w:jc w:val="center"/>
                                    <w:rPr>
                                      <w:sz w:val="20"/>
                                    </w:rPr>
                                  </w:pPr>
                                  <w:r>
                                    <w:rPr>
                                      <w:sz w:val="20"/>
                                    </w:rPr>
                                    <w:t>收入</w:t>
                                  </w:r>
                                </w:p>
                              </w:tc>
                              <w:tc>
                                <w:tcPr>
                                  <w:tcW w:w="1936" w:type="dxa"/>
                                  <w:vMerge w:val="restart"/>
                                </w:tcPr>
                                <w:p>
                                  <w:pPr>
                                    <w:pStyle w:val="14"/>
                                    <w:rPr>
                                      <w:sz w:val="20"/>
                                    </w:rPr>
                                  </w:pPr>
                                </w:p>
                                <w:p>
                                  <w:pPr>
                                    <w:pStyle w:val="14"/>
                                    <w:spacing w:before="150"/>
                                    <w:ind w:left="567"/>
                                    <w:rPr>
                                      <w:sz w:val="20"/>
                                    </w:rPr>
                                  </w:pPr>
                                  <w:r>
                                    <w:rPr>
                                      <w:sz w:val="20"/>
                                    </w:rPr>
                                    <w:t>动态要素</w:t>
                                  </w:r>
                                </w:p>
                              </w:tc>
                              <w:tc>
                                <w:tcPr>
                                  <w:tcW w:w="3150" w:type="dxa"/>
                                  <w:vMerge w:val="restart"/>
                                </w:tcPr>
                                <w:p>
                                  <w:pPr>
                                    <w:pStyle w:val="14"/>
                                    <w:rPr>
                                      <w:sz w:val="20"/>
                                    </w:rPr>
                                  </w:pPr>
                                </w:p>
                                <w:p>
                                  <w:pPr>
                                    <w:pStyle w:val="14"/>
                                    <w:spacing w:before="150"/>
                                    <w:ind w:left="107"/>
                                    <w:rPr>
                                      <w:sz w:val="20"/>
                                    </w:rPr>
                                  </w:pPr>
                                  <w:r>
                                    <w:rPr>
                                      <w:sz w:val="20"/>
                                    </w:rPr>
                                    <w:t>反映企业某一会计期间经营成果</w:t>
                                  </w:r>
                                </w:p>
                              </w:tc>
                              <w:tc>
                                <w:tcPr>
                                  <w:tcW w:w="3041" w:type="dxa"/>
                                  <w:vMerge w:val="restart"/>
                                </w:tcPr>
                                <w:p>
                                  <w:pPr>
                                    <w:pStyle w:val="14"/>
                                    <w:rPr>
                                      <w:sz w:val="20"/>
                                    </w:rPr>
                                  </w:pPr>
                                </w:p>
                                <w:p>
                                  <w:pPr>
                                    <w:pStyle w:val="14"/>
                                    <w:spacing w:before="150"/>
                                    <w:ind w:left="720"/>
                                    <w:rPr>
                                      <w:sz w:val="20"/>
                                    </w:rPr>
                                  </w:pPr>
                                  <w:r>
                                    <w:rPr>
                                      <w:sz w:val="20"/>
                                    </w:rPr>
                                    <w:t>编制利润表的基础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28" w:type="dxa"/>
                                </w:tcPr>
                                <w:p>
                                  <w:pPr>
                                    <w:pStyle w:val="14"/>
                                    <w:spacing w:before="70" w:line="236" w:lineRule="exact"/>
                                    <w:ind w:left="443" w:right="434"/>
                                    <w:jc w:val="center"/>
                                    <w:rPr>
                                      <w:sz w:val="20"/>
                                    </w:rPr>
                                  </w:pPr>
                                  <w:r>
                                    <w:rPr>
                                      <w:sz w:val="20"/>
                                    </w:rPr>
                                    <w:t>费用</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28" w:type="dxa"/>
                                </w:tcPr>
                                <w:p>
                                  <w:pPr>
                                    <w:pStyle w:val="14"/>
                                    <w:spacing w:before="70" w:line="236" w:lineRule="exact"/>
                                    <w:ind w:left="443" w:right="434"/>
                                    <w:jc w:val="center"/>
                                    <w:rPr>
                                      <w:sz w:val="20"/>
                                    </w:rPr>
                                  </w:pPr>
                                  <w:r>
                                    <w:rPr>
                                      <w:sz w:val="20"/>
                                    </w:rPr>
                                    <w:t>利润</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bl>
                          <w:p>
                            <w:pPr>
                              <w:pStyle w:val="6"/>
                              <w:spacing w:before="0"/>
                              <w:ind w:left="0"/>
                            </w:pPr>
                          </w:p>
                        </w:txbxContent>
                      </wps:txbx>
                      <wps:bodyPr lIns="0" tIns="0" rIns="0" bIns="0" upright="1"/>
                    </wps:wsp>
                  </a:graphicData>
                </a:graphic>
              </wp:anchor>
            </w:drawing>
          </mc:Choice>
          <mc:Fallback>
            <w:pict>
              <v:shape id="文本框 15" o:spid="_x0000_s1026" o:spt="202" type="#_x0000_t202" style="position:absolute;left:0pt;margin-left:48.5pt;margin-top:33.65pt;height:101.3pt;width:503.5pt;mso-position-horizontal-relative:page;z-index:15735808;mso-width-relative:page;mso-height-relative:page;" filled="f" stroked="f" coordsize="21600,21600" o:gfxdata="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QGlYJ2QAAAAoBAAAPAAAA&#10;AAAAAAEAIAAAACIAAABkcnMvZG93bnJldi54bWxQSwECFAAUAAAACACHTuJA0MXCOqIBAAAmAwAA&#10;DgAAAAAAAAABACAAAAAo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8"/>
                        <w:gridCol w:w="1936"/>
                        <w:gridCol w:w="3150"/>
                        <w:gridCol w:w="30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28" w:type="dxa"/>
                          </w:tcPr>
                          <w:p>
                            <w:pPr>
                              <w:pStyle w:val="14"/>
                              <w:spacing w:before="70" w:line="236" w:lineRule="exact"/>
                              <w:ind w:left="443" w:right="434"/>
                              <w:jc w:val="center"/>
                              <w:rPr>
                                <w:sz w:val="20"/>
                              </w:rPr>
                            </w:pPr>
                            <w:r>
                              <w:rPr>
                                <w:sz w:val="20"/>
                              </w:rPr>
                              <w:t>资产</w:t>
                            </w:r>
                          </w:p>
                        </w:tc>
                        <w:tc>
                          <w:tcPr>
                            <w:tcW w:w="1936" w:type="dxa"/>
                            <w:vMerge w:val="restart"/>
                          </w:tcPr>
                          <w:p>
                            <w:pPr>
                              <w:pStyle w:val="14"/>
                              <w:rPr>
                                <w:sz w:val="20"/>
                              </w:rPr>
                            </w:pPr>
                          </w:p>
                          <w:p>
                            <w:pPr>
                              <w:pStyle w:val="14"/>
                              <w:spacing w:before="150"/>
                              <w:ind w:left="567"/>
                              <w:rPr>
                                <w:sz w:val="20"/>
                              </w:rPr>
                            </w:pPr>
                            <w:r>
                              <w:rPr>
                                <w:sz w:val="20"/>
                              </w:rPr>
                              <w:t>静态要素</w:t>
                            </w:r>
                          </w:p>
                        </w:tc>
                        <w:tc>
                          <w:tcPr>
                            <w:tcW w:w="3150" w:type="dxa"/>
                            <w:vMerge w:val="restart"/>
                          </w:tcPr>
                          <w:p>
                            <w:pPr>
                              <w:pStyle w:val="14"/>
                              <w:rPr>
                                <w:sz w:val="20"/>
                              </w:rPr>
                            </w:pPr>
                          </w:p>
                          <w:p>
                            <w:pPr>
                              <w:pStyle w:val="14"/>
                              <w:spacing w:before="150"/>
                              <w:ind w:left="107"/>
                              <w:rPr>
                                <w:sz w:val="20"/>
                              </w:rPr>
                            </w:pPr>
                            <w:r>
                              <w:rPr>
                                <w:sz w:val="20"/>
                              </w:rPr>
                              <w:t>反映企业某一特定日期财务状况</w:t>
                            </w:r>
                          </w:p>
                        </w:tc>
                        <w:tc>
                          <w:tcPr>
                            <w:tcW w:w="3041" w:type="dxa"/>
                            <w:vMerge w:val="restart"/>
                          </w:tcPr>
                          <w:p>
                            <w:pPr>
                              <w:pStyle w:val="14"/>
                              <w:rPr>
                                <w:sz w:val="20"/>
                              </w:rPr>
                            </w:pPr>
                          </w:p>
                          <w:p>
                            <w:pPr>
                              <w:pStyle w:val="14"/>
                              <w:spacing w:before="150"/>
                              <w:ind w:left="518"/>
                              <w:rPr>
                                <w:sz w:val="20"/>
                              </w:rPr>
                            </w:pPr>
                            <w:r>
                              <w:rPr>
                                <w:sz w:val="20"/>
                              </w:rPr>
                              <w:t>编制资产负债表的基础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28" w:type="dxa"/>
                          </w:tcPr>
                          <w:p>
                            <w:pPr>
                              <w:pStyle w:val="14"/>
                              <w:spacing w:before="70" w:line="236" w:lineRule="exact"/>
                              <w:ind w:left="443" w:right="434"/>
                              <w:jc w:val="center"/>
                              <w:rPr>
                                <w:sz w:val="20"/>
                              </w:rPr>
                            </w:pPr>
                            <w:r>
                              <w:rPr>
                                <w:sz w:val="20"/>
                              </w:rPr>
                              <w:t>负债</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28" w:type="dxa"/>
                          </w:tcPr>
                          <w:p>
                            <w:pPr>
                              <w:pStyle w:val="14"/>
                              <w:spacing w:before="70" w:line="236" w:lineRule="exact"/>
                              <w:ind w:left="443" w:right="434"/>
                              <w:jc w:val="center"/>
                              <w:rPr>
                                <w:sz w:val="20"/>
                              </w:rPr>
                            </w:pPr>
                            <w:r>
                              <w:rPr>
                                <w:sz w:val="20"/>
                              </w:rPr>
                              <w:t>所有者权益</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28" w:type="dxa"/>
                          </w:tcPr>
                          <w:p>
                            <w:pPr>
                              <w:pStyle w:val="14"/>
                              <w:spacing w:before="70" w:line="236" w:lineRule="exact"/>
                              <w:ind w:left="443" w:right="434"/>
                              <w:jc w:val="center"/>
                              <w:rPr>
                                <w:sz w:val="20"/>
                              </w:rPr>
                            </w:pPr>
                            <w:r>
                              <w:rPr>
                                <w:sz w:val="20"/>
                              </w:rPr>
                              <w:t>收入</w:t>
                            </w:r>
                          </w:p>
                        </w:tc>
                        <w:tc>
                          <w:tcPr>
                            <w:tcW w:w="1936" w:type="dxa"/>
                            <w:vMerge w:val="restart"/>
                          </w:tcPr>
                          <w:p>
                            <w:pPr>
                              <w:pStyle w:val="14"/>
                              <w:rPr>
                                <w:sz w:val="20"/>
                              </w:rPr>
                            </w:pPr>
                          </w:p>
                          <w:p>
                            <w:pPr>
                              <w:pStyle w:val="14"/>
                              <w:spacing w:before="150"/>
                              <w:ind w:left="567"/>
                              <w:rPr>
                                <w:sz w:val="20"/>
                              </w:rPr>
                            </w:pPr>
                            <w:r>
                              <w:rPr>
                                <w:sz w:val="20"/>
                              </w:rPr>
                              <w:t>动态要素</w:t>
                            </w:r>
                          </w:p>
                        </w:tc>
                        <w:tc>
                          <w:tcPr>
                            <w:tcW w:w="3150" w:type="dxa"/>
                            <w:vMerge w:val="restart"/>
                          </w:tcPr>
                          <w:p>
                            <w:pPr>
                              <w:pStyle w:val="14"/>
                              <w:rPr>
                                <w:sz w:val="20"/>
                              </w:rPr>
                            </w:pPr>
                          </w:p>
                          <w:p>
                            <w:pPr>
                              <w:pStyle w:val="14"/>
                              <w:spacing w:before="150"/>
                              <w:ind w:left="107"/>
                              <w:rPr>
                                <w:sz w:val="20"/>
                              </w:rPr>
                            </w:pPr>
                            <w:r>
                              <w:rPr>
                                <w:sz w:val="20"/>
                              </w:rPr>
                              <w:t>反映企业某一会计期间经营成果</w:t>
                            </w:r>
                          </w:p>
                        </w:tc>
                        <w:tc>
                          <w:tcPr>
                            <w:tcW w:w="3041" w:type="dxa"/>
                            <w:vMerge w:val="restart"/>
                          </w:tcPr>
                          <w:p>
                            <w:pPr>
                              <w:pStyle w:val="14"/>
                              <w:rPr>
                                <w:sz w:val="20"/>
                              </w:rPr>
                            </w:pPr>
                          </w:p>
                          <w:p>
                            <w:pPr>
                              <w:pStyle w:val="14"/>
                              <w:spacing w:before="150"/>
                              <w:ind w:left="720"/>
                              <w:rPr>
                                <w:sz w:val="20"/>
                              </w:rPr>
                            </w:pPr>
                            <w:r>
                              <w:rPr>
                                <w:sz w:val="20"/>
                              </w:rPr>
                              <w:t>编制利润表的基础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28" w:type="dxa"/>
                          </w:tcPr>
                          <w:p>
                            <w:pPr>
                              <w:pStyle w:val="14"/>
                              <w:spacing w:before="70" w:line="236" w:lineRule="exact"/>
                              <w:ind w:left="443" w:right="434"/>
                              <w:jc w:val="center"/>
                              <w:rPr>
                                <w:sz w:val="20"/>
                              </w:rPr>
                            </w:pPr>
                            <w:r>
                              <w:rPr>
                                <w:sz w:val="20"/>
                              </w:rPr>
                              <w:t>费用</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28" w:type="dxa"/>
                          </w:tcPr>
                          <w:p>
                            <w:pPr>
                              <w:pStyle w:val="14"/>
                              <w:spacing w:before="70" w:line="236" w:lineRule="exact"/>
                              <w:ind w:left="443" w:right="434"/>
                              <w:jc w:val="center"/>
                              <w:rPr>
                                <w:sz w:val="20"/>
                              </w:rPr>
                            </w:pPr>
                            <w:r>
                              <w:rPr>
                                <w:sz w:val="20"/>
                              </w:rPr>
                              <w:t>利润</w:t>
                            </w:r>
                          </w:p>
                        </w:tc>
                        <w:tc>
                          <w:tcPr>
                            <w:tcW w:w="1936" w:type="dxa"/>
                            <w:vMerge w:val="continue"/>
                            <w:tcBorders>
                              <w:top w:val="nil"/>
                            </w:tcBorders>
                          </w:tcPr>
                          <w:p>
                            <w:pPr>
                              <w:rPr>
                                <w:sz w:val="2"/>
                                <w:szCs w:val="2"/>
                              </w:rPr>
                            </w:pPr>
                          </w:p>
                        </w:tc>
                        <w:tc>
                          <w:tcPr>
                            <w:tcW w:w="3150" w:type="dxa"/>
                            <w:vMerge w:val="continue"/>
                            <w:tcBorders>
                              <w:top w:val="nil"/>
                            </w:tcBorders>
                          </w:tcPr>
                          <w:p>
                            <w:pPr>
                              <w:rPr>
                                <w:sz w:val="2"/>
                                <w:szCs w:val="2"/>
                              </w:rPr>
                            </w:pPr>
                          </w:p>
                        </w:tc>
                        <w:tc>
                          <w:tcPr>
                            <w:tcW w:w="3041" w:type="dxa"/>
                            <w:vMerge w:val="continue"/>
                            <w:tcBorders>
                              <w:top w:val="nil"/>
                            </w:tcBorders>
                          </w:tcPr>
                          <w:p>
                            <w:pPr>
                              <w:rPr>
                                <w:sz w:val="2"/>
                                <w:szCs w:val="2"/>
                              </w:rPr>
                            </w:pPr>
                          </w:p>
                        </w:tc>
                      </w:tr>
                    </w:tbl>
                    <w:p>
                      <w:pPr>
                        <w:pStyle w:val="6"/>
                        <w:spacing w:before="0"/>
                        <w:ind w:left="0"/>
                      </w:pPr>
                    </w:p>
                  </w:txbxContent>
                </v:textbox>
              </v:shape>
            </w:pict>
          </mc:Fallback>
        </mc:AlternateContent>
      </w:r>
      <w:r>
        <w:rPr>
          <w:w w:val="95"/>
        </w:rPr>
        <w:t>会计要素是指根据交易或事项的经济特征所确定的</w:t>
      </w:r>
      <w:r>
        <w:rPr>
          <w:b/>
          <w:color w:val="00AFEF"/>
          <w:w w:val="95"/>
          <w:u w:val="single" w:color="00AFEF"/>
        </w:rPr>
        <w:t>财务会计对象和基本分类</w:t>
      </w:r>
      <w:r>
        <w:rPr>
          <w:w w:val="95"/>
        </w:rPr>
        <w:t xml:space="preserve">，是会计核算对象的具体化。   </w:t>
      </w:r>
      <w:r>
        <w:t>企业会计要素包括</w:t>
      </w:r>
      <w:r>
        <w:rPr>
          <w:color w:val="FF0000"/>
          <w:u w:val="double" w:color="FF0000"/>
        </w:rPr>
        <w:t>资产、负债、所有者权益、收入、费用和利润</w:t>
      </w:r>
      <w: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3"/>
        <w:ind w:left="0"/>
        <w:rPr>
          <w:sz w:val="18"/>
        </w:rPr>
      </w:pPr>
    </w:p>
    <w:p>
      <w:pPr>
        <w:pStyle w:val="5"/>
        <w:spacing w:before="0" w:line="302" w:lineRule="auto"/>
        <w:ind w:right="7250"/>
      </w:pPr>
      <w:r>
        <w:t>（一）资产的定义及其确认条件1.资产定义与特征</w:t>
      </w:r>
    </w:p>
    <w:p>
      <w:pPr>
        <w:pStyle w:val="6"/>
        <w:spacing w:before="5"/>
      </w:pPr>
      <w:r>
        <w:t>资产是指企业</w:t>
      </w:r>
      <w:r>
        <w:rPr>
          <w:color w:val="FF0000"/>
          <w:u w:val="double" w:color="FF0000"/>
        </w:rPr>
        <w:t>过去</w:t>
      </w:r>
      <w:r>
        <w:t>的交易或者事项形成的、由企业</w:t>
      </w:r>
      <w:r>
        <w:rPr>
          <w:color w:val="FF0000"/>
          <w:u w:val="double" w:color="FF0000"/>
        </w:rPr>
        <w:t>拥有或者控制</w:t>
      </w:r>
      <w:r>
        <w:t>的、</w:t>
      </w:r>
      <w:r>
        <w:rPr>
          <w:color w:val="FF0000"/>
          <w:u w:val="double" w:color="FF0000"/>
        </w:rPr>
        <w:t>预期</w:t>
      </w:r>
      <w:r>
        <w:t>会给企业带来经济利益的资源。</w:t>
      </w:r>
    </w:p>
    <w:p>
      <w:pPr>
        <w:pStyle w:val="6"/>
        <w:spacing w:line="304" w:lineRule="auto"/>
        <w:ind w:left="322" w:right="762" w:firstLine="400"/>
      </w:pPr>
      <w:r>
        <w:rPr>
          <w:w w:val="99"/>
        </w:rPr>
        <w:t>①资产是企业</w:t>
      </w:r>
      <w:r>
        <w:rPr>
          <w:color w:val="FF0000"/>
          <w:w w:val="99"/>
          <w:u w:val="double" w:color="FF0000"/>
        </w:rPr>
        <w:t>过去的交易或事项形成</w:t>
      </w:r>
      <w:r>
        <w:rPr>
          <w:w w:val="99"/>
        </w:rPr>
        <w:t>，②资产预期会给企业</w:t>
      </w:r>
      <w:r>
        <w:rPr>
          <w:color w:val="FF0000"/>
          <w:w w:val="99"/>
          <w:u w:val="double" w:color="FF0000"/>
        </w:rPr>
        <w:t>带来经济利益</w:t>
      </w:r>
      <w:r>
        <w:rPr>
          <w:w w:val="99"/>
        </w:rPr>
        <w:t>（直接或间接</w:t>
      </w:r>
      <w:r>
        <w:rPr>
          <w:spacing w:val="-101"/>
          <w:w w:val="99"/>
        </w:rPr>
        <w:t>）</w:t>
      </w:r>
      <w:r>
        <w:rPr>
          <w:w w:val="99"/>
        </w:rPr>
        <w:t>，③资产是企业</w:t>
      </w:r>
      <w:r>
        <w:rPr>
          <w:color w:val="FF0000"/>
          <w:w w:val="99"/>
          <w:u w:val="double" w:color="FF0000"/>
        </w:rPr>
        <w:t>拥</w:t>
      </w:r>
      <w:r>
        <w:rPr>
          <w:color w:val="FF0000"/>
          <w:spacing w:val="-201"/>
          <w:w w:val="99"/>
          <w:u w:val="double" w:color="FF0000"/>
        </w:rPr>
        <w:t>有</w:t>
      </w:r>
      <w:r>
        <w:rPr>
          <w:color w:val="FF0000"/>
          <w:u w:val="double" w:color="FF0000"/>
        </w:rPr>
        <w:t>或者控制的</w:t>
      </w:r>
      <w:r>
        <w:t>资源；</w:t>
      </w:r>
    </w:p>
    <w:p>
      <w:pPr>
        <w:pStyle w:val="5"/>
        <w:numPr>
          <w:ilvl w:val="0"/>
          <w:numId w:val="8"/>
        </w:numPr>
        <w:tabs>
          <w:tab w:val="left" w:pos="925"/>
        </w:tabs>
        <w:spacing w:before="2" w:after="0" w:line="240" w:lineRule="auto"/>
        <w:ind w:left="924" w:right="0" w:hanging="202"/>
        <w:jc w:val="left"/>
      </w:pPr>
      <w:r>
        <w:t>资产的确认条件</w:t>
      </w:r>
    </w:p>
    <w:p>
      <w:pPr>
        <w:pStyle w:val="6"/>
      </w:pPr>
      <w:r>
        <w:t>一项资源确认为资产，需要满足资产的定义，还应同时满足以下</w:t>
      </w:r>
      <w:r>
        <w:rPr>
          <w:color w:val="FF0000"/>
          <w:u w:val="double" w:color="FF0000"/>
        </w:rPr>
        <w:t>两个</w:t>
      </w:r>
      <w:r>
        <w:t>条件：</w:t>
      </w:r>
    </w:p>
    <w:p>
      <w:pPr>
        <w:pStyle w:val="13"/>
        <w:numPr>
          <w:ilvl w:val="0"/>
          <w:numId w:val="9"/>
        </w:numPr>
        <w:tabs>
          <w:tab w:val="left" w:pos="1224"/>
        </w:tabs>
        <w:spacing w:before="68" w:after="0" w:line="240" w:lineRule="auto"/>
        <w:ind w:left="1223" w:right="0" w:hanging="501"/>
        <w:jc w:val="left"/>
        <w:rPr>
          <w:sz w:val="20"/>
        </w:rPr>
      </w:pPr>
      <w:r>
        <w:rPr>
          <w:sz w:val="20"/>
        </w:rPr>
        <w:t>与该资源有关的经济利益</w:t>
      </w:r>
      <w:r>
        <w:rPr>
          <w:b/>
          <w:color w:val="00AFEF"/>
          <w:sz w:val="20"/>
          <w:u w:val="single" w:color="00AFEF"/>
        </w:rPr>
        <w:t>很可能流入企业</w:t>
      </w:r>
      <w:r>
        <w:rPr>
          <w:sz w:val="20"/>
        </w:rPr>
        <w:t>；</w:t>
      </w:r>
    </w:p>
    <w:p>
      <w:pPr>
        <w:pStyle w:val="13"/>
        <w:numPr>
          <w:ilvl w:val="0"/>
          <w:numId w:val="9"/>
        </w:numPr>
        <w:tabs>
          <w:tab w:val="left" w:pos="1224"/>
        </w:tabs>
        <w:spacing w:before="70" w:after="0" w:line="304" w:lineRule="auto"/>
        <w:ind w:left="723" w:right="6360" w:firstLine="0"/>
        <w:jc w:val="left"/>
        <w:rPr>
          <w:b/>
          <w:sz w:val="20"/>
        </w:rPr>
      </w:pPr>
      <w:r>
        <mc:AlternateContent>
          <mc:Choice Requires="wps">
            <w:drawing>
              <wp:anchor distT="0" distB="0" distL="114300" distR="114300" simplePos="0" relativeHeight="482369536" behindDoc="1" locked="0" layoutInCell="1" allowOverlap="1">
                <wp:simplePos x="0" y="0"/>
                <wp:positionH relativeFrom="page">
                  <wp:posOffset>2655570</wp:posOffset>
                </wp:positionH>
                <wp:positionV relativeFrom="paragraph">
                  <wp:posOffset>182880</wp:posOffset>
                </wp:positionV>
                <wp:extent cx="502920" cy="5715"/>
                <wp:effectExtent l="0" t="0" r="0" b="0"/>
                <wp:wrapNone/>
                <wp:docPr id="214" name="任意多边形 1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 o:spid="_x0000_s1026" o:spt="100" style="position:absolute;left:0pt;margin-left:209.1pt;margin-top:14.4pt;height:0.45pt;width:39.6pt;mso-position-horizontal-relative:page;z-index:-20946944;mso-width-relative:page;mso-height-relative:page;" filled="f" stroked="t" coordsize="792,9" o:gfxdata="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nCqS0tgAAAAJAQAADwAAAAAAAAABACAA&#10;AAAiAAAAZHJzL2Rvd25yZXYueG1sUEsBAhQAFAAAAAgAh07iQHYWci/xAgAAmgoAAA4AAAAAAAAA&#10;AQAgAAAAJwEAAGRycy9lMm9Eb2MueG1sUEsFBgAAAAAGAAYAWQEAAIo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z w:val="20"/>
        </w:rPr>
        <w:t>该资源的成本或价值能够</w:t>
      </w:r>
      <w:r>
        <w:rPr>
          <w:b/>
          <w:color w:val="00AFEF"/>
          <w:sz w:val="20"/>
        </w:rPr>
        <w:t>可靠计量</w:t>
      </w:r>
      <w:r>
        <w:rPr>
          <w:spacing w:val="-12"/>
          <w:sz w:val="20"/>
        </w:rPr>
        <w:t>。</w:t>
      </w:r>
      <w:r>
        <w:rPr>
          <w:b/>
          <w:sz w:val="20"/>
        </w:rPr>
        <w:t>3.资产的分类</w:t>
      </w:r>
    </w:p>
    <w:p>
      <w:pPr>
        <w:spacing w:before="2"/>
        <w:ind w:left="723" w:right="0" w:firstLine="0"/>
        <w:jc w:val="left"/>
        <w:rPr>
          <w:sz w:val="20"/>
        </w:rPr>
      </w:pPr>
      <w:r>
        <w:rPr>
          <w:sz w:val="20"/>
        </w:rPr>
        <w:t>资产按流动性进行分类，可以分为</w:t>
      </w:r>
      <w:r>
        <w:rPr>
          <w:b/>
          <w:color w:val="00AFEF"/>
          <w:sz w:val="20"/>
          <w:u w:val="single" w:color="00AFEF"/>
        </w:rPr>
        <w:t>流动资产和非流动资产</w:t>
      </w:r>
      <w:r>
        <w:rPr>
          <w:sz w:val="20"/>
        </w:rPr>
        <w:t>。</w:t>
      </w:r>
    </w:p>
    <w:p>
      <w:pPr>
        <w:pStyle w:val="6"/>
        <w:spacing w:line="304" w:lineRule="auto"/>
        <w:ind w:left="322" w:right="720" w:firstLine="400"/>
        <w:jc w:val="both"/>
      </w:pPr>
      <w:r>
        <w:rPr>
          <w:spacing w:val="-3"/>
          <w:w w:val="95"/>
        </w:rPr>
        <w:t xml:space="preserve">流动资产是指预计在一个正常营业周期中变现、出售或耗用，或者主要为交易目的而持有，或者预计在资产   </w:t>
      </w:r>
      <w:r>
        <w:rPr>
          <w:spacing w:val="-5"/>
          <w:w w:val="95"/>
        </w:rPr>
        <w:t>负债表日起一年内</w:t>
      </w:r>
      <w:r>
        <w:rPr>
          <w:w w:val="95"/>
        </w:rPr>
        <w:t>（含一年</w:t>
      </w:r>
      <w:r>
        <w:rPr>
          <w:spacing w:val="-19"/>
          <w:w w:val="95"/>
        </w:rPr>
        <w:t>）</w:t>
      </w:r>
      <w:r>
        <w:rPr>
          <w:spacing w:val="-4"/>
          <w:w w:val="95"/>
        </w:rPr>
        <w:t xml:space="preserve">变现的资产，以及自资产负债表日起一年内交换其他资产或清偿负债的能力不受限    </w:t>
      </w:r>
      <w:r>
        <w:rPr>
          <w:spacing w:val="-4"/>
        </w:rPr>
        <w:t>制的现金或现金等价物。</w:t>
      </w:r>
    </w:p>
    <w:p>
      <w:pPr>
        <w:pStyle w:val="6"/>
        <w:spacing w:before="1"/>
      </w:pPr>
      <w:r>
        <w:t>非流动资产是指流动资产以外的资产。</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9"/>
        <w:gridCol w:w="1186"/>
        <w:gridCol w:w="4309"/>
        <w:gridCol w:w="31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69" w:type="dxa"/>
          </w:tcPr>
          <w:p>
            <w:pPr>
              <w:pStyle w:val="14"/>
              <w:spacing w:before="68" w:line="237" w:lineRule="exact"/>
              <w:ind w:left="262" w:right="255"/>
              <w:jc w:val="center"/>
              <w:rPr>
                <w:sz w:val="20"/>
              </w:rPr>
            </w:pPr>
            <w:r>
              <w:rPr>
                <w:sz w:val="20"/>
              </w:rPr>
              <w:t>分类</w:t>
            </w:r>
          </w:p>
        </w:tc>
        <w:tc>
          <w:tcPr>
            <w:tcW w:w="5495" w:type="dxa"/>
            <w:gridSpan w:val="2"/>
          </w:tcPr>
          <w:p>
            <w:pPr>
              <w:pStyle w:val="14"/>
              <w:spacing w:before="68" w:line="237" w:lineRule="exact"/>
              <w:ind w:left="2526" w:right="2519"/>
              <w:jc w:val="center"/>
              <w:rPr>
                <w:sz w:val="20"/>
              </w:rPr>
            </w:pPr>
            <w:r>
              <w:rPr>
                <w:sz w:val="20"/>
              </w:rPr>
              <w:t>定义</w:t>
            </w:r>
          </w:p>
        </w:tc>
        <w:tc>
          <w:tcPr>
            <w:tcW w:w="3191" w:type="dxa"/>
          </w:tcPr>
          <w:p>
            <w:pPr>
              <w:pStyle w:val="14"/>
              <w:spacing w:before="68" w:line="237" w:lineRule="exact"/>
              <w:ind w:left="1372" w:right="1368"/>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369" w:type="dxa"/>
          </w:tcPr>
          <w:p>
            <w:pPr>
              <w:pStyle w:val="14"/>
              <w:spacing w:before="1"/>
              <w:rPr>
                <w:sz w:val="18"/>
              </w:rPr>
            </w:pPr>
          </w:p>
          <w:p>
            <w:pPr>
              <w:pStyle w:val="14"/>
              <w:ind w:left="264" w:right="255"/>
              <w:jc w:val="center"/>
              <w:rPr>
                <w:sz w:val="20"/>
              </w:rPr>
            </w:pPr>
            <w:r>
              <w:rPr>
                <w:sz w:val="20"/>
              </w:rPr>
              <w:t>流动资产</w:t>
            </w:r>
          </w:p>
        </w:tc>
        <w:tc>
          <w:tcPr>
            <w:tcW w:w="5495" w:type="dxa"/>
            <w:gridSpan w:val="2"/>
          </w:tcPr>
          <w:p>
            <w:pPr>
              <w:pStyle w:val="14"/>
              <w:spacing w:before="1"/>
              <w:rPr>
                <w:sz w:val="18"/>
              </w:rPr>
            </w:pPr>
          </w:p>
          <w:p>
            <w:pPr>
              <w:pStyle w:val="14"/>
              <w:ind w:left="247"/>
              <w:rPr>
                <w:sz w:val="20"/>
              </w:rPr>
            </w:pPr>
            <w:r>
              <w:rPr>
                <w:sz w:val="20"/>
              </w:rPr>
              <w:t>一年内或超过一年的正常营业周期出售变现或耗用的资产</w:t>
            </w:r>
          </w:p>
        </w:tc>
        <w:tc>
          <w:tcPr>
            <w:tcW w:w="3191" w:type="dxa"/>
          </w:tcPr>
          <w:p>
            <w:pPr>
              <w:pStyle w:val="14"/>
              <w:spacing w:before="8" w:line="326" w:lineRule="exact"/>
              <w:ind w:left="107" w:right="46"/>
              <w:rPr>
                <w:sz w:val="20"/>
              </w:rPr>
            </w:pPr>
            <w:r>
              <w:rPr>
                <w:sz w:val="20"/>
              </w:rPr>
              <w:t>货币资金、存货、应收账款、交易性金融资产等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1369" w:type="dxa"/>
            <w:vMerge w:val="restart"/>
          </w:tcPr>
          <w:p>
            <w:pPr>
              <w:pStyle w:val="14"/>
              <w:rPr>
                <w:sz w:val="20"/>
              </w:rPr>
            </w:pPr>
          </w:p>
          <w:p>
            <w:pPr>
              <w:pStyle w:val="14"/>
              <w:rPr>
                <w:sz w:val="20"/>
              </w:rPr>
            </w:pPr>
          </w:p>
          <w:p>
            <w:pPr>
              <w:pStyle w:val="14"/>
              <w:spacing w:before="10"/>
              <w:rPr>
                <w:sz w:val="28"/>
              </w:rPr>
            </w:pPr>
          </w:p>
          <w:p>
            <w:pPr>
              <w:pStyle w:val="14"/>
              <w:ind w:left="183"/>
              <w:rPr>
                <w:sz w:val="20"/>
              </w:rPr>
            </w:pPr>
            <w:r>
              <w:rPr>
                <w:sz w:val="20"/>
              </w:rPr>
              <w:t>非流动资产</w:t>
            </w:r>
          </w:p>
        </w:tc>
        <w:tc>
          <w:tcPr>
            <w:tcW w:w="1186" w:type="dxa"/>
          </w:tcPr>
          <w:p>
            <w:pPr>
              <w:pStyle w:val="14"/>
              <w:rPr>
                <w:sz w:val="20"/>
              </w:rPr>
            </w:pPr>
          </w:p>
          <w:p>
            <w:pPr>
              <w:pStyle w:val="14"/>
              <w:spacing w:before="131"/>
              <w:ind w:right="182"/>
              <w:jc w:val="right"/>
              <w:rPr>
                <w:sz w:val="20"/>
              </w:rPr>
            </w:pPr>
            <w:r>
              <w:rPr>
                <w:w w:val="95"/>
                <w:sz w:val="20"/>
              </w:rPr>
              <w:t>固定资产</w:t>
            </w:r>
          </w:p>
        </w:tc>
        <w:tc>
          <w:tcPr>
            <w:tcW w:w="4309" w:type="dxa"/>
          </w:tcPr>
          <w:p>
            <w:pPr>
              <w:pStyle w:val="14"/>
              <w:numPr>
                <w:ilvl w:val="0"/>
                <w:numId w:val="10"/>
              </w:numPr>
              <w:tabs>
                <w:tab w:val="left" w:pos="310"/>
              </w:tabs>
              <w:spacing w:before="61" w:after="0" w:line="304" w:lineRule="auto"/>
              <w:ind w:left="108" w:right="190" w:firstLine="0"/>
              <w:jc w:val="left"/>
              <w:rPr>
                <w:sz w:val="20"/>
              </w:rPr>
            </w:pPr>
            <w:r>
              <w:rPr>
                <w:w w:val="95"/>
                <w:sz w:val="20"/>
              </w:rPr>
              <w:t>为生产商品、提供劳务、出租或经营管理持</w:t>
            </w:r>
            <w:r>
              <w:rPr>
                <w:sz w:val="20"/>
              </w:rPr>
              <w:t>有的</w:t>
            </w:r>
          </w:p>
          <w:p>
            <w:pPr>
              <w:pStyle w:val="14"/>
              <w:numPr>
                <w:ilvl w:val="0"/>
                <w:numId w:val="10"/>
              </w:numPr>
              <w:tabs>
                <w:tab w:val="left" w:pos="310"/>
              </w:tabs>
              <w:spacing w:before="2" w:after="0" w:line="236" w:lineRule="exact"/>
              <w:ind w:left="309" w:right="0" w:hanging="202"/>
              <w:jc w:val="left"/>
              <w:rPr>
                <w:sz w:val="20"/>
              </w:rPr>
            </w:pPr>
            <w:r>
              <w:rPr>
                <w:sz w:val="20"/>
              </w:rPr>
              <w:t>使用寿命超过一个会计年度</w:t>
            </w:r>
          </w:p>
        </w:tc>
        <w:tc>
          <w:tcPr>
            <w:tcW w:w="3191" w:type="dxa"/>
          </w:tcPr>
          <w:p>
            <w:pPr>
              <w:pStyle w:val="14"/>
              <w:spacing w:before="6"/>
              <w:rPr>
                <w:sz w:val="17"/>
              </w:rPr>
            </w:pPr>
          </w:p>
          <w:p>
            <w:pPr>
              <w:pStyle w:val="14"/>
              <w:spacing w:line="304" w:lineRule="auto"/>
              <w:ind w:left="107" w:right="46"/>
              <w:rPr>
                <w:sz w:val="20"/>
              </w:rPr>
            </w:pPr>
            <w:r>
              <w:rPr>
                <w:sz w:val="20"/>
              </w:rPr>
              <w:t>房屋建筑物、机器设备、运输设备和工具器具等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5" w:hRule="atLeast"/>
        </w:trPr>
        <w:tc>
          <w:tcPr>
            <w:tcW w:w="1369" w:type="dxa"/>
            <w:vMerge w:val="continue"/>
            <w:tcBorders>
              <w:top w:val="nil"/>
            </w:tcBorders>
          </w:tcPr>
          <w:p>
            <w:pPr>
              <w:rPr>
                <w:sz w:val="2"/>
                <w:szCs w:val="2"/>
              </w:rPr>
            </w:pPr>
          </w:p>
        </w:tc>
        <w:tc>
          <w:tcPr>
            <w:tcW w:w="1186" w:type="dxa"/>
          </w:tcPr>
          <w:p>
            <w:pPr>
              <w:pStyle w:val="14"/>
              <w:rPr>
                <w:sz w:val="20"/>
              </w:rPr>
            </w:pPr>
          </w:p>
          <w:p>
            <w:pPr>
              <w:pStyle w:val="14"/>
              <w:spacing w:before="140"/>
              <w:ind w:right="182"/>
              <w:jc w:val="right"/>
              <w:rPr>
                <w:sz w:val="20"/>
              </w:rPr>
            </w:pPr>
            <w:r>
              <w:rPr>
                <w:w w:val="95"/>
                <w:sz w:val="20"/>
              </w:rPr>
              <w:t>无形资产</w:t>
            </w:r>
          </w:p>
        </w:tc>
        <w:tc>
          <w:tcPr>
            <w:tcW w:w="4309" w:type="dxa"/>
          </w:tcPr>
          <w:p>
            <w:pPr>
              <w:pStyle w:val="14"/>
              <w:spacing w:before="2"/>
              <w:rPr>
                <w:sz w:val="18"/>
              </w:rPr>
            </w:pPr>
          </w:p>
          <w:p>
            <w:pPr>
              <w:pStyle w:val="14"/>
              <w:spacing w:line="302" w:lineRule="auto"/>
              <w:ind w:left="108" w:right="190"/>
              <w:rPr>
                <w:sz w:val="20"/>
              </w:rPr>
            </w:pPr>
            <w:r>
              <w:rPr>
                <w:sz w:val="20"/>
              </w:rPr>
              <w:t>企业拥有或者控制的没有实物形态的可辨认非货币性资产</w:t>
            </w:r>
          </w:p>
        </w:tc>
        <w:tc>
          <w:tcPr>
            <w:tcW w:w="3191" w:type="dxa"/>
          </w:tcPr>
          <w:p>
            <w:pPr>
              <w:pStyle w:val="14"/>
              <w:spacing w:before="70"/>
              <w:ind w:left="107"/>
              <w:rPr>
                <w:sz w:val="20"/>
              </w:rPr>
            </w:pPr>
            <w:r>
              <w:rPr>
                <w:sz w:val="20"/>
              </w:rPr>
              <w:t>专利权、非专利技术、商标权、著</w:t>
            </w:r>
          </w:p>
          <w:p>
            <w:pPr>
              <w:pStyle w:val="14"/>
              <w:spacing w:before="6" w:line="320" w:lineRule="atLeast"/>
              <w:ind w:left="107" w:right="46"/>
              <w:rPr>
                <w:sz w:val="20"/>
              </w:rPr>
            </w:pPr>
            <w:r>
              <w:rPr>
                <w:sz w:val="20"/>
              </w:rPr>
              <w:t>作权、土地使用权和特许权等（无商誉）</w:t>
            </w:r>
          </w:p>
        </w:tc>
      </w:tr>
    </w:tbl>
    <w:p>
      <w:pPr>
        <w:spacing w:after="0" w:line="320" w:lineRule="atLeast"/>
        <w:rPr>
          <w:sz w:val="20"/>
        </w:rPr>
        <w:sectPr>
          <w:pgSz w:w="11910" w:h="16160"/>
          <w:pgMar w:top="1680" w:right="360" w:bottom="860" w:left="760" w:header="0" w:footer="584" w:gutter="0"/>
        </w:sectPr>
      </w:pPr>
    </w:p>
    <w:p>
      <w:pPr>
        <w:pStyle w:val="6"/>
        <w:spacing w:before="1"/>
        <w:ind w:left="0"/>
        <w:rPr>
          <w:sz w:val="14"/>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9"/>
        <w:gridCol w:w="8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69" w:type="dxa"/>
          </w:tcPr>
          <w:p>
            <w:pPr>
              <w:pStyle w:val="14"/>
              <w:rPr>
                <w:rFonts w:ascii="Times New Roman"/>
                <w:sz w:val="18"/>
              </w:rPr>
            </w:pPr>
          </w:p>
        </w:tc>
        <w:tc>
          <w:tcPr>
            <w:tcW w:w="8686" w:type="dxa"/>
          </w:tcPr>
          <w:p>
            <w:pPr>
              <w:pStyle w:val="14"/>
              <w:spacing w:before="68" w:line="238" w:lineRule="exact"/>
              <w:ind w:left="2922" w:right="2914"/>
              <w:jc w:val="center"/>
              <w:rPr>
                <w:sz w:val="20"/>
              </w:rPr>
            </w:pPr>
            <w:r>
              <w:rPr>
                <w:sz w:val="20"/>
              </w:rPr>
              <w:t>长期股权投资、长期待摊费用等</w:t>
            </w:r>
          </w:p>
        </w:tc>
      </w:tr>
    </w:tbl>
    <w:p>
      <w:pPr>
        <w:pStyle w:val="6"/>
        <w:spacing w:before="68"/>
      </w:pPr>
      <w:r>
        <mc:AlternateContent>
          <mc:Choice Requires="wps">
            <w:drawing>
              <wp:anchor distT="0" distB="0" distL="114300" distR="114300" simplePos="0" relativeHeight="15736832" behindDoc="0" locked="0" layoutInCell="1" allowOverlap="1">
                <wp:simplePos x="0" y="0"/>
                <wp:positionH relativeFrom="page">
                  <wp:posOffset>1068705</wp:posOffset>
                </wp:positionH>
                <wp:positionV relativeFrom="paragraph">
                  <wp:posOffset>180975</wp:posOffset>
                </wp:positionV>
                <wp:extent cx="251460" cy="5715"/>
                <wp:effectExtent l="0" t="0" r="0" b="0"/>
                <wp:wrapNone/>
                <wp:docPr id="8" name="任意多边形 1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7" o:spid="_x0000_s1026" o:spt="100" style="position:absolute;left:0pt;margin-left:84.15pt;margin-top:14.25pt;height:0.45pt;width:19.8pt;mso-position-horizontal-relative:page;z-index:15736832;mso-width-relative:page;mso-height-relative:page;" filled="f" stroked="t" coordsize="396,9" o:gfxdata="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uhzi&#10;jdoAAAAJAQAADwAAAAAAAAABACAAAAAiAAAAZHJzL2Rvd25yZXYueG1sUEsBAhQAFAAAAAgAh07i&#10;QBe5p4eSAgAAVAcAAA4AAAAAAAAAAQAgAAAAKQ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】1.商誉不是无形资产。</w:t>
      </w:r>
    </w:p>
    <w:p>
      <w:pPr>
        <w:pStyle w:val="13"/>
        <w:numPr>
          <w:ilvl w:val="1"/>
          <w:numId w:val="8"/>
        </w:numPr>
        <w:tabs>
          <w:tab w:val="left" w:pos="1724"/>
        </w:tabs>
        <w:spacing w:before="70" w:after="0" w:line="240" w:lineRule="auto"/>
        <w:ind w:left="1724" w:right="0" w:hanging="202"/>
        <w:jc w:val="left"/>
        <w:rPr>
          <w:sz w:val="20"/>
        </w:rPr>
      </w:pPr>
      <w:r>
        <w:rPr>
          <w:w w:val="99"/>
          <w:sz w:val="20"/>
        </w:rPr>
        <w:t>应收票据：商业汇票（商业承兑汇票和银行承兑汇票</w:t>
      </w:r>
      <w:r>
        <w:rPr>
          <w:spacing w:val="-99"/>
          <w:w w:val="99"/>
          <w:sz w:val="20"/>
        </w:rPr>
        <w:t>）</w:t>
      </w:r>
      <w:r>
        <w:rPr>
          <w:w w:val="99"/>
          <w:sz w:val="20"/>
        </w:rPr>
        <w:t>，</w:t>
      </w:r>
    </w:p>
    <w:p>
      <w:pPr>
        <w:pStyle w:val="13"/>
        <w:numPr>
          <w:ilvl w:val="1"/>
          <w:numId w:val="8"/>
        </w:numPr>
        <w:tabs>
          <w:tab w:val="left" w:pos="1724"/>
        </w:tabs>
        <w:spacing w:before="70" w:after="0" w:line="240" w:lineRule="auto"/>
        <w:ind w:left="1724" w:right="0" w:hanging="202"/>
        <w:jc w:val="left"/>
        <w:rPr>
          <w:sz w:val="20"/>
        </w:rPr>
      </w:pPr>
      <w:r>
        <w:rPr>
          <w:sz w:val="20"/>
        </w:rPr>
        <w:t>存货包括原材料、周转材料、在产品、库存商品等，注意存货和固定资产的区别，</w:t>
      </w:r>
    </w:p>
    <w:p>
      <w:pPr>
        <w:pStyle w:val="5"/>
        <w:spacing w:before="71" w:line="304" w:lineRule="auto"/>
        <w:ind w:right="7452"/>
      </w:pPr>
      <w:r>
        <w:t>（二）负债定义及其确认条件1.负债的定义与特征</w:t>
      </w:r>
    </w:p>
    <w:p>
      <w:pPr>
        <w:pStyle w:val="6"/>
        <w:spacing w:before="1"/>
      </w:pPr>
      <w:r>
        <w:t>负债是指企业由</w:t>
      </w:r>
      <w:r>
        <w:rPr>
          <w:color w:val="FF0000"/>
          <w:u w:val="double" w:color="FF0000"/>
        </w:rPr>
        <w:t>过去的</w:t>
      </w:r>
      <w:r>
        <w:t>交易或者事项形成的、</w:t>
      </w:r>
      <w:r>
        <w:rPr>
          <w:color w:val="FF0000"/>
          <w:u w:val="double" w:color="FF0000"/>
        </w:rPr>
        <w:t>预期</w:t>
      </w:r>
      <w:r>
        <w:t>会导致经济利益</w:t>
      </w:r>
      <w:r>
        <w:rPr>
          <w:color w:val="FF0000"/>
          <w:u w:val="double" w:color="FF0000"/>
        </w:rPr>
        <w:t>流出</w:t>
      </w:r>
      <w:r>
        <w:t>企业的</w:t>
      </w:r>
      <w:r>
        <w:rPr>
          <w:color w:val="FF0000"/>
          <w:u w:val="double" w:color="FF0000"/>
        </w:rPr>
        <w:t>现时义务</w:t>
      </w:r>
      <w:r>
        <w:t>。</w:t>
      </w:r>
    </w:p>
    <w:p>
      <w:pPr>
        <w:pStyle w:val="6"/>
        <w:spacing w:before="68"/>
      </w:pPr>
      <w:r>
        <w:t>①负债是企业过去的交易或者事项形成的；未来发生的交易或事项形成的义务，不属于现时义务。</w:t>
      </w:r>
    </w:p>
    <w:p>
      <w:pPr>
        <w:pStyle w:val="6"/>
      </w:pPr>
      <w:r>
        <w:t>②负债是企业承担的现时义务。③负债预期会导致经济利益流出企业。</w:t>
      </w:r>
    </w:p>
    <w:p>
      <w:pPr>
        <w:pStyle w:val="6"/>
        <w:spacing w:before="71" w:line="304" w:lineRule="auto"/>
        <w:ind w:left="322" w:right="722" w:firstLine="400"/>
      </w:pPr>
      <w:r>
        <w:rPr>
          <w:spacing w:val="-2"/>
          <w:w w:val="95"/>
        </w:rPr>
        <w:t>清偿负债的方式有：</w:t>
      </w:r>
      <w:r>
        <w:rPr>
          <w:color w:val="FF0000"/>
          <w:spacing w:val="-4"/>
          <w:w w:val="95"/>
          <w:u w:val="double" w:color="FF0000"/>
        </w:rPr>
        <w:t>用现金偿还或实物资产偿还；提供劳务形式偿还；部分提供劳务形式偿还；将负债转为</w:t>
      </w:r>
      <w:r>
        <w:rPr>
          <w:color w:val="FF0000"/>
          <w:spacing w:val="-198"/>
          <w:w w:val="95"/>
          <w:u w:val="double" w:color="FF0000"/>
        </w:rPr>
        <w:t>资</w:t>
      </w:r>
      <w:r>
        <w:rPr>
          <w:color w:val="FF0000"/>
          <w:spacing w:val="190"/>
          <w:w w:val="95"/>
          <w:u w:val="double" w:color="FF0000"/>
        </w:rPr>
        <w:t xml:space="preserve"> </w:t>
      </w:r>
      <w:r>
        <w:rPr>
          <w:color w:val="FF0000"/>
          <w:u w:val="double" w:color="FF0000"/>
        </w:rPr>
        <w:t>本</w:t>
      </w:r>
      <w:r>
        <w:t>等。</w:t>
      </w:r>
    </w:p>
    <w:p>
      <w:pPr>
        <w:pStyle w:val="5"/>
        <w:spacing w:before="1"/>
      </w:pPr>
      <w:r>
        <w:t>2.负债的确认条件</w:t>
      </w:r>
    </w:p>
    <w:p>
      <w:pPr>
        <w:pStyle w:val="6"/>
        <w:spacing w:before="71"/>
      </w:pPr>
      <w:r>
        <w:t>一项义务确认为负债，需要满足负债的定义，还应</w:t>
      </w:r>
      <w:r>
        <w:rPr>
          <w:color w:val="FF0000"/>
          <w:u w:val="double" w:color="FF0000"/>
        </w:rPr>
        <w:t>同时</w:t>
      </w:r>
      <w:r>
        <w:t>满足以下</w:t>
      </w:r>
      <w:r>
        <w:rPr>
          <w:color w:val="FF0000"/>
          <w:u w:val="double" w:color="FF0000"/>
        </w:rPr>
        <w:t>两个</w:t>
      </w:r>
      <w:r>
        <w:t>条件：</w:t>
      </w:r>
    </w:p>
    <w:p>
      <w:pPr>
        <w:tabs>
          <w:tab w:val="left" w:pos="5227"/>
        </w:tabs>
        <w:spacing w:before="67" w:line="304" w:lineRule="auto"/>
        <w:ind w:left="723" w:right="1254" w:firstLine="0"/>
        <w:jc w:val="left"/>
        <w:rPr>
          <w:b/>
          <w:sz w:val="20"/>
        </w:rPr>
      </w:pPr>
      <w:r>
        <mc:AlternateContent>
          <mc:Choice Requires="wps">
            <w:drawing>
              <wp:anchor distT="0" distB="0" distL="114300" distR="114300" simplePos="0" relativeHeight="482371584" behindDoc="1" locked="0" layoutInCell="1" allowOverlap="1">
                <wp:simplePos x="0" y="0"/>
                <wp:positionH relativeFrom="page">
                  <wp:posOffset>5897245</wp:posOffset>
                </wp:positionH>
                <wp:positionV relativeFrom="paragraph">
                  <wp:posOffset>180975</wp:posOffset>
                </wp:positionV>
                <wp:extent cx="502920" cy="5715"/>
                <wp:effectExtent l="0" t="0" r="0" b="0"/>
                <wp:wrapNone/>
                <wp:docPr id="215" name="任意多边形 1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8" o:spid="_x0000_s1026" o:spt="100" style="position:absolute;left:0pt;margin-left:464.35pt;margin-top:14.25pt;height:0.45pt;width:39.6pt;mso-position-horizontal-relative:page;z-index:-20944896;mso-width-relative:page;mso-height-relative:page;" filled="f" stroked="t" coordsize="792,9" o:gfxdata="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AG4gc/YAAAACgEAAA8AAAAAAAAAAQAgAAAAIgAA&#10;AGRycy9kb3ducmV2LnhtbFBLAQIUABQAAAAIAIdO4kCR6owE7AIAAJoKAAAOAAAAAAAAAAEAIAAA&#10;ACcBAABkcnMvZTJvRG9jLnhtbFBLBQYAAAAABgAGAFkBAACF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z w:val="20"/>
        </w:rPr>
        <w:t>（1）与该义务有关的经济利益</w:t>
      </w:r>
      <w:r>
        <w:rPr>
          <w:b/>
          <w:color w:val="00AFEF"/>
          <w:sz w:val="20"/>
          <w:u w:val="single" w:color="00AFEF"/>
        </w:rPr>
        <w:t>很可能流出企业</w:t>
      </w:r>
      <w:r>
        <w:rPr>
          <w:sz w:val="20"/>
        </w:rPr>
        <w:t>；</w:t>
      </w:r>
      <w:r>
        <w:rPr>
          <w:sz w:val="20"/>
        </w:rPr>
        <w:tab/>
      </w:r>
      <w:r>
        <w:rPr>
          <w:sz w:val="20"/>
        </w:rPr>
        <w:t>（2）未来流出的经济利益的金额能够</w:t>
      </w:r>
      <w:r>
        <w:rPr>
          <w:b/>
          <w:color w:val="00AFEF"/>
          <w:sz w:val="20"/>
        </w:rPr>
        <w:t>可靠计量</w:t>
      </w:r>
      <w:r>
        <w:rPr>
          <w:spacing w:val="-11"/>
          <w:sz w:val="20"/>
        </w:rPr>
        <w:t>。</w:t>
      </w:r>
      <w:r>
        <w:rPr>
          <w:b/>
          <w:sz w:val="20"/>
        </w:rPr>
        <w:t>3.负债的分类</w:t>
      </w:r>
    </w:p>
    <w:p>
      <w:pPr>
        <w:pStyle w:val="6"/>
        <w:spacing w:before="2"/>
      </w:pPr>
      <w:r>
        <w:t>按偿还期限的长短，一般将负债分为</w:t>
      </w:r>
      <w:r>
        <w:rPr>
          <w:color w:val="FF0000"/>
          <w:u w:val="double" w:color="FF0000"/>
        </w:rPr>
        <w:t>流动负债和非流动负债</w:t>
      </w:r>
      <w:r>
        <w:t>。</w:t>
      </w:r>
    </w:p>
    <w:p>
      <w:pPr>
        <w:pStyle w:val="6"/>
      </w:pPr>
      <w:r>
        <w:t>流动负债是指预计在一个正常营业周期中偿还，或者主要为交易目的而持有，或者自资产负债表日起一年内</w:t>
      </w:r>
    </w:p>
    <w:p>
      <w:pPr>
        <w:pStyle w:val="6"/>
        <w:spacing w:before="71" w:line="304" w:lineRule="auto"/>
        <w:ind w:right="1663" w:hanging="401"/>
      </w:pPr>
      <w:r>
        <mc:AlternateContent>
          <mc:Choice Requires="wps">
            <w:drawing>
              <wp:anchor distT="0" distB="0" distL="114300" distR="114300" simplePos="0" relativeHeight="15737856" behindDoc="0" locked="0" layoutInCell="1" allowOverlap="1">
                <wp:simplePos x="0" y="0"/>
                <wp:positionH relativeFrom="page">
                  <wp:posOffset>1071245</wp:posOffset>
                </wp:positionH>
                <wp:positionV relativeFrom="paragraph">
                  <wp:posOffset>414655</wp:posOffset>
                </wp:positionV>
                <wp:extent cx="5420995" cy="1270000"/>
                <wp:effectExtent l="0" t="0" r="0" b="0"/>
                <wp:wrapNone/>
                <wp:docPr id="10" name="文本框 19"/>
                <wp:cNvGraphicFramePr/>
                <a:graphic xmlns:a="http://schemas.openxmlformats.org/drawingml/2006/main">
                  <a:graphicData uri="http://schemas.microsoft.com/office/word/2010/wordprocessingShape">
                    <wps:wsp>
                      <wps:cNvSpPr txBox="1"/>
                      <wps:spPr>
                        <a:xfrm>
                          <a:off x="0" y="0"/>
                          <a:ext cx="5420995" cy="127000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14"/>
                              <w:gridCol w:w="3300"/>
                              <w:gridCol w:w="39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14" w:type="dxa"/>
                                </w:tcPr>
                                <w:p>
                                  <w:pPr>
                                    <w:pStyle w:val="14"/>
                                    <w:spacing w:before="70" w:line="236" w:lineRule="exact"/>
                                    <w:ind w:left="134" w:right="129"/>
                                    <w:jc w:val="center"/>
                                    <w:rPr>
                                      <w:sz w:val="20"/>
                                    </w:rPr>
                                  </w:pPr>
                                  <w:r>
                                    <w:rPr>
                                      <w:sz w:val="20"/>
                                    </w:rPr>
                                    <w:t>分类</w:t>
                                  </w:r>
                                </w:p>
                              </w:tc>
                              <w:tc>
                                <w:tcPr>
                                  <w:tcW w:w="3300" w:type="dxa"/>
                                </w:tcPr>
                                <w:p>
                                  <w:pPr>
                                    <w:pStyle w:val="14"/>
                                    <w:spacing w:before="70" w:line="236" w:lineRule="exact"/>
                                    <w:ind w:left="1628" w:right="1221"/>
                                    <w:jc w:val="center"/>
                                    <w:rPr>
                                      <w:sz w:val="20"/>
                                    </w:rPr>
                                  </w:pPr>
                                  <w:r>
                                    <w:rPr>
                                      <w:sz w:val="20"/>
                                    </w:rPr>
                                    <w:t>定义</w:t>
                                  </w:r>
                                </w:p>
                              </w:tc>
                              <w:tc>
                                <w:tcPr>
                                  <w:tcW w:w="3908" w:type="dxa"/>
                                </w:tcPr>
                                <w:p>
                                  <w:pPr>
                                    <w:pStyle w:val="14"/>
                                    <w:spacing w:before="70" w:line="236" w:lineRule="exact"/>
                                    <w:ind w:left="530" w:right="121"/>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7" w:hRule="atLeast"/>
                              </w:trPr>
                              <w:tc>
                                <w:tcPr>
                                  <w:tcW w:w="1314" w:type="dxa"/>
                                </w:tcPr>
                                <w:p>
                                  <w:pPr>
                                    <w:pStyle w:val="14"/>
                                    <w:rPr>
                                      <w:b/>
                                      <w:sz w:val="20"/>
                                    </w:rPr>
                                  </w:pPr>
                                </w:p>
                                <w:p>
                                  <w:pPr>
                                    <w:pStyle w:val="14"/>
                                    <w:spacing w:before="8"/>
                                    <w:rPr>
                                      <w:b/>
                                      <w:sz w:val="23"/>
                                    </w:rPr>
                                  </w:pPr>
                                </w:p>
                                <w:p>
                                  <w:pPr>
                                    <w:pStyle w:val="14"/>
                                    <w:spacing w:before="1"/>
                                    <w:ind w:left="134" w:right="126"/>
                                    <w:jc w:val="center"/>
                                    <w:rPr>
                                      <w:sz w:val="20"/>
                                    </w:rPr>
                                  </w:pPr>
                                  <w:r>
                                    <w:rPr>
                                      <w:sz w:val="20"/>
                                    </w:rPr>
                                    <w:t>流动负债</w:t>
                                  </w:r>
                                </w:p>
                              </w:tc>
                              <w:tc>
                                <w:tcPr>
                                  <w:tcW w:w="3300" w:type="dxa"/>
                                </w:tcPr>
                                <w:p>
                                  <w:pPr>
                                    <w:pStyle w:val="14"/>
                                    <w:rPr>
                                      <w:b/>
                                      <w:sz w:val="20"/>
                                    </w:rPr>
                                  </w:pPr>
                                </w:p>
                                <w:p>
                                  <w:pPr>
                                    <w:pStyle w:val="14"/>
                                    <w:spacing w:before="140" w:line="304" w:lineRule="auto"/>
                                    <w:ind w:left="106" w:right="181"/>
                                    <w:rPr>
                                      <w:sz w:val="20"/>
                                    </w:rPr>
                                  </w:pPr>
                                  <w:r>
                                    <w:rPr>
                                      <w:sz w:val="20"/>
                                    </w:rPr>
                                    <w:t>一年内或超过一年的正常营业周期偿还的负债</w:t>
                                  </w:r>
                                </w:p>
                              </w:tc>
                              <w:tc>
                                <w:tcPr>
                                  <w:tcW w:w="3908" w:type="dxa"/>
                                </w:tcPr>
                                <w:p>
                                  <w:pPr>
                                    <w:pStyle w:val="14"/>
                                    <w:spacing w:before="2"/>
                                    <w:rPr>
                                      <w:b/>
                                      <w:sz w:val="18"/>
                                    </w:rPr>
                                  </w:pPr>
                                </w:p>
                                <w:p>
                                  <w:pPr>
                                    <w:pStyle w:val="14"/>
                                    <w:spacing w:line="304" w:lineRule="auto"/>
                                    <w:ind w:left="106" w:right="189" w:firstLine="400"/>
                                    <w:jc w:val="both"/>
                                    <w:rPr>
                                      <w:sz w:val="20"/>
                                    </w:rPr>
                                  </w:pPr>
                                  <w:r>
                                    <w:rPr>
                                      <w:sz w:val="20"/>
                                    </w:rPr>
                                    <w:t>短期借款、应付账款、预收账款、应付职工薪酬、应交税费、应付利息、应付股利、其他应付款等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14" w:type="dxa"/>
                                </w:tcPr>
                                <w:p>
                                  <w:pPr>
                                    <w:pStyle w:val="14"/>
                                    <w:spacing w:before="69" w:line="236" w:lineRule="exact"/>
                                    <w:ind w:left="134" w:right="129"/>
                                    <w:jc w:val="center"/>
                                    <w:rPr>
                                      <w:sz w:val="20"/>
                                    </w:rPr>
                                  </w:pPr>
                                  <w:r>
                                    <w:rPr>
                                      <w:sz w:val="20"/>
                                    </w:rPr>
                                    <w:t>非流动负债</w:t>
                                  </w:r>
                                </w:p>
                              </w:tc>
                              <w:tc>
                                <w:tcPr>
                                  <w:tcW w:w="3300" w:type="dxa"/>
                                </w:tcPr>
                                <w:p>
                                  <w:pPr>
                                    <w:pStyle w:val="14"/>
                                    <w:spacing w:before="69" w:line="236" w:lineRule="exact"/>
                                    <w:ind w:left="648"/>
                                    <w:rPr>
                                      <w:sz w:val="20"/>
                                    </w:rPr>
                                  </w:pPr>
                                  <w:r>
                                    <w:rPr>
                                      <w:sz w:val="20"/>
                                    </w:rPr>
                                    <w:t>除流动负债以外的负债</w:t>
                                  </w:r>
                                </w:p>
                              </w:tc>
                              <w:tc>
                                <w:tcPr>
                                  <w:tcW w:w="3908" w:type="dxa"/>
                                </w:tcPr>
                                <w:p>
                                  <w:pPr>
                                    <w:pStyle w:val="14"/>
                                    <w:spacing w:before="69" w:line="236" w:lineRule="exact"/>
                                    <w:ind w:left="532" w:right="121"/>
                                    <w:jc w:val="center"/>
                                    <w:rPr>
                                      <w:sz w:val="20"/>
                                    </w:rPr>
                                  </w:pPr>
                                  <w:r>
                                    <w:rPr>
                                      <w:b/>
                                      <w:color w:val="00AFEF"/>
                                      <w:sz w:val="20"/>
                                    </w:rPr>
                                    <w:t>应付债券</w:t>
                                  </w:r>
                                  <w:r>
                                    <w:rPr>
                                      <w:sz w:val="20"/>
                                    </w:rPr>
                                    <w:t>、长期应付款、长期借款等</w:t>
                                  </w:r>
                                </w:p>
                              </w:tc>
                            </w:tr>
                          </w:tbl>
                          <w:p>
                            <w:pPr>
                              <w:pStyle w:val="6"/>
                              <w:spacing w:before="0"/>
                              <w:ind w:left="0"/>
                            </w:pPr>
                          </w:p>
                        </w:txbxContent>
                      </wps:txbx>
                      <wps:bodyPr lIns="0" tIns="0" rIns="0" bIns="0" upright="1"/>
                    </wps:wsp>
                  </a:graphicData>
                </a:graphic>
              </wp:anchor>
            </w:drawing>
          </mc:Choice>
          <mc:Fallback>
            <w:pict>
              <v:shape id="文本框 19" o:spid="_x0000_s1026" o:spt="202" type="#_x0000_t202" style="position:absolute;left:0pt;margin-left:84.35pt;margin-top:32.65pt;height:100pt;width:426.85pt;mso-position-horizontal-relative:page;z-index:15737856;mso-width-relative:page;mso-height-relative:page;" filled="f" stroked="f" coordsize="21600,21600" o:gfxdata="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zVJvA2AAAAAsBAAAPAAAAAAAA&#10;AAEAIAAAACIAAABkcnMvZG93bnJldi54bWxQSwECFAAUAAAACACHTuJAtxRqbaABAAAnAwAADgAA&#10;AAAAAAABACAAAAAnAQAAZHJzL2Uyb0RvYy54bWxQSwUGAAAAAAYABgBZAQAAOQ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14"/>
                        <w:gridCol w:w="3300"/>
                        <w:gridCol w:w="39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14" w:type="dxa"/>
                          </w:tcPr>
                          <w:p>
                            <w:pPr>
                              <w:pStyle w:val="14"/>
                              <w:spacing w:before="70" w:line="236" w:lineRule="exact"/>
                              <w:ind w:left="134" w:right="129"/>
                              <w:jc w:val="center"/>
                              <w:rPr>
                                <w:sz w:val="20"/>
                              </w:rPr>
                            </w:pPr>
                            <w:r>
                              <w:rPr>
                                <w:sz w:val="20"/>
                              </w:rPr>
                              <w:t>分类</w:t>
                            </w:r>
                          </w:p>
                        </w:tc>
                        <w:tc>
                          <w:tcPr>
                            <w:tcW w:w="3300" w:type="dxa"/>
                          </w:tcPr>
                          <w:p>
                            <w:pPr>
                              <w:pStyle w:val="14"/>
                              <w:spacing w:before="70" w:line="236" w:lineRule="exact"/>
                              <w:ind w:left="1628" w:right="1221"/>
                              <w:jc w:val="center"/>
                              <w:rPr>
                                <w:sz w:val="20"/>
                              </w:rPr>
                            </w:pPr>
                            <w:r>
                              <w:rPr>
                                <w:sz w:val="20"/>
                              </w:rPr>
                              <w:t>定义</w:t>
                            </w:r>
                          </w:p>
                        </w:tc>
                        <w:tc>
                          <w:tcPr>
                            <w:tcW w:w="3908" w:type="dxa"/>
                          </w:tcPr>
                          <w:p>
                            <w:pPr>
                              <w:pStyle w:val="14"/>
                              <w:spacing w:before="70" w:line="236" w:lineRule="exact"/>
                              <w:ind w:left="530" w:right="121"/>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7" w:hRule="atLeast"/>
                        </w:trPr>
                        <w:tc>
                          <w:tcPr>
                            <w:tcW w:w="1314" w:type="dxa"/>
                          </w:tcPr>
                          <w:p>
                            <w:pPr>
                              <w:pStyle w:val="14"/>
                              <w:rPr>
                                <w:b/>
                                <w:sz w:val="20"/>
                              </w:rPr>
                            </w:pPr>
                          </w:p>
                          <w:p>
                            <w:pPr>
                              <w:pStyle w:val="14"/>
                              <w:spacing w:before="8"/>
                              <w:rPr>
                                <w:b/>
                                <w:sz w:val="23"/>
                              </w:rPr>
                            </w:pPr>
                          </w:p>
                          <w:p>
                            <w:pPr>
                              <w:pStyle w:val="14"/>
                              <w:spacing w:before="1"/>
                              <w:ind w:left="134" w:right="126"/>
                              <w:jc w:val="center"/>
                              <w:rPr>
                                <w:sz w:val="20"/>
                              </w:rPr>
                            </w:pPr>
                            <w:r>
                              <w:rPr>
                                <w:sz w:val="20"/>
                              </w:rPr>
                              <w:t>流动负债</w:t>
                            </w:r>
                          </w:p>
                        </w:tc>
                        <w:tc>
                          <w:tcPr>
                            <w:tcW w:w="3300" w:type="dxa"/>
                          </w:tcPr>
                          <w:p>
                            <w:pPr>
                              <w:pStyle w:val="14"/>
                              <w:rPr>
                                <w:b/>
                                <w:sz w:val="20"/>
                              </w:rPr>
                            </w:pPr>
                          </w:p>
                          <w:p>
                            <w:pPr>
                              <w:pStyle w:val="14"/>
                              <w:spacing w:before="140" w:line="304" w:lineRule="auto"/>
                              <w:ind w:left="106" w:right="181"/>
                              <w:rPr>
                                <w:sz w:val="20"/>
                              </w:rPr>
                            </w:pPr>
                            <w:r>
                              <w:rPr>
                                <w:sz w:val="20"/>
                              </w:rPr>
                              <w:t>一年内或超过一年的正常营业周期偿还的负债</w:t>
                            </w:r>
                          </w:p>
                        </w:tc>
                        <w:tc>
                          <w:tcPr>
                            <w:tcW w:w="3908" w:type="dxa"/>
                          </w:tcPr>
                          <w:p>
                            <w:pPr>
                              <w:pStyle w:val="14"/>
                              <w:spacing w:before="2"/>
                              <w:rPr>
                                <w:b/>
                                <w:sz w:val="18"/>
                              </w:rPr>
                            </w:pPr>
                          </w:p>
                          <w:p>
                            <w:pPr>
                              <w:pStyle w:val="14"/>
                              <w:spacing w:line="304" w:lineRule="auto"/>
                              <w:ind w:left="106" w:right="189" w:firstLine="400"/>
                              <w:jc w:val="both"/>
                              <w:rPr>
                                <w:sz w:val="20"/>
                              </w:rPr>
                            </w:pPr>
                            <w:r>
                              <w:rPr>
                                <w:sz w:val="20"/>
                              </w:rPr>
                              <w:t>短期借款、应付账款、预收账款、应付职工薪酬、应交税费、应付利息、应付股利、其他应付款等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14" w:type="dxa"/>
                          </w:tcPr>
                          <w:p>
                            <w:pPr>
                              <w:pStyle w:val="14"/>
                              <w:spacing w:before="69" w:line="236" w:lineRule="exact"/>
                              <w:ind w:left="134" w:right="129"/>
                              <w:jc w:val="center"/>
                              <w:rPr>
                                <w:sz w:val="20"/>
                              </w:rPr>
                            </w:pPr>
                            <w:r>
                              <w:rPr>
                                <w:sz w:val="20"/>
                              </w:rPr>
                              <w:t>非流动负债</w:t>
                            </w:r>
                          </w:p>
                        </w:tc>
                        <w:tc>
                          <w:tcPr>
                            <w:tcW w:w="3300" w:type="dxa"/>
                          </w:tcPr>
                          <w:p>
                            <w:pPr>
                              <w:pStyle w:val="14"/>
                              <w:spacing w:before="69" w:line="236" w:lineRule="exact"/>
                              <w:ind w:left="648"/>
                              <w:rPr>
                                <w:sz w:val="20"/>
                              </w:rPr>
                            </w:pPr>
                            <w:r>
                              <w:rPr>
                                <w:sz w:val="20"/>
                              </w:rPr>
                              <w:t>除流动负债以外的负债</w:t>
                            </w:r>
                          </w:p>
                        </w:tc>
                        <w:tc>
                          <w:tcPr>
                            <w:tcW w:w="3908" w:type="dxa"/>
                          </w:tcPr>
                          <w:p>
                            <w:pPr>
                              <w:pStyle w:val="14"/>
                              <w:spacing w:before="69" w:line="236" w:lineRule="exact"/>
                              <w:ind w:left="532" w:right="121"/>
                              <w:jc w:val="center"/>
                              <w:rPr>
                                <w:sz w:val="20"/>
                              </w:rPr>
                            </w:pPr>
                            <w:r>
                              <w:rPr>
                                <w:b/>
                                <w:color w:val="00AFEF"/>
                                <w:sz w:val="20"/>
                              </w:rPr>
                              <w:t>应付债券</w:t>
                            </w:r>
                            <w:r>
                              <w:rPr>
                                <w:sz w:val="20"/>
                              </w:rPr>
                              <w:t>、长期应付款、长期借款等</w:t>
                            </w:r>
                          </w:p>
                        </w:tc>
                      </w:tr>
                    </w:tbl>
                    <w:p>
                      <w:pPr>
                        <w:pStyle w:val="6"/>
                        <w:spacing w:before="0"/>
                        <w:ind w:left="0"/>
                      </w:pPr>
                    </w:p>
                  </w:txbxContent>
                </v:textbox>
              </v:shape>
            </w:pict>
          </mc:Fallback>
        </mc:AlternateContent>
      </w:r>
      <w:r>
        <w:rPr>
          <w:w w:val="95"/>
        </w:rPr>
        <w:t xml:space="preserve">（含一年）到期应予以清偿，或者企业无权自主地将清偿推迟至资产负债表日以后一年以上的负债。   </w:t>
      </w:r>
      <w:r>
        <w:t>非流动负债是指流动负债以外的负债。</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9"/>
        <w:ind w:left="0"/>
        <w:rPr>
          <w:sz w:val="23"/>
        </w:rPr>
      </w:pPr>
      <w:r>
        <mc:AlternateContent>
          <mc:Choice Requires="wps">
            <w:drawing>
              <wp:anchor distT="0" distB="0" distL="0" distR="0" simplePos="0" relativeHeight="487595008" behindDoc="1" locked="0" layoutInCell="1" allowOverlap="1">
                <wp:simplePos x="0" y="0"/>
                <wp:positionH relativeFrom="page">
                  <wp:posOffset>4356100</wp:posOffset>
                </wp:positionH>
                <wp:positionV relativeFrom="paragraph">
                  <wp:posOffset>219075</wp:posOffset>
                </wp:positionV>
                <wp:extent cx="502920" cy="5715"/>
                <wp:effectExtent l="0" t="0" r="0" b="0"/>
                <wp:wrapTopAndBottom/>
                <wp:docPr id="350" name="任意多边形 20"/>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0" o:spid="_x0000_s1026" o:spt="100" style="position:absolute;left:0pt;margin-left:343pt;margin-top:17.25pt;height:0.45pt;width:39.6pt;mso-position-horizontal-relative:page;mso-wrap-distance-bottom:0pt;mso-wrap-distance-top:0pt;z-index:-15721472;mso-width-relative:page;mso-height-relative:page;" filled="f" stroked="t" coordsize="792,9" o:gfxdata="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L/mSarYAAAACQEAAA8AAAAAAAAAAQAgAAAAIgAA&#10;AGRycy9kb3ducmV2LnhtbFBLAQIUABQAAAAIAIdO4kCYyY567AIAAJoKAAAOAAAAAAAAAAEAIAAA&#10;ACcBAABkcnMvZTJvRG9jLnhtbFBLBQYAAAAABgAGAFkBAACF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w10:wrap type="topAndBottom"/>
              </v:shape>
            </w:pict>
          </mc:Fallback>
        </mc:AlternateContent>
      </w:r>
    </w:p>
    <w:p>
      <w:pPr>
        <w:pStyle w:val="6"/>
        <w:spacing w:before="76" w:line="304" w:lineRule="auto"/>
        <w:ind w:left="322" w:right="722" w:firstLine="400"/>
        <w:jc w:val="both"/>
      </w:pPr>
      <w:r>
        <w:t>【提示】1.</w:t>
      </w:r>
      <w:r>
        <w:rPr>
          <w:spacing w:val="-3"/>
        </w:rPr>
        <w:t xml:space="preserve">短期借款是指企业向银行或其他金融机构借入的期限在 </w:t>
      </w:r>
      <w:r>
        <w:rPr>
          <w:color w:val="FF0000"/>
          <w:u w:val="double" w:color="FF0000"/>
        </w:rPr>
        <w:t>1</w:t>
      </w:r>
      <w:r>
        <w:rPr>
          <w:color w:val="FF0000"/>
          <w:spacing w:val="-14"/>
          <w:u w:val="double" w:color="FF0000"/>
        </w:rPr>
        <w:t xml:space="preserve"> 年以下</w:t>
      </w:r>
      <w:r>
        <w:rPr>
          <w:color w:val="FF0000"/>
          <w:u w:val="double" w:color="FF0000"/>
        </w:rPr>
        <w:t>（</w:t>
      </w:r>
      <w:r>
        <w:rPr>
          <w:color w:val="FF0000"/>
          <w:spacing w:val="-27"/>
          <w:u w:val="double" w:color="FF0000"/>
        </w:rPr>
        <w:t xml:space="preserve">含 </w:t>
      </w:r>
      <w:r>
        <w:rPr>
          <w:color w:val="FF0000"/>
          <w:u w:val="double" w:color="FF0000"/>
        </w:rPr>
        <w:t>1</w:t>
      </w:r>
      <w:r>
        <w:rPr>
          <w:color w:val="FF0000"/>
          <w:spacing w:val="-26"/>
          <w:u w:val="double" w:color="FF0000"/>
        </w:rPr>
        <w:t xml:space="preserve"> 年</w:t>
      </w:r>
      <w:r>
        <w:rPr>
          <w:color w:val="FF0000"/>
          <w:u w:val="double" w:color="FF0000"/>
        </w:rPr>
        <w:t>）</w:t>
      </w:r>
      <w:r>
        <w:rPr>
          <w:color w:val="FF0000"/>
          <w:spacing w:val="-17"/>
          <w:u w:val="double" w:color="FF0000"/>
        </w:rPr>
        <w:t>的各种借款。</w:t>
      </w:r>
      <w:r>
        <w:rPr>
          <w:color w:val="FF0000"/>
          <w:u w:val="double" w:color="FF0000"/>
        </w:rPr>
        <w:t>（长于1</w:t>
      </w:r>
      <w:r>
        <w:rPr>
          <w:color w:val="FF0000"/>
          <w:spacing w:val="-11"/>
          <w:u w:val="double" w:color="FF0000"/>
        </w:rPr>
        <w:t xml:space="preserve"> 年的是长期借款</w:t>
      </w:r>
      <w:r>
        <w:rPr>
          <w:color w:val="FF0000"/>
          <w:u w:val="double" w:color="FF0000"/>
        </w:rPr>
        <w:t>）</w:t>
      </w:r>
      <w:r>
        <w:t>2</w:t>
      </w:r>
      <w:r>
        <w:rPr>
          <w:spacing w:val="-1"/>
        </w:rPr>
        <w:t>.应收账款和预付账款属于资产，应付账款和预收账款属于负债；</w:t>
      </w:r>
      <w:r>
        <w:t>3.应付债券属于非流动负债。</w:t>
      </w:r>
    </w:p>
    <w:p>
      <w:pPr>
        <w:pStyle w:val="5"/>
        <w:spacing w:before="1" w:line="304" w:lineRule="auto"/>
        <w:ind w:right="6648"/>
      </w:pPr>
      <w:r>
        <w:rPr>
          <w:shd w:val="clear" w:color="auto" w:fill="C0C0C0"/>
        </w:rPr>
        <w:t>（三）所有者权益的定义及其确认条件</w:t>
      </w:r>
      <w:r>
        <w:t>1.所有者权益的定义和特征</w:t>
      </w:r>
    </w:p>
    <w:p>
      <w:pPr>
        <w:pStyle w:val="6"/>
        <w:spacing w:before="2"/>
      </w:pPr>
      <w:r>
        <w:t>所有者权益又称为</w:t>
      </w:r>
      <w:r>
        <w:rPr>
          <w:color w:val="FF0000"/>
          <w:u w:val="double" w:color="FF0000"/>
        </w:rPr>
        <w:t>股东权益</w:t>
      </w:r>
      <w:r>
        <w:t>，是</w:t>
      </w:r>
      <w:r>
        <w:rPr>
          <w:color w:val="FF0000"/>
          <w:u w:val="double" w:color="FF0000"/>
        </w:rPr>
        <w:t>企业资产扣除负债后由所有者享有的剩余权益</w:t>
      </w:r>
      <w:r>
        <w:t>。</w:t>
      </w:r>
    </w:p>
    <w:p>
      <w:pPr>
        <w:spacing w:before="70" w:line="304" w:lineRule="auto"/>
        <w:ind w:left="322" w:right="725" w:firstLine="400"/>
        <w:jc w:val="left"/>
        <w:rPr>
          <w:sz w:val="20"/>
        </w:rPr>
      </w:pPr>
      <w:r>
        <mc:AlternateContent>
          <mc:Choice Requires="wps">
            <w:drawing>
              <wp:anchor distT="0" distB="0" distL="114300" distR="114300" simplePos="0" relativeHeight="482371584" behindDoc="1" locked="0" layoutInCell="1" allowOverlap="1">
                <wp:simplePos x="0" y="0"/>
                <wp:positionH relativeFrom="page">
                  <wp:posOffset>687705</wp:posOffset>
                </wp:positionH>
                <wp:positionV relativeFrom="paragraph">
                  <wp:posOffset>388620</wp:posOffset>
                </wp:positionV>
                <wp:extent cx="251460" cy="5715"/>
                <wp:effectExtent l="0" t="0" r="0" b="0"/>
                <wp:wrapNone/>
                <wp:docPr id="216" name="任意多边形 21"/>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1" o:spid="_x0000_s1026" o:spt="100" style="position:absolute;left:0pt;margin-left:54.15pt;margin-top:30.6pt;height:0.45pt;width:19.8pt;mso-position-horizontal-relative:page;z-index:-20944896;mso-width-relative:page;mso-height-relative:page;" filled="f" stroked="t" coordsize="396,9" o:gfxdata="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YnK+&#10;ANgAAAAJAQAADwAAAAAAAAABACAAAAAiAAAAZHJzL2Rvd25yZXYueG1sUEsBAhQAFAAAAAgAh07i&#10;QCKRormUAgAAVgcAAA4AAAAAAAAAAQAgAAAAJw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pacing w:val="-4"/>
          <w:w w:val="95"/>
          <w:sz w:val="20"/>
        </w:rPr>
        <w:t>①除非发生减资、清算或分派现金股利，企业</w:t>
      </w:r>
      <w:r>
        <w:rPr>
          <w:b/>
          <w:color w:val="00AFEF"/>
          <w:w w:val="95"/>
          <w:sz w:val="20"/>
          <w:u w:val="single" w:color="00AFEF"/>
        </w:rPr>
        <w:t>不需要偿还</w:t>
      </w:r>
      <w:r>
        <w:rPr>
          <w:spacing w:val="-5"/>
          <w:w w:val="95"/>
          <w:sz w:val="20"/>
        </w:rPr>
        <w:t>所有者权益；②企业清算时，只有在</w:t>
      </w:r>
      <w:r>
        <w:rPr>
          <w:b/>
          <w:color w:val="00AFEF"/>
          <w:w w:val="95"/>
          <w:sz w:val="20"/>
          <w:u w:val="single" w:color="00AFEF"/>
        </w:rPr>
        <w:t xml:space="preserve">清偿所有的负   </w:t>
      </w:r>
      <w:r>
        <w:rPr>
          <w:b/>
          <w:color w:val="00AFEF"/>
          <w:sz w:val="20"/>
        </w:rPr>
        <w:t>债后</w:t>
      </w:r>
      <w:r>
        <w:rPr>
          <w:sz w:val="20"/>
        </w:rPr>
        <w:t>，所有者权益才返还给所有者；③所有者凭借所有者权益能够</w:t>
      </w:r>
      <w:r>
        <w:rPr>
          <w:b/>
          <w:color w:val="00AFEF"/>
          <w:sz w:val="20"/>
          <w:u w:val="single" w:color="00AFEF"/>
        </w:rPr>
        <w:t>参与企业利润的分配</w:t>
      </w:r>
      <w:r>
        <w:rPr>
          <w:sz w:val="20"/>
        </w:rPr>
        <w:t>。</w:t>
      </w:r>
    </w:p>
    <w:p>
      <w:pPr>
        <w:pStyle w:val="5"/>
        <w:numPr>
          <w:ilvl w:val="0"/>
          <w:numId w:val="11"/>
        </w:numPr>
        <w:tabs>
          <w:tab w:val="left" w:pos="925"/>
        </w:tabs>
        <w:spacing w:before="0" w:after="0" w:line="256" w:lineRule="exact"/>
        <w:ind w:left="924" w:right="0" w:hanging="202"/>
        <w:jc w:val="left"/>
      </w:pPr>
      <w:r>
        <w:t>所有者权益的确认条件</w:t>
      </w:r>
    </w:p>
    <w:p>
      <w:pPr>
        <w:pStyle w:val="6"/>
      </w:pPr>
      <w:r>
        <w:t>所有者权益的确认和计量，主要取决于资产和负债的确认和计量；</w:t>
      </w:r>
    </w:p>
    <w:p>
      <w:pPr>
        <w:pStyle w:val="6"/>
      </w:pPr>
      <w:r>
        <w:t>所有者权益在数量上等于</w:t>
      </w:r>
      <w:r>
        <w:rPr>
          <w:color w:val="FF0000"/>
          <w:u w:val="double" w:color="FF0000"/>
        </w:rPr>
        <w:t>企业资产总额扣除债权人权益后的净额</w:t>
      </w:r>
      <w:r>
        <w:t>，反映所有者在企业资产中享有的经济利</w:t>
      </w:r>
    </w:p>
    <w:p>
      <w:pPr>
        <w:pStyle w:val="6"/>
        <w:ind w:left="322"/>
      </w:pPr>
      <w:r>
        <w:t>益。</w:t>
      </w:r>
    </w:p>
    <w:p>
      <w:pPr>
        <w:pStyle w:val="5"/>
        <w:numPr>
          <w:ilvl w:val="0"/>
          <w:numId w:val="11"/>
        </w:numPr>
        <w:tabs>
          <w:tab w:val="left" w:pos="925"/>
        </w:tabs>
        <w:spacing w:before="70" w:after="0" w:line="240" w:lineRule="auto"/>
        <w:ind w:left="924" w:right="0" w:hanging="202"/>
        <w:jc w:val="left"/>
      </w:pPr>
      <w:r>
        <w:t>所有者权益的分类</w:t>
      </w:r>
    </w:p>
    <w:p>
      <w:pPr>
        <w:spacing w:after="0" w:line="240" w:lineRule="auto"/>
        <w:jc w:val="left"/>
        <w:sectPr>
          <w:pgSz w:w="11910" w:h="16160"/>
          <w:pgMar w:top="1680" w:right="360" w:bottom="860" w:left="760" w:header="0" w:footer="584" w:gutter="0"/>
        </w:sectPr>
      </w:pPr>
    </w:p>
    <w:p>
      <w:pPr>
        <w:pStyle w:val="6"/>
        <w:spacing w:before="11"/>
        <w:ind w:left="0"/>
        <w:rPr>
          <w:b/>
          <w:sz w:val="13"/>
        </w:rPr>
      </w:pPr>
    </w:p>
    <w:p>
      <w:pPr>
        <w:pStyle w:val="6"/>
        <w:spacing w:before="71" w:line="304" w:lineRule="auto"/>
        <w:ind w:left="322" w:right="762" w:firstLine="400"/>
      </w:pPr>
      <w:r>
        <w:rPr>
          <w:w w:val="95"/>
        </w:rPr>
        <w:t>所有者权益的来源包括所有者投入的资本、其他综合收益、留存收益等。具体表现为实收资本（或股本</w:t>
      </w:r>
      <w:r>
        <w:rPr>
          <w:spacing w:val="-99"/>
          <w:w w:val="95"/>
        </w:rPr>
        <w:t>）</w:t>
      </w:r>
      <w:r>
        <w:rPr>
          <w:w w:val="95"/>
        </w:rPr>
        <w:t xml:space="preserve">、   </w:t>
      </w:r>
      <w:r>
        <w:t>资本公积（资本溢价或股本溢价、其他资本公积</w:t>
      </w:r>
      <w:r>
        <w:rPr>
          <w:spacing w:val="-99"/>
        </w:rPr>
        <w:t>）</w:t>
      </w:r>
      <w:r>
        <w:t>、其他综合收益、盈余公积和未分配利润。</w:t>
      </w:r>
    </w:p>
    <w:p>
      <w:pPr>
        <w:pStyle w:val="6"/>
        <w:spacing w:before="2" w:line="304" w:lineRule="auto"/>
        <w:ind w:left="322" w:right="720" w:firstLine="400"/>
        <w:jc w:val="both"/>
      </w:pPr>
      <w:r>
        <mc:AlternateContent>
          <mc:Choice Requires="wps">
            <w:drawing>
              <wp:anchor distT="0" distB="0" distL="114300" distR="114300" simplePos="0" relativeHeight="15740928" behindDoc="0" locked="0" layoutInCell="1" allowOverlap="1">
                <wp:simplePos x="0" y="0"/>
                <wp:positionH relativeFrom="page">
                  <wp:posOffset>615950</wp:posOffset>
                </wp:positionH>
                <wp:positionV relativeFrom="paragraph">
                  <wp:posOffset>577850</wp:posOffset>
                </wp:positionV>
                <wp:extent cx="6447155" cy="1286510"/>
                <wp:effectExtent l="0" t="0" r="0" b="0"/>
                <wp:wrapNone/>
                <wp:docPr id="18" name="文本框 22"/>
                <wp:cNvGraphicFramePr/>
                <a:graphic xmlns:a="http://schemas.openxmlformats.org/drawingml/2006/main">
                  <a:graphicData uri="http://schemas.microsoft.com/office/word/2010/wordprocessingShape">
                    <wps:wsp>
                      <wps:cNvSpPr txBox="1"/>
                      <wps:spPr>
                        <a:xfrm>
                          <a:off x="0" y="0"/>
                          <a:ext cx="6447155" cy="128651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8"/>
                              <w:gridCol w:w="8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18" w:type="dxa"/>
                                </w:tcPr>
                                <w:p>
                                  <w:pPr>
                                    <w:pStyle w:val="14"/>
                                    <w:spacing w:before="70" w:line="236" w:lineRule="exact"/>
                                    <w:ind w:left="538" w:right="130"/>
                                    <w:jc w:val="center"/>
                                    <w:rPr>
                                      <w:sz w:val="20"/>
                                    </w:rPr>
                                  </w:pPr>
                                  <w:r>
                                    <w:rPr>
                                      <w:sz w:val="20"/>
                                    </w:rPr>
                                    <w:t>分类</w:t>
                                  </w:r>
                                </w:p>
                              </w:tc>
                              <w:tc>
                                <w:tcPr>
                                  <w:tcW w:w="8220" w:type="dxa"/>
                                </w:tcPr>
                                <w:p>
                                  <w:pPr>
                                    <w:pStyle w:val="14"/>
                                    <w:spacing w:before="70" w:line="236" w:lineRule="exact"/>
                                    <w:ind w:left="4089" w:right="3681"/>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18" w:type="dxa"/>
                                </w:tcPr>
                                <w:p>
                                  <w:pPr>
                                    <w:pStyle w:val="14"/>
                                    <w:spacing w:before="70" w:line="236" w:lineRule="exact"/>
                                    <w:ind w:left="536" w:right="130"/>
                                    <w:jc w:val="center"/>
                                    <w:rPr>
                                      <w:sz w:val="20"/>
                                    </w:rPr>
                                  </w:pPr>
                                  <w:r>
                                    <w:rPr>
                                      <w:sz w:val="20"/>
                                    </w:rPr>
                                    <w:t>实收资本</w:t>
                                  </w:r>
                                </w:p>
                              </w:tc>
                              <w:tc>
                                <w:tcPr>
                                  <w:tcW w:w="8220" w:type="dxa"/>
                                </w:tcPr>
                                <w:p>
                                  <w:pPr>
                                    <w:pStyle w:val="14"/>
                                    <w:spacing w:before="70" w:line="236" w:lineRule="exact"/>
                                    <w:ind w:left="507"/>
                                    <w:rPr>
                                      <w:sz w:val="20"/>
                                    </w:rPr>
                                  </w:pPr>
                                  <w:r>
                                    <w:rPr>
                                      <w:sz w:val="20"/>
                                    </w:rPr>
                                    <w:t>实际收到的投资者在企业注册资本中所占份额的部分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18" w:type="dxa"/>
                                </w:tcPr>
                                <w:p>
                                  <w:pPr>
                                    <w:pStyle w:val="14"/>
                                    <w:spacing w:before="70" w:line="236" w:lineRule="exact"/>
                                    <w:ind w:left="536" w:right="130"/>
                                    <w:jc w:val="center"/>
                                    <w:rPr>
                                      <w:sz w:val="20"/>
                                    </w:rPr>
                                  </w:pPr>
                                  <w:r>
                                    <w:rPr>
                                      <w:sz w:val="20"/>
                                    </w:rPr>
                                    <w:t>资本公积</w:t>
                                  </w:r>
                                </w:p>
                              </w:tc>
                              <w:tc>
                                <w:tcPr>
                                  <w:tcW w:w="8220" w:type="dxa"/>
                                </w:tcPr>
                                <w:p>
                                  <w:pPr>
                                    <w:pStyle w:val="14"/>
                                    <w:spacing w:before="70" w:line="236" w:lineRule="exact"/>
                                    <w:ind w:left="507"/>
                                    <w:rPr>
                                      <w:sz w:val="20"/>
                                    </w:rPr>
                                  </w:pPr>
                                  <w:r>
                                    <w:rPr>
                                      <w:sz w:val="20"/>
                                    </w:rPr>
                                    <w:t>股本（资本）溢价、其他资本公积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18" w:type="dxa"/>
                                </w:tcPr>
                                <w:p>
                                  <w:pPr>
                                    <w:pStyle w:val="14"/>
                                    <w:spacing w:before="70" w:line="236" w:lineRule="exact"/>
                                    <w:ind w:left="538" w:right="130"/>
                                    <w:jc w:val="center"/>
                                    <w:rPr>
                                      <w:sz w:val="20"/>
                                    </w:rPr>
                                  </w:pPr>
                                  <w:r>
                                    <w:rPr>
                                      <w:sz w:val="20"/>
                                    </w:rPr>
                                    <w:t>其他综合收益</w:t>
                                  </w:r>
                                </w:p>
                              </w:tc>
                              <w:tc>
                                <w:tcPr>
                                  <w:tcW w:w="8220" w:type="dxa"/>
                                </w:tcPr>
                                <w:p>
                                  <w:pPr>
                                    <w:pStyle w:val="14"/>
                                    <w:spacing w:before="70" w:line="236" w:lineRule="exact"/>
                                    <w:ind w:left="507"/>
                                    <w:rPr>
                                      <w:sz w:val="20"/>
                                    </w:rPr>
                                  </w:pPr>
                                  <w:r>
                                    <w:rPr>
                                      <w:sz w:val="20"/>
                                    </w:rPr>
                                    <w:t>企业根据会计准则规定未在当期损益中确认的各项利得和损失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18" w:type="dxa"/>
                                  <w:vMerge w:val="restart"/>
                                </w:tcPr>
                                <w:p>
                                  <w:pPr>
                                    <w:pStyle w:val="14"/>
                                    <w:spacing w:before="7"/>
                                    <w:rPr>
                                      <w:sz w:val="18"/>
                                    </w:rPr>
                                  </w:pPr>
                                </w:p>
                                <w:p>
                                  <w:pPr>
                                    <w:pStyle w:val="14"/>
                                    <w:ind w:left="757"/>
                                    <w:rPr>
                                      <w:sz w:val="20"/>
                                    </w:rPr>
                                  </w:pPr>
                                  <w:r>
                                    <w:rPr>
                                      <w:sz w:val="20"/>
                                    </w:rPr>
                                    <w:t>留存收益</w:t>
                                  </w:r>
                                </w:p>
                              </w:tc>
                              <w:tc>
                                <w:tcPr>
                                  <w:tcW w:w="8220" w:type="dxa"/>
                                </w:tcPr>
                                <w:p>
                                  <w:pPr>
                                    <w:pStyle w:val="14"/>
                                    <w:spacing w:before="70" w:line="236" w:lineRule="exact"/>
                                    <w:ind w:left="507"/>
                                    <w:rPr>
                                      <w:sz w:val="20"/>
                                    </w:rPr>
                                  </w:pPr>
                                  <w:r>
                                    <w:rPr>
                                      <w:sz w:val="20"/>
                                    </w:rPr>
                                    <w:t>盈余公积包括</w:t>
                                  </w:r>
                                  <w:r>
                                    <w:rPr>
                                      <w:color w:val="FF0000"/>
                                      <w:sz w:val="20"/>
                                      <w:u w:val="double" w:color="FF0000"/>
                                    </w:rPr>
                                    <w:t>法定盈余公积和任意盈余公积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18" w:type="dxa"/>
                                  <w:vMerge w:val="continue"/>
                                  <w:tcBorders>
                                    <w:top w:val="nil"/>
                                  </w:tcBorders>
                                </w:tcPr>
                                <w:p>
                                  <w:pPr>
                                    <w:rPr>
                                      <w:sz w:val="2"/>
                                      <w:szCs w:val="2"/>
                                    </w:rPr>
                                  </w:pPr>
                                </w:p>
                              </w:tc>
                              <w:tc>
                                <w:tcPr>
                                  <w:tcW w:w="8220" w:type="dxa"/>
                                </w:tcPr>
                                <w:p>
                                  <w:pPr>
                                    <w:pStyle w:val="14"/>
                                    <w:spacing w:before="70" w:line="236" w:lineRule="exact"/>
                                    <w:ind w:left="507"/>
                                    <w:rPr>
                                      <w:sz w:val="20"/>
                                    </w:rPr>
                                  </w:pPr>
                                  <w:r>
                                    <w:rPr>
                                      <w:sz w:val="20"/>
                                    </w:rPr>
                                    <w:t>未分配利润</w:t>
                                  </w:r>
                                </w:p>
                              </w:tc>
                            </w:tr>
                          </w:tbl>
                          <w:p>
                            <w:pPr>
                              <w:pStyle w:val="6"/>
                              <w:spacing w:before="0"/>
                              <w:ind w:left="0"/>
                            </w:pPr>
                          </w:p>
                        </w:txbxContent>
                      </wps:txbx>
                      <wps:bodyPr lIns="0" tIns="0" rIns="0" bIns="0" upright="1"/>
                    </wps:wsp>
                  </a:graphicData>
                </a:graphic>
              </wp:anchor>
            </w:drawing>
          </mc:Choice>
          <mc:Fallback>
            <w:pict>
              <v:shape id="文本框 22" o:spid="_x0000_s1026" o:spt="202" type="#_x0000_t202" style="position:absolute;left:0pt;margin-left:48.5pt;margin-top:45.5pt;height:101.3pt;width:507.65pt;mso-position-horizontal-relative:page;z-index:15740928;mso-width-relative:page;mso-height-relative:page;" filled="f" stroked="f" coordsize="21600,21600" o:gfxdata="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QNr3T9gAAAAKAQAADwAAAAAA&#10;AAABACAAAAAiAAAAZHJzL2Rvd25yZXYueG1sUEsBAhQAFAAAAAgAh07iQAmSX8ehAQAAJwMAAA4A&#10;AAAAAAAAAQAgAAAAJwEAAGRycy9lMm9Eb2MueG1sUEsFBgAAAAAGAAYAWQEAADo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18"/>
                        <w:gridCol w:w="8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18" w:type="dxa"/>
                          </w:tcPr>
                          <w:p>
                            <w:pPr>
                              <w:pStyle w:val="14"/>
                              <w:spacing w:before="70" w:line="236" w:lineRule="exact"/>
                              <w:ind w:left="538" w:right="130"/>
                              <w:jc w:val="center"/>
                              <w:rPr>
                                <w:sz w:val="20"/>
                              </w:rPr>
                            </w:pPr>
                            <w:r>
                              <w:rPr>
                                <w:sz w:val="20"/>
                              </w:rPr>
                              <w:t>分类</w:t>
                            </w:r>
                          </w:p>
                        </w:tc>
                        <w:tc>
                          <w:tcPr>
                            <w:tcW w:w="8220" w:type="dxa"/>
                          </w:tcPr>
                          <w:p>
                            <w:pPr>
                              <w:pStyle w:val="14"/>
                              <w:spacing w:before="70" w:line="236" w:lineRule="exact"/>
                              <w:ind w:left="4089" w:right="3681"/>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18" w:type="dxa"/>
                          </w:tcPr>
                          <w:p>
                            <w:pPr>
                              <w:pStyle w:val="14"/>
                              <w:spacing w:before="70" w:line="236" w:lineRule="exact"/>
                              <w:ind w:left="536" w:right="130"/>
                              <w:jc w:val="center"/>
                              <w:rPr>
                                <w:sz w:val="20"/>
                              </w:rPr>
                            </w:pPr>
                            <w:r>
                              <w:rPr>
                                <w:sz w:val="20"/>
                              </w:rPr>
                              <w:t>实收资本</w:t>
                            </w:r>
                          </w:p>
                        </w:tc>
                        <w:tc>
                          <w:tcPr>
                            <w:tcW w:w="8220" w:type="dxa"/>
                          </w:tcPr>
                          <w:p>
                            <w:pPr>
                              <w:pStyle w:val="14"/>
                              <w:spacing w:before="70" w:line="236" w:lineRule="exact"/>
                              <w:ind w:left="507"/>
                              <w:rPr>
                                <w:sz w:val="20"/>
                              </w:rPr>
                            </w:pPr>
                            <w:r>
                              <w:rPr>
                                <w:sz w:val="20"/>
                              </w:rPr>
                              <w:t>实际收到的投资者在企业注册资本中所占份额的部分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18" w:type="dxa"/>
                          </w:tcPr>
                          <w:p>
                            <w:pPr>
                              <w:pStyle w:val="14"/>
                              <w:spacing w:before="70" w:line="236" w:lineRule="exact"/>
                              <w:ind w:left="536" w:right="130"/>
                              <w:jc w:val="center"/>
                              <w:rPr>
                                <w:sz w:val="20"/>
                              </w:rPr>
                            </w:pPr>
                            <w:r>
                              <w:rPr>
                                <w:sz w:val="20"/>
                              </w:rPr>
                              <w:t>资本公积</w:t>
                            </w:r>
                          </w:p>
                        </w:tc>
                        <w:tc>
                          <w:tcPr>
                            <w:tcW w:w="8220" w:type="dxa"/>
                          </w:tcPr>
                          <w:p>
                            <w:pPr>
                              <w:pStyle w:val="14"/>
                              <w:spacing w:before="70" w:line="236" w:lineRule="exact"/>
                              <w:ind w:left="507"/>
                              <w:rPr>
                                <w:sz w:val="20"/>
                              </w:rPr>
                            </w:pPr>
                            <w:r>
                              <w:rPr>
                                <w:sz w:val="20"/>
                              </w:rPr>
                              <w:t>股本（资本）溢价、其他资本公积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18" w:type="dxa"/>
                          </w:tcPr>
                          <w:p>
                            <w:pPr>
                              <w:pStyle w:val="14"/>
                              <w:spacing w:before="70" w:line="236" w:lineRule="exact"/>
                              <w:ind w:left="538" w:right="130"/>
                              <w:jc w:val="center"/>
                              <w:rPr>
                                <w:sz w:val="20"/>
                              </w:rPr>
                            </w:pPr>
                            <w:r>
                              <w:rPr>
                                <w:sz w:val="20"/>
                              </w:rPr>
                              <w:t>其他综合收益</w:t>
                            </w:r>
                          </w:p>
                        </w:tc>
                        <w:tc>
                          <w:tcPr>
                            <w:tcW w:w="8220" w:type="dxa"/>
                          </w:tcPr>
                          <w:p>
                            <w:pPr>
                              <w:pStyle w:val="14"/>
                              <w:spacing w:before="70" w:line="236" w:lineRule="exact"/>
                              <w:ind w:left="507"/>
                              <w:rPr>
                                <w:sz w:val="20"/>
                              </w:rPr>
                            </w:pPr>
                            <w:r>
                              <w:rPr>
                                <w:sz w:val="20"/>
                              </w:rPr>
                              <w:t>企业根据会计准则规定未在当期损益中确认的各项利得和损失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918" w:type="dxa"/>
                            <w:vMerge w:val="restart"/>
                          </w:tcPr>
                          <w:p>
                            <w:pPr>
                              <w:pStyle w:val="14"/>
                              <w:spacing w:before="7"/>
                              <w:rPr>
                                <w:sz w:val="18"/>
                              </w:rPr>
                            </w:pPr>
                          </w:p>
                          <w:p>
                            <w:pPr>
                              <w:pStyle w:val="14"/>
                              <w:ind w:left="757"/>
                              <w:rPr>
                                <w:sz w:val="20"/>
                              </w:rPr>
                            </w:pPr>
                            <w:r>
                              <w:rPr>
                                <w:sz w:val="20"/>
                              </w:rPr>
                              <w:t>留存收益</w:t>
                            </w:r>
                          </w:p>
                        </w:tc>
                        <w:tc>
                          <w:tcPr>
                            <w:tcW w:w="8220" w:type="dxa"/>
                          </w:tcPr>
                          <w:p>
                            <w:pPr>
                              <w:pStyle w:val="14"/>
                              <w:spacing w:before="70" w:line="236" w:lineRule="exact"/>
                              <w:ind w:left="507"/>
                              <w:rPr>
                                <w:sz w:val="20"/>
                              </w:rPr>
                            </w:pPr>
                            <w:r>
                              <w:rPr>
                                <w:sz w:val="20"/>
                              </w:rPr>
                              <w:t>盈余公积包括</w:t>
                            </w:r>
                            <w:r>
                              <w:rPr>
                                <w:color w:val="FF0000"/>
                                <w:sz w:val="20"/>
                                <w:u w:val="double" w:color="FF0000"/>
                              </w:rPr>
                              <w:t>法定盈余公积和任意盈余公积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918" w:type="dxa"/>
                            <w:vMerge w:val="continue"/>
                            <w:tcBorders>
                              <w:top w:val="nil"/>
                            </w:tcBorders>
                          </w:tcPr>
                          <w:p>
                            <w:pPr>
                              <w:rPr>
                                <w:sz w:val="2"/>
                                <w:szCs w:val="2"/>
                              </w:rPr>
                            </w:pPr>
                          </w:p>
                        </w:tc>
                        <w:tc>
                          <w:tcPr>
                            <w:tcW w:w="8220" w:type="dxa"/>
                          </w:tcPr>
                          <w:p>
                            <w:pPr>
                              <w:pStyle w:val="14"/>
                              <w:spacing w:before="70" w:line="236" w:lineRule="exact"/>
                              <w:ind w:left="507"/>
                              <w:rPr>
                                <w:sz w:val="20"/>
                              </w:rPr>
                            </w:pPr>
                            <w:r>
                              <w:rPr>
                                <w:sz w:val="20"/>
                              </w:rPr>
                              <w:t>未分配利润</w:t>
                            </w:r>
                          </w:p>
                        </w:tc>
                      </w:tr>
                    </w:tbl>
                    <w:p>
                      <w:pPr>
                        <w:pStyle w:val="6"/>
                        <w:spacing w:before="0"/>
                        <w:ind w:left="0"/>
                      </w:pPr>
                    </w:p>
                  </w:txbxContent>
                </v:textbox>
              </v:shape>
            </w:pict>
          </mc:Fallback>
        </mc:AlternateContent>
      </w:r>
      <w:r>
        <w:rPr>
          <w:spacing w:val="-2"/>
          <w:w w:val="95"/>
        </w:rPr>
        <w:t>所有者投入的资本是指所有者投入企业的资本部分，它既包括构成企业注册资本</w:t>
      </w:r>
      <w:r>
        <w:rPr>
          <w:w w:val="95"/>
        </w:rPr>
        <w:t>（实收资本</w:t>
      </w:r>
      <w:r>
        <w:rPr>
          <w:spacing w:val="-19"/>
          <w:w w:val="95"/>
        </w:rPr>
        <w:t>）</w:t>
      </w:r>
      <w:r>
        <w:rPr>
          <w:w w:val="95"/>
        </w:rPr>
        <w:t xml:space="preserve">或者股本部分   </w:t>
      </w:r>
      <w:r>
        <w:rPr>
          <w:spacing w:val="-6"/>
          <w:w w:val="95"/>
        </w:rPr>
        <w:t xml:space="preserve">的金额，也包括投入资本超过注册资本或者股本部分的金额，即资本溢价或者股本溢价，这部分投入资本在我国    </w:t>
      </w:r>
      <w:r>
        <w:rPr>
          <w:spacing w:val="-6"/>
        </w:rPr>
        <w:t>企业会计准则体系中被计入了资本公积，并在资产负债中的资本公积项目反映。</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4"/>
        <w:ind w:left="0"/>
        <w:rPr>
          <w:sz w:val="18"/>
        </w:rPr>
      </w:pPr>
    </w:p>
    <w:p>
      <w:pPr>
        <w:pStyle w:val="5"/>
        <w:spacing w:before="0" w:line="302" w:lineRule="auto"/>
        <w:ind w:right="7250"/>
      </w:pPr>
      <w:r>
        <w:t>（四）收入的定义及其确认条件1.收入的定义与特征</w:t>
      </w:r>
    </w:p>
    <w:p>
      <w:pPr>
        <w:pStyle w:val="6"/>
        <w:spacing w:before="5"/>
      </w:pPr>
      <w:r>
        <w:t>收入是指企业在</w:t>
      </w:r>
      <w:r>
        <w:rPr>
          <w:color w:val="FF0000"/>
          <w:u w:val="double" w:color="FF0000"/>
        </w:rPr>
        <w:t>日常活动中形成的、会导致所有者权益增加的、与所有者投入资本无关的经济利益的总流入</w:t>
      </w:r>
      <w:r>
        <w:t>。</w:t>
      </w:r>
    </w:p>
    <w:p>
      <w:pPr>
        <w:tabs>
          <w:tab w:val="left" w:pos="3725"/>
        </w:tabs>
        <w:spacing w:before="70"/>
        <w:ind w:left="723" w:right="0" w:firstLine="0"/>
        <w:jc w:val="left"/>
        <w:rPr>
          <w:sz w:val="20"/>
        </w:rPr>
      </w:pPr>
      <w:r>
        <mc:AlternateContent>
          <mc:Choice Requires="wps">
            <w:drawing>
              <wp:anchor distT="0" distB="0" distL="114300" distR="114300" simplePos="0" relativeHeight="15738880" behindDoc="0" locked="0" layoutInCell="1" allowOverlap="1">
                <wp:simplePos x="0" y="0"/>
                <wp:positionH relativeFrom="page">
                  <wp:posOffset>1576705</wp:posOffset>
                </wp:positionH>
                <wp:positionV relativeFrom="paragraph">
                  <wp:posOffset>182880</wp:posOffset>
                </wp:positionV>
                <wp:extent cx="502920" cy="5715"/>
                <wp:effectExtent l="0" t="0" r="0" b="0"/>
                <wp:wrapNone/>
                <wp:docPr id="12" name="任意多边形 23"/>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 o:spid="_x0000_s1026" o:spt="100" style="position:absolute;left:0pt;margin-left:124.15pt;margin-top:14.4pt;height:0.45pt;width:39.6pt;mso-position-horizontal-relative:page;z-index:15738880;mso-width-relative:page;mso-height-relative:page;" filled="f" stroked="t" coordsize="792,9" o:gfxdata="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DIwDnf2AAAAAkBAAAPAAAAAAAAAAEAIAAAACIA&#10;AABkcnMvZG93bnJldi54bWxQSwECFAAUAAAACACHTuJAR3QcYu0CAACZCgAADgAAAAAAAAABACAA&#10;AAAn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z w:val="20"/>
        </w:rPr>
        <w:t>①收入是在</w:t>
      </w:r>
      <w:r>
        <w:rPr>
          <w:b/>
          <w:color w:val="00AFEF"/>
          <w:sz w:val="20"/>
        </w:rPr>
        <w:t>日常活动</w:t>
      </w:r>
      <w:r>
        <w:rPr>
          <w:sz w:val="20"/>
        </w:rPr>
        <w:t>中形成的；</w:t>
      </w:r>
      <w:r>
        <w:rPr>
          <w:sz w:val="20"/>
        </w:rPr>
        <w:tab/>
      </w:r>
      <w:r>
        <w:rPr>
          <w:sz w:val="20"/>
        </w:rPr>
        <w:t>②收入最终会导致</w:t>
      </w:r>
      <w:r>
        <w:rPr>
          <w:b/>
          <w:color w:val="00AFEF"/>
          <w:sz w:val="20"/>
          <w:u w:val="single" w:color="00AFEF"/>
        </w:rPr>
        <w:t>所有者权益的增加</w:t>
      </w:r>
      <w:r>
        <w:rPr>
          <w:sz w:val="20"/>
        </w:rPr>
        <w:t>；</w:t>
      </w:r>
    </w:p>
    <w:p>
      <w:pPr>
        <w:spacing w:before="70" w:line="304" w:lineRule="auto"/>
        <w:ind w:left="723" w:right="5258" w:firstLine="0"/>
        <w:jc w:val="left"/>
        <w:rPr>
          <w:b/>
          <w:sz w:val="20"/>
        </w:rPr>
      </w:pPr>
      <w:r>
        <mc:AlternateContent>
          <mc:Choice Requires="wps">
            <w:drawing>
              <wp:anchor distT="0" distB="0" distL="114300" distR="114300" simplePos="0" relativeHeight="482373632" behindDoc="1" locked="0" layoutInCell="1" allowOverlap="1">
                <wp:simplePos x="0" y="0"/>
                <wp:positionH relativeFrom="page">
                  <wp:posOffset>2465070</wp:posOffset>
                </wp:positionH>
                <wp:positionV relativeFrom="paragraph">
                  <wp:posOffset>182245</wp:posOffset>
                </wp:positionV>
                <wp:extent cx="377190" cy="5715"/>
                <wp:effectExtent l="0" t="0" r="0" b="0"/>
                <wp:wrapNone/>
                <wp:docPr id="218" name="任意多边形 24"/>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 o:spid="_x0000_s1026" o:spt="100" style="position:absolute;left:0pt;margin-left:194.1pt;margin-top:14.35pt;height:0.45pt;width:29.7pt;mso-position-horizontal-relative:page;z-index:-20942848;mso-width-relative:page;mso-height-relative:page;" filled="f" stroked="t" coordsize="594,9" o:gfxdata="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KqlmGjWAAAACQEAAA8AAAAA&#10;AAAAAQAgAAAAIgAAAGRycy9kb3ducmV2LnhtbFBLAQIUABQAAAAIAIdO4kDM/CqfwQIAAPgIAAAO&#10;AAAAAAAAAAEAIAAAACUBAABkcnMvZTJvRG9jLnhtbFBLBQYAAAAABgAGAFkBAABYBg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sz w:val="20"/>
        </w:rPr>
        <w:t>③收入是与所有者投入资本</w:t>
      </w:r>
      <w:r>
        <w:rPr>
          <w:b/>
          <w:color w:val="00AFEF"/>
          <w:sz w:val="20"/>
        </w:rPr>
        <w:t>无关的</w:t>
      </w:r>
      <w:r>
        <w:rPr>
          <w:sz w:val="20"/>
        </w:rPr>
        <w:t>经济利益的总流入。</w:t>
      </w:r>
      <w:r>
        <w:rPr>
          <w:b/>
          <w:sz w:val="20"/>
        </w:rPr>
        <w:t>2.收入的确认条件</w:t>
      </w:r>
    </w:p>
    <w:p>
      <w:pPr>
        <w:pStyle w:val="6"/>
        <w:spacing w:before="2"/>
      </w:pPr>
      <w:r>
        <w:t>当企业与客户之间的合同同时满足下列条件时，企业应当在</w:t>
      </w:r>
      <w:r>
        <w:rPr>
          <w:color w:val="FF0000"/>
          <w:u w:val="double" w:color="FF0000"/>
        </w:rPr>
        <w:t>客户取得相关商品控制权时</w:t>
      </w:r>
      <w:r>
        <w:t>确认收入。</w:t>
      </w:r>
    </w:p>
    <w:p>
      <w:pPr>
        <w:pStyle w:val="13"/>
        <w:numPr>
          <w:ilvl w:val="0"/>
          <w:numId w:val="12"/>
        </w:numPr>
        <w:tabs>
          <w:tab w:val="left" w:pos="1224"/>
        </w:tabs>
        <w:spacing w:before="68" w:after="0" w:line="240" w:lineRule="auto"/>
        <w:ind w:left="1223" w:right="0" w:hanging="501"/>
        <w:jc w:val="left"/>
        <w:rPr>
          <w:sz w:val="20"/>
        </w:rPr>
      </w:pPr>
      <w:r>
        <w:rPr>
          <w:sz w:val="20"/>
        </w:rPr>
        <w:t>合同各方已批准该合同并承诺将履行各自义务；</w:t>
      </w:r>
    </w:p>
    <w:p>
      <w:pPr>
        <w:pStyle w:val="13"/>
        <w:numPr>
          <w:ilvl w:val="0"/>
          <w:numId w:val="12"/>
        </w:numPr>
        <w:tabs>
          <w:tab w:val="left" w:pos="1224"/>
        </w:tabs>
        <w:spacing w:before="70" w:after="0" w:line="240" w:lineRule="auto"/>
        <w:ind w:left="1223" w:right="0" w:hanging="501"/>
        <w:jc w:val="left"/>
        <w:rPr>
          <w:sz w:val="20"/>
        </w:rPr>
      </w:pPr>
      <w:r>
        <w:rPr>
          <w:sz w:val="20"/>
        </w:rPr>
        <w:t>该合同明确了合同各方与所转让商品或提供劳务相关的权利和义务；</w:t>
      </w:r>
    </w:p>
    <w:p>
      <w:pPr>
        <w:pStyle w:val="13"/>
        <w:numPr>
          <w:ilvl w:val="0"/>
          <w:numId w:val="12"/>
        </w:numPr>
        <w:tabs>
          <w:tab w:val="left" w:pos="1224"/>
        </w:tabs>
        <w:spacing w:before="70" w:after="0" w:line="240" w:lineRule="auto"/>
        <w:ind w:left="1223" w:right="0" w:hanging="501"/>
        <w:jc w:val="left"/>
        <w:rPr>
          <w:sz w:val="20"/>
        </w:rPr>
      </w:pPr>
      <w:r>
        <w:rPr>
          <w:sz w:val="20"/>
        </w:rPr>
        <w:t>该合同有明确的与所转让商品或提供劳务相关的支付条款；</w:t>
      </w:r>
    </w:p>
    <w:p>
      <w:pPr>
        <w:pStyle w:val="13"/>
        <w:numPr>
          <w:ilvl w:val="0"/>
          <w:numId w:val="12"/>
        </w:numPr>
        <w:tabs>
          <w:tab w:val="left" w:pos="1224"/>
        </w:tabs>
        <w:spacing w:before="70" w:after="0" w:line="240" w:lineRule="auto"/>
        <w:ind w:left="1223" w:right="0" w:hanging="501"/>
        <w:jc w:val="left"/>
        <w:rPr>
          <w:sz w:val="20"/>
        </w:rPr>
      </w:pPr>
      <w:r>
        <w:rPr>
          <w:sz w:val="20"/>
        </w:rPr>
        <w:t>该合同具有商业实质，即履行该合同将改变企业未来现金流量的风险、时间分布或金额；</w:t>
      </w:r>
    </w:p>
    <w:p>
      <w:pPr>
        <w:pStyle w:val="13"/>
        <w:numPr>
          <w:ilvl w:val="0"/>
          <w:numId w:val="12"/>
        </w:numPr>
        <w:tabs>
          <w:tab w:val="left" w:pos="1224"/>
        </w:tabs>
        <w:spacing w:before="70" w:after="0" w:line="304" w:lineRule="auto"/>
        <w:ind w:left="723" w:right="3761" w:firstLine="0"/>
        <w:jc w:val="left"/>
        <w:rPr>
          <w:b/>
          <w:sz w:val="20"/>
        </w:rPr>
      </w:pPr>
      <w:r>
        <mc:AlternateContent>
          <mc:Choice Requires="wps">
            <w:drawing>
              <wp:anchor distT="0" distB="0" distL="114300" distR="114300" simplePos="0" relativeHeight="15740928" behindDoc="0" locked="0" layoutInCell="1" allowOverlap="1">
                <wp:simplePos x="0" y="0"/>
                <wp:positionH relativeFrom="page">
                  <wp:posOffset>615950</wp:posOffset>
                </wp:positionH>
                <wp:positionV relativeFrom="paragraph">
                  <wp:posOffset>414020</wp:posOffset>
                </wp:positionV>
                <wp:extent cx="6437630" cy="461010"/>
                <wp:effectExtent l="0" t="0" r="0" b="0"/>
                <wp:wrapNone/>
                <wp:docPr id="16" name="文本框 25"/>
                <wp:cNvGraphicFramePr/>
                <a:graphic xmlns:a="http://schemas.openxmlformats.org/drawingml/2006/main">
                  <a:graphicData uri="http://schemas.microsoft.com/office/word/2010/wordprocessingShape">
                    <wps:wsp>
                      <wps:cNvSpPr txBox="1"/>
                      <wps:spPr>
                        <a:xfrm>
                          <a:off x="0" y="0"/>
                          <a:ext cx="6437630" cy="46101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3"/>
                              <w:gridCol w:w="2325"/>
                              <w:gridCol w:w="64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1363" w:type="dxa"/>
                                  <w:vMerge w:val="restart"/>
                                </w:tcPr>
                                <w:p>
                                  <w:pPr>
                                    <w:pStyle w:val="14"/>
                                    <w:spacing w:before="3"/>
                                    <w:rPr>
                                      <w:sz w:val="20"/>
                                    </w:rPr>
                                  </w:pPr>
                                </w:p>
                                <w:p>
                                  <w:pPr>
                                    <w:pStyle w:val="14"/>
                                    <w:ind w:left="279"/>
                                    <w:rPr>
                                      <w:sz w:val="20"/>
                                    </w:rPr>
                                  </w:pPr>
                                  <w:r>
                                    <w:rPr>
                                      <w:sz w:val="20"/>
                                    </w:rPr>
                                    <w:t>按重要性</w:t>
                                  </w:r>
                                </w:p>
                              </w:tc>
                              <w:tc>
                                <w:tcPr>
                                  <w:tcW w:w="2325" w:type="dxa"/>
                                </w:tcPr>
                                <w:p>
                                  <w:pPr>
                                    <w:pStyle w:val="14"/>
                                    <w:spacing w:before="92"/>
                                    <w:ind w:left="539" w:right="530"/>
                                    <w:jc w:val="center"/>
                                    <w:rPr>
                                      <w:b/>
                                      <w:sz w:val="20"/>
                                    </w:rPr>
                                  </w:pPr>
                                  <w:r>
                                    <w:rPr>
                                      <w:b/>
                                      <w:color w:val="00AFEF"/>
                                      <w:sz w:val="20"/>
                                      <w:u w:val="single" w:color="00AFEF"/>
                                    </w:rPr>
                                    <w:t>主营业务收入</w:t>
                                  </w:r>
                                </w:p>
                              </w:tc>
                              <w:tc>
                                <w:tcPr>
                                  <w:tcW w:w="6435" w:type="dxa"/>
                                </w:tcPr>
                                <w:p>
                                  <w:pPr>
                                    <w:pStyle w:val="14"/>
                                    <w:spacing w:before="92"/>
                                    <w:ind w:left="2696" w:right="2289"/>
                                    <w:jc w:val="center"/>
                                    <w:rPr>
                                      <w:sz w:val="20"/>
                                    </w:rPr>
                                  </w:pPr>
                                  <w:r>
                                    <w:rPr>
                                      <w:sz w:val="20"/>
                                    </w:rPr>
                                    <w:t>销售商品收入等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63" w:type="dxa"/>
                                  <w:vMerge w:val="continue"/>
                                  <w:tcBorders>
                                    <w:top w:val="nil"/>
                                  </w:tcBorders>
                                </w:tcPr>
                                <w:p>
                                  <w:pPr>
                                    <w:rPr>
                                      <w:sz w:val="2"/>
                                      <w:szCs w:val="2"/>
                                    </w:rPr>
                                  </w:pPr>
                                </w:p>
                              </w:tc>
                              <w:tc>
                                <w:tcPr>
                                  <w:tcW w:w="2325" w:type="dxa"/>
                                </w:tcPr>
                                <w:p>
                                  <w:pPr>
                                    <w:pStyle w:val="14"/>
                                    <w:spacing w:before="69" w:line="237" w:lineRule="exact"/>
                                    <w:ind w:left="536" w:right="530"/>
                                    <w:jc w:val="center"/>
                                    <w:rPr>
                                      <w:sz w:val="20"/>
                                    </w:rPr>
                                  </w:pPr>
                                  <w:r>
                                    <w:rPr>
                                      <w:sz w:val="20"/>
                                    </w:rPr>
                                    <w:t>其他业务收入</w:t>
                                  </w:r>
                                </w:p>
                              </w:tc>
                              <w:tc>
                                <w:tcPr>
                                  <w:tcW w:w="6435" w:type="dxa"/>
                                </w:tcPr>
                                <w:p>
                                  <w:pPr>
                                    <w:pStyle w:val="14"/>
                                    <w:spacing w:before="69" w:line="237" w:lineRule="exact"/>
                                    <w:ind w:left="107"/>
                                    <w:rPr>
                                      <w:sz w:val="20"/>
                                    </w:rPr>
                                  </w:pPr>
                                  <w:r>
                                    <w:rPr>
                                      <w:sz w:val="20"/>
                                    </w:rPr>
                                    <w:t>销售原材料收入，出租固定资产、无形资产、包装物等租金收入等</w:t>
                                  </w:r>
                                </w:p>
                              </w:tc>
                            </w:tr>
                          </w:tbl>
                          <w:p>
                            <w:pPr>
                              <w:pStyle w:val="6"/>
                              <w:spacing w:before="0"/>
                              <w:ind w:left="0"/>
                            </w:pPr>
                          </w:p>
                        </w:txbxContent>
                      </wps:txbx>
                      <wps:bodyPr lIns="0" tIns="0" rIns="0" bIns="0" upright="1"/>
                    </wps:wsp>
                  </a:graphicData>
                </a:graphic>
              </wp:anchor>
            </w:drawing>
          </mc:Choice>
          <mc:Fallback>
            <w:pict>
              <v:shape id="文本框 25" o:spid="_x0000_s1026" o:spt="202" type="#_x0000_t202" style="position:absolute;left:0pt;margin-left:48.5pt;margin-top:32.6pt;height:36.3pt;width:506.9pt;mso-position-horizontal-relative:page;z-index:15740928;mso-width-relative:page;mso-height-relative:page;" filled="f" stroked="f" coordsize="21600,21600" o:gfxdata="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LeCwF2QAAAAoBAAAPAAAAAAAA&#10;AAEAIAAAACIAAABkcnMvZG93bnJldi54bWxQSwECFAAUAAAACACHTuJArAIROp8BAAAmAwAADgAA&#10;AAAAAAABACAAAAAoAQAAZHJzL2Uyb0RvYy54bWxQSwUGAAAAAAYABgBZAQAAOQ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63"/>
                        <w:gridCol w:w="2325"/>
                        <w:gridCol w:w="64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1363" w:type="dxa"/>
                            <w:vMerge w:val="restart"/>
                          </w:tcPr>
                          <w:p>
                            <w:pPr>
                              <w:pStyle w:val="14"/>
                              <w:spacing w:before="3"/>
                              <w:rPr>
                                <w:sz w:val="20"/>
                              </w:rPr>
                            </w:pPr>
                          </w:p>
                          <w:p>
                            <w:pPr>
                              <w:pStyle w:val="14"/>
                              <w:ind w:left="279"/>
                              <w:rPr>
                                <w:sz w:val="20"/>
                              </w:rPr>
                            </w:pPr>
                            <w:r>
                              <w:rPr>
                                <w:sz w:val="20"/>
                              </w:rPr>
                              <w:t>按重要性</w:t>
                            </w:r>
                          </w:p>
                        </w:tc>
                        <w:tc>
                          <w:tcPr>
                            <w:tcW w:w="2325" w:type="dxa"/>
                          </w:tcPr>
                          <w:p>
                            <w:pPr>
                              <w:pStyle w:val="14"/>
                              <w:spacing w:before="92"/>
                              <w:ind w:left="539" w:right="530"/>
                              <w:jc w:val="center"/>
                              <w:rPr>
                                <w:b/>
                                <w:sz w:val="20"/>
                              </w:rPr>
                            </w:pPr>
                            <w:r>
                              <w:rPr>
                                <w:b/>
                                <w:color w:val="00AFEF"/>
                                <w:sz w:val="20"/>
                                <w:u w:val="single" w:color="00AFEF"/>
                              </w:rPr>
                              <w:t>主营业务收入</w:t>
                            </w:r>
                          </w:p>
                        </w:tc>
                        <w:tc>
                          <w:tcPr>
                            <w:tcW w:w="6435" w:type="dxa"/>
                          </w:tcPr>
                          <w:p>
                            <w:pPr>
                              <w:pStyle w:val="14"/>
                              <w:spacing w:before="92"/>
                              <w:ind w:left="2696" w:right="2289"/>
                              <w:jc w:val="center"/>
                              <w:rPr>
                                <w:sz w:val="20"/>
                              </w:rPr>
                            </w:pPr>
                            <w:r>
                              <w:rPr>
                                <w:sz w:val="20"/>
                              </w:rPr>
                              <w:t>销售商品收入等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63" w:type="dxa"/>
                            <w:vMerge w:val="continue"/>
                            <w:tcBorders>
                              <w:top w:val="nil"/>
                            </w:tcBorders>
                          </w:tcPr>
                          <w:p>
                            <w:pPr>
                              <w:rPr>
                                <w:sz w:val="2"/>
                                <w:szCs w:val="2"/>
                              </w:rPr>
                            </w:pPr>
                          </w:p>
                        </w:tc>
                        <w:tc>
                          <w:tcPr>
                            <w:tcW w:w="2325" w:type="dxa"/>
                          </w:tcPr>
                          <w:p>
                            <w:pPr>
                              <w:pStyle w:val="14"/>
                              <w:spacing w:before="69" w:line="237" w:lineRule="exact"/>
                              <w:ind w:left="536" w:right="530"/>
                              <w:jc w:val="center"/>
                              <w:rPr>
                                <w:sz w:val="20"/>
                              </w:rPr>
                            </w:pPr>
                            <w:r>
                              <w:rPr>
                                <w:sz w:val="20"/>
                              </w:rPr>
                              <w:t>其他业务收入</w:t>
                            </w:r>
                          </w:p>
                        </w:tc>
                        <w:tc>
                          <w:tcPr>
                            <w:tcW w:w="6435" w:type="dxa"/>
                          </w:tcPr>
                          <w:p>
                            <w:pPr>
                              <w:pStyle w:val="14"/>
                              <w:spacing w:before="69" w:line="237" w:lineRule="exact"/>
                              <w:ind w:left="107"/>
                              <w:rPr>
                                <w:sz w:val="20"/>
                              </w:rPr>
                            </w:pPr>
                            <w:r>
                              <w:rPr>
                                <w:sz w:val="20"/>
                              </w:rPr>
                              <w:t>销售原材料收入，出租固定资产、无形资产、包装物等租金收入等</w:t>
                            </w:r>
                          </w:p>
                        </w:tc>
                      </w:tr>
                    </w:tbl>
                    <w:p>
                      <w:pPr>
                        <w:pStyle w:val="6"/>
                        <w:spacing w:before="0"/>
                        <w:ind w:left="0"/>
                      </w:pPr>
                    </w:p>
                  </w:txbxContent>
                </v:textbox>
              </v:shape>
            </w:pict>
          </mc:Fallback>
        </mc:AlternateContent>
      </w:r>
      <w:r>
        <w:rPr>
          <w:sz w:val="20"/>
        </w:rPr>
        <w:t>企业因向客户转让商品或提供劳务而有权取得的对价很可能收回。</w:t>
      </w:r>
      <w:r>
        <w:rPr>
          <w:b/>
          <w:sz w:val="20"/>
        </w:rPr>
        <w:t>3.收入的分类</w:t>
      </w:r>
    </w:p>
    <w:p>
      <w:pPr>
        <w:pStyle w:val="6"/>
        <w:spacing w:before="0"/>
        <w:ind w:left="0"/>
        <w:rPr>
          <w:b/>
        </w:rPr>
      </w:pPr>
    </w:p>
    <w:p>
      <w:pPr>
        <w:pStyle w:val="6"/>
        <w:spacing w:before="0"/>
        <w:ind w:left="0"/>
        <w:rPr>
          <w:b/>
        </w:rPr>
      </w:pPr>
    </w:p>
    <w:p>
      <w:pPr>
        <w:pStyle w:val="6"/>
        <w:spacing w:before="9"/>
        <w:ind w:left="0"/>
        <w:rPr>
          <w:b/>
          <w:sz w:val="16"/>
        </w:rPr>
      </w:pPr>
    </w:p>
    <w:p>
      <w:pPr>
        <w:pStyle w:val="5"/>
        <w:spacing w:before="0" w:line="304" w:lineRule="auto"/>
        <w:ind w:right="7250"/>
      </w:pPr>
      <w:r>
        <w:t>（五）费用的定义及其确认条件1.费用的定义与特征</w:t>
      </w:r>
    </w:p>
    <w:p>
      <w:pPr>
        <w:pStyle w:val="6"/>
        <w:spacing w:before="2"/>
      </w:pPr>
      <w:r>
        <w:t>费用是指</w:t>
      </w:r>
      <w:r>
        <w:rPr>
          <w:color w:val="FF0000"/>
          <w:u w:val="double" w:color="FF0000"/>
        </w:rPr>
        <w:t>企业在日常活动中发生的、会导致所有者权益减少的、与向所有者分配利润无关的经济利益的总流</w:t>
      </w:r>
    </w:p>
    <w:p>
      <w:pPr>
        <w:pStyle w:val="6"/>
        <w:spacing w:before="68"/>
        <w:ind w:left="322"/>
      </w:pPr>
      <w:r>
        <w:rPr>
          <w:color w:val="FF0000"/>
          <w:u w:val="double" w:color="FF0000"/>
        </w:rPr>
        <w:t>出</w:t>
      </w:r>
      <w:r>
        <w:t>。</w:t>
      </w:r>
    </w:p>
    <w:p>
      <w:pPr>
        <w:tabs>
          <w:tab w:val="left" w:pos="4426"/>
        </w:tabs>
        <w:spacing w:before="70"/>
        <w:ind w:left="723" w:right="0" w:firstLine="0"/>
        <w:jc w:val="left"/>
        <w:rPr>
          <w:sz w:val="20"/>
        </w:rPr>
      </w:pPr>
      <w:r>
        <w:rPr>
          <w:sz w:val="20"/>
        </w:rPr>
        <w:t>①费用是从企业的</w:t>
      </w:r>
      <w:r>
        <w:rPr>
          <w:b/>
          <w:color w:val="00AFEF"/>
          <w:sz w:val="20"/>
          <w:u w:val="single" w:color="00AFEF"/>
        </w:rPr>
        <w:t>日常活动</w:t>
      </w:r>
      <w:r>
        <w:rPr>
          <w:b/>
          <w:color w:val="00AFEF"/>
          <w:spacing w:val="-3"/>
          <w:sz w:val="20"/>
          <w:u w:val="single" w:color="00AFEF"/>
        </w:rPr>
        <w:t>中</w:t>
      </w:r>
      <w:r>
        <w:rPr>
          <w:sz w:val="20"/>
        </w:rPr>
        <w:t>形成的；</w:t>
      </w:r>
      <w:r>
        <w:rPr>
          <w:sz w:val="20"/>
        </w:rPr>
        <w:tab/>
      </w:r>
      <w:r>
        <w:rPr>
          <w:sz w:val="20"/>
        </w:rPr>
        <w:t>②费用</w:t>
      </w:r>
      <w:r>
        <w:rPr>
          <w:b/>
          <w:color w:val="00AFEF"/>
          <w:sz w:val="20"/>
          <w:u w:val="single" w:color="00AFEF"/>
        </w:rPr>
        <w:t>最终会导致企业所有者权益的减少</w:t>
      </w:r>
      <w:r>
        <w:rPr>
          <w:sz w:val="20"/>
        </w:rPr>
        <w:t>；</w:t>
      </w:r>
    </w:p>
    <w:p>
      <w:pPr>
        <w:spacing w:before="70" w:line="304" w:lineRule="auto"/>
        <w:ind w:left="723" w:right="5059" w:firstLine="0"/>
        <w:jc w:val="left"/>
        <w:rPr>
          <w:b/>
          <w:sz w:val="20"/>
        </w:rPr>
      </w:pPr>
      <w:r>
        <mc:AlternateContent>
          <mc:Choice Requires="wps">
            <w:drawing>
              <wp:anchor distT="0" distB="0" distL="114300" distR="114300" simplePos="0" relativeHeight="482373632" behindDoc="1" locked="0" layoutInCell="1" allowOverlap="1">
                <wp:simplePos x="0" y="0"/>
                <wp:positionH relativeFrom="page">
                  <wp:posOffset>3608070</wp:posOffset>
                </wp:positionH>
                <wp:positionV relativeFrom="paragraph">
                  <wp:posOffset>182880</wp:posOffset>
                </wp:positionV>
                <wp:extent cx="377190" cy="5715"/>
                <wp:effectExtent l="0" t="0" r="0" b="0"/>
                <wp:wrapNone/>
                <wp:docPr id="217" name="任意多边形 26"/>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6" o:spid="_x0000_s1026" o:spt="100" style="position:absolute;left:0pt;margin-left:284.1pt;margin-top:14.4pt;height:0.45pt;width:29.7pt;mso-position-horizontal-relative:page;z-index:-20942848;mso-width-relative:page;mso-height-relative:page;" filled="f" stroked="t" coordsize="594,9" o:gfxdata="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SE8dF1QAAAAkBAAAPAAAAAAAAAAEA&#10;IAAAACIAAABkcnMvZG93bnJldi54bWxQSwECFAAUAAAACACHTuJAQ31U970CAAD4CAAADgAAAAAA&#10;AAABACAAAAAkAQAAZHJzL2Uyb0RvYy54bWxQSwUGAAAAAAYABgBZAQAAUwY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sz w:val="20"/>
        </w:rPr>
        <w:t>③费用是与向所有者分配利润无关的经济利益的</w:t>
      </w:r>
      <w:r>
        <w:rPr>
          <w:b/>
          <w:color w:val="00AFEF"/>
          <w:sz w:val="20"/>
        </w:rPr>
        <w:t>总流出</w:t>
      </w:r>
      <w:r>
        <w:rPr>
          <w:sz w:val="20"/>
        </w:rPr>
        <w:t>。</w:t>
      </w:r>
      <w:r>
        <w:rPr>
          <w:b/>
          <w:sz w:val="20"/>
        </w:rPr>
        <w:t>2.费用的确认条件</w:t>
      </w:r>
    </w:p>
    <w:p>
      <w:pPr>
        <w:pStyle w:val="6"/>
        <w:spacing w:before="2"/>
      </w:pPr>
      <w:r>
        <w:t>费用的确认处理应当符合定义外，还至少应当符合以下条件：</w:t>
      </w:r>
    </w:p>
    <w:p>
      <w:pPr>
        <w:spacing w:before="70"/>
        <w:ind w:left="723" w:right="0" w:firstLine="0"/>
        <w:jc w:val="left"/>
        <w:rPr>
          <w:sz w:val="20"/>
        </w:rPr>
      </w:pPr>
      <w:r>
        <w:rPr>
          <w:w w:val="99"/>
          <w:sz w:val="20"/>
        </w:rPr>
        <w:t>（</w:t>
      </w:r>
      <w:r>
        <w:rPr>
          <w:spacing w:val="1"/>
          <w:w w:val="99"/>
          <w:sz w:val="20"/>
        </w:rPr>
        <w:t>1</w:t>
      </w:r>
      <w:r>
        <w:rPr>
          <w:w w:val="99"/>
          <w:sz w:val="20"/>
        </w:rPr>
        <w:t>）与费用相关的经济利益</w:t>
      </w:r>
      <w:r>
        <w:rPr>
          <w:b/>
          <w:color w:val="00AFEF"/>
          <w:w w:val="99"/>
          <w:sz w:val="20"/>
          <w:u w:val="single" w:color="00AFEF"/>
        </w:rPr>
        <w:t>很可能流出企业</w:t>
      </w:r>
      <w:r>
        <w:rPr>
          <w:spacing w:val="-99"/>
          <w:w w:val="99"/>
          <w:sz w:val="20"/>
        </w:rPr>
        <w:t>；</w:t>
      </w:r>
      <w:r>
        <w:rPr>
          <w:w w:val="99"/>
          <w:sz w:val="20"/>
        </w:rPr>
        <w:t>（</w:t>
      </w:r>
      <w:r>
        <w:rPr>
          <w:spacing w:val="1"/>
          <w:w w:val="99"/>
          <w:sz w:val="20"/>
        </w:rPr>
        <w:t>2</w:t>
      </w:r>
      <w:r>
        <w:rPr>
          <w:w w:val="99"/>
          <w:sz w:val="20"/>
        </w:rPr>
        <w:t>）经济利益流出企业的结果</w:t>
      </w:r>
      <w:r>
        <w:rPr>
          <w:b/>
          <w:color w:val="00AFEF"/>
          <w:w w:val="99"/>
          <w:sz w:val="20"/>
          <w:u w:val="single" w:color="00AFEF"/>
        </w:rPr>
        <w:t>会导致资产减少或负债增加</w:t>
      </w:r>
      <w:r>
        <w:rPr>
          <w:w w:val="99"/>
          <w:sz w:val="20"/>
        </w:rPr>
        <w:t>；</w:t>
      </w:r>
    </w:p>
    <w:p>
      <w:pPr>
        <w:spacing w:before="68"/>
        <w:ind w:left="723" w:right="0" w:firstLine="0"/>
        <w:jc w:val="left"/>
        <w:rPr>
          <w:sz w:val="20"/>
        </w:rPr>
      </w:pPr>
      <w:r>
        <mc:AlternateContent>
          <mc:Choice Requires="wps">
            <w:drawing>
              <wp:anchor distT="0" distB="0" distL="114300" distR="114300" simplePos="0" relativeHeight="15739904" behindDoc="0" locked="0" layoutInCell="1" allowOverlap="1">
                <wp:simplePos x="0" y="0"/>
                <wp:positionH relativeFrom="page">
                  <wp:posOffset>2528570</wp:posOffset>
                </wp:positionH>
                <wp:positionV relativeFrom="paragraph">
                  <wp:posOffset>180975</wp:posOffset>
                </wp:positionV>
                <wp:extent cx="502920" cy="5715"/>
                <wp:effectExtent l="0" t="0" r="0" b="0"/>
                <wp:wrapNone/>
                <wp:docPr id="14" name="任意多边形 27"/>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7" o:spid="_x0000_s1026" o:spt="100" style="position:absolute;left:0pt;margin-left:199.1pt;margin-top:14.25pt;height:0.45pt;width:39.6pt;mso-position-horizontal-relative:page;z-index:15739904;mso-width-relative:page;mso-height-relative:page;" filled="f" stroked="t" coordsize="792,9" o:gfxdata="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QmJJHtgAAAAJAQAADwAAAAAAAAABACAAAAAi&#10;AAAAZHJzL2Rvd25yZXYueG1sUEsBAhQAFAAAAAgAh07iQKY0+EruAgAAmQoAAA4AAAAAAAAAAQAg&#10;AAAAJw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z w:val="20"/>
        </w:rPr>
        <w:t>（3）经济利益的流出额能够</w:t>
      </w:r>
      <w:r>
        <w:rPr>
          <w:b/>
          <w:color w:val="00AFEF"/>
          <w:sz w:val="20"/>
        </w:rPr>
        <w:t>可靠计量</w:t>
      </w:r>
      <w:r>
        <w:rPr>
          <w:sz w:val="20"/>
        </w:rPr>
        <w:t>。</w:t>
      </w:r>
    </w:p>
    <w:p>
      <w:pPr>
        <w:spacing w:after="0"/>
        <w:jc w:val="left"/>
        <w:rPr>
          <w:sz w:val="20"/>
        </w:rPr>
        <w:sectPr>
          <w:pgSz w:w="11910" w:h="16160"/>
          <w:pgMar w:top="1680" w:right="360" w:bottom="860" w:left="760" w:header="0" w:footer="584" w:gutter="0"/>
        </w:sectPr>
      </w:pPr>
    </w:p>
    <w:p>
      <w:pPr>
        <w:pStyle w:val="6"/>
        <w:spacing w:before="11"/>
        <w:ind w:left="0"/>
        <w:rPr>
          <w:sz w:val="13"/>
        </w:rPr>
      </w:pPr>
    </w:p>
    <w:p>
      <w:pPr>
        <w:pStyle w:val="5"/>
        <w:spacing w:before="71"/>
      </w:pPr>
      <w:r>
        <w:t>3.费用的分类</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8"/>
        <w:gridCol w:w="1275"/>
        <w:gridCol w:w="7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953" w:type="dxa"/>
            <w:gridSpan w:val="2"/>
          </w:tcPr>
          <w:p>
            <w:pPr>
              <w:pStyle w:val="14"/>
              <w:spacing w:before="68" w:line="237" w:lineRule="exact"/>
              <w:ind w:left="1454" w:right="1049"/>
              <w:jc w:val="center"/>
              <w:rPr>
                <w:sz w:val="20"/>
              </w:rPr>
            </w:pPr>
            <w:r>
              <w:rPr>
                <w:sz w:val="20"/>
              </w:rPr>
              <w:t>分类</w:t>
            </w:r>
          </w:p>
        </w:tc>
        <w:tc>
          <w:tcPr>
            <w:tcW w:w="7155" w:type="dxa"/>
          </w:tcPr>
          <w:p>
            <w:pPr>
              <w:pStyle w:val="14"/>
              <w:spacing w:before="68" w:line="237" w:lineRule="exact"/>
              <w:ind w:left="3555" w:right="3149"/>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78" w:type="dxa"/>
            <w:vMerge w:val="restart"/>
          </w:tcPr>
          <w:p>
            <w:pPr>
              <w:pStyle w:val="14"/>
              <w:rPr>
                <w:b/>
                <w:sz w:val="20"/>
              </w:rPr>
            </w:pPr>
          </w:p>
          <w:p>
            <w:pPr>
              <w:pStyle w:val="14"/>
              <w:spacing w:before="148"/>
              <w:ind w:left="438"/>
              <w:rPr>
                <w:sz w:val="20"/>
              </w:rPr>
            </w:pPr>
            <w:r>
              <w:rPr>
                <w:sz w:val="20"/>
              </w:rPr>
              <w:t>生产费用</w:t>
            </w:r>
          </w:p>
        </w:tc>
        <w:tc>
          <w:tcPr>
            <w:tcW w:w="1275" w:type="dxa"/>
          </w:tcPr>
          <w:p>
            <w:pPr>
              <w:pStyle w:val="14"/>
              <w:spacing w:before="68" w:line="237" w:lineRule="exact"/>
              <w:ind w:left="215" w:right="209"/>
              <w:jc w:val="center"/>
              <w:rPr>
                <w:sz w:val="20"/>
              </w:rPr>
            </w:pPr>
            <w:r>
              <w:rPr>
                <w:sz w:val="20"/>
              </w:rPr>
              <w:t>直接材料</w:t>
            </w:r>
          </w:p>
        </w:tc>
        <w:tc>
          <w:tcPr>
            <w:tcW w:w="7155" w:type="dxa"/>
          </w:tcPr>
          <w:p>
            <w:pPr>
              <w:pStyle w:val="14"/>
              <w:spacing w:before="68" w:line="237" w:lineRule="exact"/>
              <w:ind w:left="506"/>
              <w:rPr>
                <w:sz w:val="20"/>
              </w:rPr>
            </w:pPr>
            <w:r>
              <w:rPr>
                <w:sz w:val="20"/>
              </w:rPr>
              <w:t>形成产品的各种主要材料和辅助材料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78" w:type="dxa"/>
            <w:vMerge w:val="continue"/>
            <w:tcBorders>
              <w:top w:val="nil"/>
            </w:tcBorders>
          </w:tcPr>
          <w:p>
            <w:pPr>
              <w:rPr>
                <w:sz w:val="2"/>
                <w:szCs w:val="2"/>
              </w:rPr>
            </w:pPr>
          </w:p>
        </w:tc>
        <w:tc>
          <w:tcPr>
            <w:tcW w:w="1275" w:type="dxa"/>
          </w:tcPr>
          <w:p>
            <w:pPr>
              <w:pStyle w:val="14"/>
              <w:spacing w:before="68" w:line="237" w:lineRule="exact"/>
              <w:ind w:left="215" w:right="209"/>
              <w:jc w:val="center"/>
              <w:rPr>
                <w:sz w:val="20"/>
              </w:rPr>
            </w:pPr>
            <w:r>
              <w:rPr>
                <w:sz w:val="20"/>
              </w:rPr>
              <w:t>直接人工</w:t>
            </w:r>
          </w:p>
        </w:tc>
        <w:tc>
          <w:tcPr>
            <w:tcW w:w="7155" w:type="dxa"/>
          </w:tcPr>
          <w:p>
            <w:pPr>
              <w:pStyle w:val="14"/>
              <w:spacing w:before="68" w:line="237" w:lineRule="exact"/>
              <w:ind w:left="506"/>
              <w:rPr>
                <w:sz w:val="20"/>
              </w:rPr>
            </w:pPr>
            <w:r>
              <w:rPr>
                <w:sz w:val="20"/>
              </w:rPr>
              <w:t>产品生产工人的工资、福利等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78" w:type="dxa"/>
            <w:vMerge w:val="continue"/>
            <w:tcBorders>
              <w:top w:val="nil"/>
            </w:tcBorders>
          </w:tcPr>
          <w:p>
            <w:pPr>
              <w:rPr>
                <w:sz w:val="2"/>
                <w:szCs w:val="2"/>
              </w:rPr>
            </w:pPr>
          </w:p>
        </w:tc>
        <w:tc>
          <w:tcPr>
            <w:tcW w:w="1275" w:type="dxa"/>
          </w:tcPr>
          <w:p>
            <w:pPr>
              <w:pStyle w:val="14"/>
              <w:spacing w:before="68" w:line="237" w:lineRule="exact"/>
              <w:ind w:left="215" w:right="209"/>
              <w:jc w:val="center"/>
              <w:rPr>
                <w:sz w:val="20"/>
              </w:rPr>
            </w:pPr>
            <w:r>
              <w:rPr>
                <w:sz w:val="20"/>
              </w:rPr>
              <w:t>制造费用</w:t>
            </w:r>
          </w:p>
        </w:tc>
        <w:tc>
          <w:tcPr>
            <w:tcW w:w="7155" w:type="dxa"/>
          </w:tcPr>
          <w:p>
            <w:pPr>
              <w:pStyle w:val="14"/>
              <w:spacing w:before="68" w:line="237" w:lineRule="exact"/>
              <w:ind w:left="506"/>
              <w:rPr>
                <w:sz w:val="20"/>
              </w:rPr>
            </w:pPr>
            <w:r>
              <w:rPr>
                <w:sz w:val="20"/>
              </w:rPr>
              <w:t>车间里发生的间接费用（水电费、管理人员工资）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678" w:type="dxa"/>
            <w:vMerge w:val="restart"/>
          </w:tcPr>
          <w:p>
            <w:pPr>
              <w:pStyle w:val="14"/>
              <w:rPr>
                <w:b/>
                <w:sz w:val="20"/>
              </w:rPr>
            </w:pPr>
          </w:p>
          <w:p>
            <w:pPr>
              <w:pStyle w:val="14"/>
              <w:rPr>
                <w:b/>
                <w:sz w:val="20"/>
              </w:rPr>
            </w:pPr>
          </w:p>
          <w:p>
            <w:pPr>
              <w:pStyle w:val="14"/>
              <w:rPr>
                <w:b/>
                <w:sz w:val="17"/>
              </w:rPr>
            </w:pPr>
          </w:p>
          <w:p>
            <w:pPr>
              <w:pStyle w:val="14"/>
              <w:ind w:left="438"/>
              <w:rPr>
                <w:sz w:val="20"/>
              </w:rPr>
            </w:pPr>
            <w:r>
              <w:rPr>
                <w:sz w:val="20"/>
              </w:rPr>
              <w:t>期间费用</w:t>
            </w:r>
          </w:p>
        </w:tc>
        <w:tc>
          <w:tcPr>
            <w:tcW w:w="1275" w:type="dxa"/>
          </w:tcPr>
          <w:p>
            <w:pPr>
              <w:pStyle w:val="14"/>
              <w:rPr>
                <w:b/>
                <w:sz w:val="20"/>
              </w:rPr>
            </w:pPr>
          </w:p>
          <w:p>
            <w:pPr>
              <w:pStyle w:val="14"/>
              <w:spacing w:before="138"/>
              <w:ind w:left="215" w:right="209"/>
              <w:jc w:val="center"/>
              <w:rPr>
                <w:sz w:val="20"/>
              </w:rPr>
            </w:pPr>
            <w:r>
              <w:rPr>
                <w:sz w:val="20"/>
              </w:rPr>
              <w:t>销售费用</w:t>
            </w:r>
          </w:p>
        </w:tc>
        <w:tc>
          <w:tcPr>
            <w:tcW w:w="7155" w:type="dxa"/>
          </w:tcPr>
          <w:p>
            <w:pPr>
              <w:pStyle w:val="14"/>
              <w:numPr>
                <w:ilvl w:val="0"/>
                <w:numId w:val="13"/>
              </w:numPr>
              <w:tabs>
                <w:tab w:val="left" w:pos="709"/>
              </w:tabs>
              <w:spacing w:before="68" w:after="0" w:line="240" w:lineRule="auto"/>
              <w:ind w:left="708" w:right="0" w:hanging="203"/>
              <w:jc w:val="left"/>
              <w:rPr>
                <w:sz w:val="20"/>
              </w:rPr>
            </w:pPr>
            <w:r>
              <w:rPr>
                <w:color w:val="FF0000"/>
                <w:sz w:val="20"/>
                <w:u w:val="double" w:color="FF0000"/>
              </w:rPr>
              <w:t>为了销售发生的（广告费、展览费等）</w:t>
            </w:r>
          </w:p>
          <w:p>
            <w:pPr>
              <w:pStyle w:val="14"/>
              <w:numPr>
                <w:ilvl w:val="0"/>
                <w:numId w:val="13"/>
              </w:numPr>
              <w:tabs>
                <w:tab w:val="left" w:pos="709"/>
              </w:tabs>
              <w:spacing w:before="70" w:after="0" w:line="240" w:lineRule="auto"/>
              <w:ind w:left="708" w:right="0" w:hanging="203"/>
              <w:jc w:val="left"/>
              <w:rPr>
                <w:sz w:val="20"/>
              </w:rPr>
            </w:pPr>
            <w:r>
              <w:rPr>
                <w:color w:val="FF0000"/>
                <w:sz w:val="20"/>
                <w:u w:val="double" w:color="FF0000"/>
              </w:rPr>
              <w:t>销售过程发生的（运输费、装卸费、包装费等）</w:t>
            </w:r>
          </w:p>
          <w:p>
            <w:pPr>
              <w:pStyle w:val="14"/>
              <w:numPr>
                <w:ilvl w:val="0"/>
                <w:numId w:val="13"/>
              </w:numPr>
              <w:tabs>
                <w:tab w:val="left" w:pos="709"/>
              </w:tabs>
              <w:spacing w:before="71" w:after="0" w:line="237" w:lineRule="exact"/>
              <w:ind w:left="708" w:right="0" w:hanging="203"/>
              <w:jc w:val="left"/>
              <w:rPr>
                <w:sz w:val="20"/>
              </w:rPr>
            </w:pPr>
            <w:r>
              <w:rPr>
                <w:color w:val="FF0000"/>
                <w:sz w:val="20"/>
                <w:u w:val="double" w:color="FF0000"/>
              </w:rPr>
              <w:t>销售部门发生的（销售部门的工资、经费等）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78" w:type="dxa"/>
            <w:vMerge w:val="continue"/>
            <w:tcBorders>
              <w:top w:val="nil"/>
            </w:tcBorders>
          </w:tcPr>
          <w:p>
            <w:pPr>
              <w:rPr>
                <w:sz w:val="2"/>
                <w:szCs w:val="2"/>
              </w:rPr>
            </w:pPr>
          </w:p>
        </w:tc>
        <w:tc>
          <w:tcPr>
            <w:tcW w:w="1275" w:type="dxa"/>
          </w:tcPr>
          <w:p>
            <w:pPr>
              <w:pStyle w:val="14"/>
              <w:spacing w:before="69" w:line="237" w:lineRule="exact"/>
              <w:ind w:left="215" w:right="209"/>
              <w:jc w:val="center"/>
              <w:rPr>
                <w:sz w:val="20"/>
              </w:rPr>
            </w:pPr>
            <w:r>
              <w:rPr>
                <w:sz w:val="20"/>
              </w:rPr>
              <w:t>财务费用</w:t>
            </w:r>
          </w:p>
        </w:tc>
        <w:tc>
          <w:tcPr>
            <w:tcW w:w="7155" w:type="dxa"/>
          </w:tcPr>
          <w:p>
            <w:pPr>
              <w:pStyle w:val="14"/>
              <w:spacing w:before="69" w:line="237" w:lineRule="exact"/>
              <w:ind w:left="506"/>
              <w:rPr>
                <w:sz w:val="20"/>
              </w:rPr>
            </w:pPr>
            <w:r>
              <w:rPr>
                <w:color w:val="FF0000"/>
                <w:sz w:val="20"/>
                <w:u w:val="double" w:color="FF0000"/>
              </w:rPr>
              <w:t>筹资手续费、利息、汇兑损益、现金折扣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78" w:type="dxa"/>
            <w:vMerge w:val="continue"/>
            <w:tcBorders>
              <w:top w:val="nil"/>
            </w:tcBorders>
          </w:tcPr>
          <w:p>
            <w:pPr>
              <w:rPr>
                <w:sz w:val="2"/>
                <w:szCs w:val="2"/>
              </w:rPr>
            </w:pPr>
          </w:p>
        </w:tc>
        <w:tc>
          <w:tcPr>
            <w:tcW w:w="1275" w:type="dxa"/>
          </w:tcPr>
          <w:p>
            <w:pPr>
              <w:pStyle w:val="14"/>
              <w:spacing w:before="69" w:line="237" w:lineRule="exact"/>
              <w:ind w:left="215" w:right="209"/>
              <w:jc w:val="center"/>
              <w:rPr>
                <w:sz w:val="20"/>
              </w:rPr>
            </w:pPr>
            <w:r>
              <w:rPr>
                <w:sz w:val="20"/>
              </w:rPr>
              <w:t>管理费用</w:t>
            </w:r>
          </w:p>
        </w:tc>
        <w:tc>
          <w:tcPr>
            <w:tcW w:w="7155" w:type="dxa"/>
          </w:tcPr>
          <w:p>
            <w:pPr>
              <w:pStyle w:val="14"/>
              <w:spacing w:before="69" w:line="237" w:lineRule="exact"/>
              <w:ind w:left="506"/>
              <w:rPr>
                <w:sz w:val="20"/>
              </w:rPr>
            </w:pPr>
            <w:r>
              <w:rPr>
                <w:color w:val="FF0000"/>
                <w:sz w:val="20"/>
                <w:u w:val="double" w:color="FF0000"/>
              </w:rPr>
              <w:t>除了销售费用、财务费用以外的期间费用</w:t>
            </w:r>
          </w:p>
        </w:tc>
      </w:tr>
    </w:tbl>
    <w:p>
      <w:pPr>
        <w:spacing w:before="69" w:line="304" w:lineRule="auto"/>
        <w:ind w:left="322" w:right="643" w:firstLine="400"/>
        <w:jc w:val="left"/>
        <w:rPr>
          <w:sz w:val="20"/>
        </w:rPr>
      </w:pPr>
      <w:r>
        <mc:AlternateContent>
          <mc:Choice Requires="wps">
            <w:drawing>
              <wp:anchor distT="0" distB="0" distL="114300" distR="114300" simplePos="0" relativeHeight="482375680" behindDoc="1" locked="0" layoutInCell="1" allowOverlap="1">
                <wp:simplePos x="0" y="0"/>
                <wp:positionH relativeFrom="page">
                  <wp:posOffset>1068705</wp:posOffset>
                </wp:positionH>
                <wp:positionV relativeFrom="paragraph">
                  <wp:posOffset>181610</wp:posOffset>
                </wp:positionV>
                <wp:extent cx="251460" cy="5715"/>
                <wp:effectExtent l="0" t="0" r="0" b="0"/>
                <wp:wrapNone/>
                <wp:docPr id="219" name="任意多边形 2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8" o:spid="_x0000_s1026" o:spt="100" style="position:absolute;left:0pt;margin-left:84.15pt;margin-top:14.3pt;height:0.45pt;width:19.8pt;mso-position-horizontal-relative:page;z-index:-20940800;mso-width-relative:page;mso-height-relative:page;" filled="f" stroked="t" coordsize="396,9" o:gfxdata="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HOfg&#10;PtkAAAAJAQAADwAAAAAAAAABACAAAAAiAAAAZHJzL2Rvd25yZXYueG1sUEsBAhQAFAAAAAgAh07i&#10;QNQqtI+TAgAAVgcAAA4AAAAAAAAAAQAgAAAAKA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sz w:val="20"/>
        </w:rPr>
        <w:t>【</w:t>
      </w:r>
      <w:r>
        <w:rPr>
          <w:b/>
          <w:color w:val="00AFEF"/>
          <w:w w:val="95"/>
          <w:sz w:val="20"/>
        </w:rPr>
        <w:t>提示</w:t>
      </w:r>
      <w:r>
        <w:rPr>
          <w:w w:val="95"/>
          <w:sz w:val="20"/>
        </w:rPr>
        <w:t>】1.将费用界定为日常活动所形成的，是为了将其与损失相区分，因为企业</w:t>
      </w:r>
      <w:r>
        <w:rPr>
          <w:b/>
          <w:color w:val="00AFEF"/>
          <w:w w:val="95"/>
          <w:sz w:val="20"/>
          <w:u w:val="single" w:color="00AFEF"/>
        </w:rPr>
        <w:t>非日常活动所形成的</w:t>
      </w:r>
      <w:r>
        <w:rPr>
          <w:w w:val="95"/>
          <w:sz w:val="20"/>
        </w:rPr>
        <w:t xml:space="preserve">经济   </w:t>
      </w:r>
      <w:r>
        <w:rPr>
          <w:sz w:val="20"/>
        </w:rPr>
        <w:t>利益的流出不能确认为费用，</w:t>
      </w:r>
      <w:r>
        <w:rPr>
          <w:b/>
          <w:color w:val="00AFEF"/>
          <w:sz w:val="20"/>
          <w:u w:val="single" w:color="00AFEF"/>
        </w:rPr>
        <w:t>而应当计入损失</w:t>
      </w:r>
      <w:r>
        <w:rPr>
          <w:sz w:val="20"/>
        </w:rPr>
        <w:t>。</w:t>
      </w:r>
    </w:p>
    <w:p>
      <w:pPr>
        <w:pStyle w:val="13"/>
        <w:numPr>
          <w:ilvl w:val="0"/>
          <w:numId w:val="14"/>
        </w:numPr>
        <w:tabs>
          <w:tab w:val="left" w:pos="925"/>
        </w:tabs>
        <w:spacing w:before="2" w:after="0" w:line="302" w:lineRule="auto"/>
        <w:ind w:left="322" w:right="621" w:firstLine="400"/>
        <w:jc w:val="left"/>
        <w:rPr>
          <w:sz w:val="20"/>
        </w:rPr>
      </w:pPr>
      <w:r>
        <w:rPr>
          <w:spacing w:val="-6"/>
          <w:w w:val="95"/>
          <w:sz w:val="20"/>
        </w:rPr>
        <w:t xml:space="preserve">生产费用应按实际发生情况计入产品的生产成本，对于集中产品共同发生的生产费用，应当按照收益原则，   </w:t>
      </w:r>
      <w:r>
        <w:rPr>
          <w:spacing w:val="-6"/>
          <w:sz w:val="20"/>
        </w:rPr>
        <w:t>采用适当的方法和程序分配计入相关产品的生产成本。</w:t>
      </w:r>
    </w:p>
    <w:p>
      <w:pPr>
        <w:pStyle w:val="13"/>
        <w:numPr>
          <w:ilvl w:val="0"/>
          <w:numId w:val="14"/>
        </w:numPr>
        <w:tabs>
          <w:tab w:val="left" w:pos="925"/>
        </w:tabs>
        <w:spacing w:before="5" w:after="0" w:line="240" w:lineRule="auto"/>
        <w:ind w:left="924" w:right="0" w:hanging="202"/>
        <w:jc w:val="left"/>
        <w:rPr>
          <w:sz w:val="20"/>
        </w:rPr>
      </w:pPr>
      <w:r>
        <w:rPr>
          <w:sz w:val="20"/>
        </w:rPr>
        <w:t>利得和损失：</w:t>
      </w:r>
    </w:p>
    <w:p>
      <w:pPr>
        <w:pStyle w:val="6"/>
        <w:spacing w:line="304" w:lineRule="auto"/>
        <w:ind w:left="322" w:right="651" w:firstLine="400"/>
      </w:pPr>
      <w:r>
        <w:rPr>
          <w:w w:val="95"/>
        </w:rPr>
        <w:t xml:space="preserve">①直接计入当期损益（利润）的利得和损失：是指应当计入当期损益、会导致所有者权益变动的的、与所有   </w:t>
      </w:r>
      <w:r>
        <w:t>者投入资本或向所有者分配利润无关的利得或损失。（营业外收入和营业外支出）</w:t>
      </w:r>
    </w:p>
    <w:p>
      <w:pPr>
        <w:pStyle w:val="6"/>
        <w:spacing w:before="2" w:line="304" w:lineRule="auto"/>
        <w:ind w:left="322" w:right="720" w:firstLine="400"/>
      </w:pPr>
      <w:r>
        <w:rPr>
          <w:spacing w:val="-4"/>
          <w:w w:val="95"/>
        </w:rPr>
        <w:t>包括：</w:t>
      </w:r>
      <w:r>
        <w:rPr>
          <w:color w:val="FF0000"/>
          <w:w w:val="95"/>
          <w:u w:val="double" w:color="FF0000"/>
        </w:rPr>
        <w:t>非流动资产报废毁损利得/</w:t>
      </w:r>
      <w:r>
        <w:rPr>
          <w:color w:val="FF0000"/>
          <w:spacing w:val="-3"/>
          <w:w w:val="95"/>
          <w:u w:val="double" w:color="FF0000"/>
        </w:rPr>
        <w:t>损失、债务重组利得</w:t>
      </w:r>
      <w:r>
        <w:rPr>
          <w:color w:val="FF0000"/>
          <w:w w:val="95"/>
          <w:u w:val="double" w:color="FF0000"/>
        </w:rPr>
        <w:t>/</w:t>
      </w:r>
      <w:r>
        <w:rPr>
          <w:color w:val="FF0000"/>
          <w:spacing w:val="-6"/>
          <w:w w:val="95"/>
          <w:u w:val="double" w:color="FF0000"/>
        </w:rPr>
        <w:t xml:space="preserve">损失、政府补助利得、盘盈利得、盘亏损失、捐赠利   </w:t>
      </w:r>
      <w:r>
        <w:rPr>
          <w:color w:val="FF0000"/>
          <w:spacing w:val="-6"/>
          <w:u w:val="double" w:color="FF0000"/>
        </w:rPr>
        <w:t>得/损失等</w:t>
      </w:r>
      <w:r>
        <w:rPr>
          <w:spacing w:val="-6"/>
        </w:rPr>
        <w:t>。</w:t>
      </w:r>
    </w:p>
    <w:p>
      <w:pPr>
        <w:pStyle w:val="6"/>
        <w:spacing w:before="0" w:line="304" w:lineRule="auto"/>
        <w:ind w:left="322" w:right="722" w:firstLine="400"/>
      </w:pPr>
      <w:r>
        <w:rPr>
          <w:spacing w:val="-4"/>
          <w:w w:val="95"/>
        </w:rPr>
        <w:t xml:space="preserve">②直接计入所有者权益的利得和损失：是指不应计入当期损益、会导致所有者权益变动的、与所有者投入资   </w:t>
      </w:r>
      <w:r>
        <w:rPr>
          <w:spacing w:val="-9"/>
        </w:rPr>
        <w:t>本或向所有者分配利润无关的利得或损失。</w:t>
      </w:r>
      <w:r>
        <w:t>（其他综合收益）</w:t>
      </w:r>
    </w:p>
    <w:p>
      <w:pPr>
        <w:pStyle w:val="5"/>
        <w:spacing w:before="1" w:line="304" w:lineRule="auto"/>
        <w:ind w:right="7250"/>
      </w:pPr>
      <w:r>
        <w:t>（六）利润的定义及其确认条件1.利润的定义与特征</w:t>
      </w:r>
    </w:p>
    <w:p>
      <w:pPr>
        <w:pStyle w:val="6"/>
        <w:spacing w:before="2" w:line="304" w:lineRule="auto"/>
        <w:ind w:left="322" w:right="722" w:firstLine="400"/>
      </w:pPr>
      <w:r>
        <w:rPr>
          <w:w w:val="95"/>
        </w:rPr>
        <w:t>利润是指</w:t>
      </w:r>
      <w:r>
        <w:rPr>
          <w:color w:val="FF0000"/>
          <w:w w:val="95"/>
          <w:u w:val="double" w:color="FF0000"/>
        </w:rPr>
        <w:t>企业在一定会计期间的经营成果</w:t>
      </w:r>
      <w:r>
        <w:rPr>
          <w:spacing w:val="-7"/>
          <w:w w:val="95"/>
        </w:rPr>
        <w:t>。利润反映</w:t>
      </w:r>
      <w:r>
        <w:rPr>
          <w:color w:val="FF0000"/>
          <w:spacing w:val="-5"/>
          <w:w w:val="95"/>
          <w:u w:val="double" w:color="FF0000"/>
        </w:rPr>
        <w:t>收入减去费用、直接计入当期利润的利得减去损失后的</w:t>
      </w:r>
      <w:r>
        <w:rPr>
          <w:color w:val="FF0000"/>
          <w:spacing w:val="-199"/>
          <w:w w:val="95"/>
          <w:u w:val="double" w:color="FF0000"/>
        </w:rPr>
        <w:t>净</w:t>
      </w:r>
      <w:r>
        <w:rPr>
          <w:color w:val="FF0000"/>
          <w:spacing w:val="189"/>
          <w:w w:val="95"/>
          <w:u w:val="double" w:color="FF0000"/>
        </w:rPr>
        <w:t xml:space="preserve"> </w:t>
      </w:r>
      <w:r>
        <w:rPr>
          <w:color w:val="FF0000"/>
          <w:u w:val="double" w:color="FF0000"/>
        </w:rPr>
        <w:t>额。</w:t>
      </w:r>
    </w:p>
    <w:p>
      <w:pPr>
        <w:pStyle w:val="5"/>
        <w:numPr>
          <w:ilvl w:val="0"/>
          <w:numId w:val="15"/>
        </w:numPr>
        <w:tabs>
          <w:tab w:val="left" w:pos="925"/>
        </w:tabs>
        <w:spacing w:before="0" w:after="0" w:line="256" w:lineRule="exact"/>
        <w:ind w:left="924" w:right="0" w:hanging="202"/>
        <w:jc w:val="left"/>
      </w:pPr>
      <w:r>
        <w:t>利润的确认条件</w:t>
      </w:r>
    </w:p>
    <w:p>
      <w:pPr>
        <w:pStyle w:val="6"/>
        <w:spacing w:line="304" w:lineRule="auto"/>
        <w:ind w:left="322" w:right="642" w:firstLine="400"/>
      </w:pPr>
      <w:r>
        <w:rPr>
          <w:w w:val="95"/>
        </w:rPr>
        <w:t>利润的确认主要依赖于</w:t>
      </w:r>
      <w:r>
        <w:rPr>
          <w:b/>
          <w:color w:val="00AFEF"/>
          <w:w w:val="95"/>
          <w:u w:val="single" w:color="00AFEF"/>
        </w:rPr>
        <w:t>收入和费用</w:t>
      </w:r>
      <w:r>
        <w:rPr>
          <w:w w:val="95"/>
        </w:rPr>
        <w:t>，以及直接计入当期利润的</w:t>
      </w:r>
      <w:r>
        <w:rPr>
          <w:b/>
          <w:color w:val="00AFEF"/>
          <w:w w:val="95"/>
          <w:u w:val="single" w:color="00AFEF"/>
        </w:rPr>
        <w:t>利得和损失的确认</w:t>
      </w:r>
      <w:r>
        <w:rPr>
          <w:w w:val="95"/>
        </w:rPr>
        <w:t xml:space="preserve">，其金额的确定也主要取决   </w:t>
      </w:r>
      <w:r>
        <w:t>于收入、费用、利得、损失金额的计量。</w:t>
      </w:r>
    </w:p>
    <w:p>
      <w:pPr>
        <w:pStyle w:val="5"/>
        <w:numPr>
          <w:ilvl w:val="0"/>
          <w:numId w:val="15"/>
        </w:numPr>
        <w:tabs>
          <w:tab w:val="left" w:pos="925"/>
        </w:tabs>
        <w:spacing w:before="2" w:after="0" w:line="240" w:lineRule="auto"/>
        <w:ind w:left="924" w:right="0" w:hanging="202"/>
        <w:jc w:val="left"/>
      </w:pPr>
      <w:r>
        <w:t>利润的分类</w:t>
      </w:r>
    </w:p>
    <w:p>
      <w:pPr>
        <w:pStyle w:val="6"/>
        <w:spacing w:before="71" w:line="304" w:lineRule="auto"/>
        <w:ind w:left="322" w:right="765" w:firstLine="400"/>
      </w:pPr>
      <w:r>
        <mc:AlternateContent>
          <mc:Choice Requires="wps">
            <w:drawing>
              <wp:anchor distT="0" distB="0" distL="114300" distR="114300" simplePos="0" relativeHeight="15742976" behindDoc="0" locked="0" layoutInCell="1" allowOverlap="1">
                <wp:simplePos x="0" y="0"/>
                <wp:positionH relativeFrom="page">
                  <wp:posOffset>615950</wp:posOffset>
                </wp:positionH>
                <wp:positionV relativeFrom="paragraph">
                  <wp:posOffset>414655</wp:posOffset>
                </wp:positionV>
                <wp:extent cx="6418580" cy="1273810"/>
                <wp:effectExtent l="0" t="0" r="0" b="0"/>
                <wp:wrapNone/>
                <wp:docPr id="22" name="文本框 29"/>
                <wp:cNvGraphicFramePr/>
                <a:graphic xmlns:a="http://schemas.openxmlformats.org/drawingml/2006/main">
                  <a:graphicData uri="http://schemas.microsoft.com/office/word/2010/wordprocessingShape">
                    <wps:wsp>
                      <wps:cNvSpPr txBox="1"/>
                      <wps:spPr>
                        <a:xfrm>
                          <a:off x="0" y="0"/>
                          <a:ext cx="6418580" cy="127381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28"/>
                              <w:gridCol w:w="8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28" w:type="dxa"/>
                                </w:tcPr>
                                <w:p>
                                  <w:pPr>
                                    <w:pStyle w:val="14"/>
                                    <w:spacing w:before="70" w:line="236" w:lineRule="exact"/>
                                    <w:ind w:left="492" w:right="484"/>
                                    <w:jc w:val="center"/>
                                    <w:rPr>
                                      <w:sz w:val="20"/>
                                    </w:rPr>
                                  </w:pPr>
                                  <w:r>
                                    <w:rPr>
                                      <w:sz w:val="20"/>
                                    </w:rPr>
                                    <w:t>分类</w:t>
                                  </w:r>
                                </w:p>
                              </w:tc>
                              <w:tc>
                                <w:tcPr>
                                  <w:tcW w:w="8265" w:type="dxa"/>
                                </w:tcPr>
                                <w:p>
                                  <w:pPr>
                                    <w:pStyle w:val="14"/>
                                    <w:spacing w:before="70" w:line="236" w:lineRule="exact"/>
                                    <w:ind w:left="4111" w:right="3703"/>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828" w:type="dxa"/>
                                </w:tcPr>
                                <w:p>
                                  <w:pPr>
                                    <w:pStyle w:val="14"/>
                                    <w:rPr>
                                      <w:sz w:val="20"/>
                                    </w:rPr>
                                  </w:pPr>
                                </w:p>
                                <w:p>
                                  <w:pPr>
                                    <w:pStyle w:val="14"/>
                                    <w:spacing w:before="138"/>
                                    <w:ind w:left="492" w:right="486"/>
                                    <w:jc w:val="center"/>
                                    <w:rPr>
                                      <w:sz w:val="20"/>
                                    </w:rPr>
                                  </w:pPr>
                                  <w:r>
                                    <w:rPr>
                                      <w:sz w:val="20"/>
                                    </w:rPr>
                                    <w:t>营业利润</w:t>
                                  </w:r>
                                </w:p>
                              </w:tc>
                              <w:tc>
                                <w:tcPr>
                                  <w:tcW w:w="8265" w:type="dxa"/>
                                </w:tcPr>
                                <w:p>
                                  <w:pPr>
                                    <w:pStyle w:val="14"/>
                                    <w:spacing w:before="70" w:line="302" w:lineRule="auto"/>
                                    <w:ind w:left="107" w:right="94" w:firstLine="391"/>
                                    <w:rPr>
                                      <w:sz w:val="20"/>
                                    </w:rPr>
                                  </w:pPr>
                                  <w:r>
                                    <w:rPr>
                                      <w:color w:val="FF0000"/>
                                      <w:w w:val="95"/>
                                      <w:sz w:val="20"/>
                                      <w:u w:val="double" w:color="FF0000"/>
                                    </w:rPr>
                                    <w:t xml:space="preserve">营业收入-营业成本-税金及附加-销售费用-管理费用-研发费用-财务费用+其他收益+投资 </w:t>
                                  </w:r>
                                  <w:r>
                                    <w:rPr>
                                      <w:color w:val="FF0000"/>
                                      <w:spacing w:val="-7"/>
                                      <w:w w:val="95"/>
                                      <w:sz w:val="20"/>
                                      <w:u w:val="double" w:color="FF0000"/>
                                    </w:rPr>
                                    <w:t>收益</w:t>
                                  </w:r>
                                  <w:r>
                                    <w:rPr>
                                      <w:color w:val="FF0000"/>
                                      <w:w w:val="95"/>
                                      <w:sz w:val="20"/>
                                      <w:u w:val="double" w:color="FF0000"/>
                                    </w:rPr>
                                    <w:t>（-投资损失</w:t>
                                  </w:r>
                                  <w:r>
                                    <w:rPr>
                                      <w:color w:val="FF0000"/>
                                      <w:spacing w:val="-6"/>
                                      <w:w w:val="95"/>
                                      <w:sz w:val="20"/>
                                      <w:u w:val="double" w:color="FF0000"/>
                                    </w:rPr>
                                    <w:t>）</w:t>
                                  </w:r>
                                  <w:r>
                                    <w:rPr>
                                      <w:color w:val="FF0000"/>
                                      <w:spacing w:val="-4"/>
                                      <w:w w:val="95"/>
                                      <w:sz w:val="20"/>
                                      <w:u w:val="double" w:color="FF0000"/>
                                    </w:rPr>
                                    <w:t>+公允价值变动收益</w:t>
                                  </w:r>
                                  <w:r>
                                    <w:rPr>
                                      <w:color w:val="FF0000"/>
                                      <w:w w:val="95"/>
                                      <w:sz w:val="20"/>
                                      <w:u w:val="double" w:color="FF0000"/>
                                    </w:rPr>
                                    <w:t>（-公允价值变动损失</w:t>
                                  </w:r>
                                  <w:r>
                                    <w:rPr>
                                      <w:color w:val="FF0000"/>
                                      <w:spacing w:val="-7"/>
                                      <w:w w:val="95"/>
                                      <w:sz w:val="20"/>
                                      <w:u w:val="double" w:color="FF0000"/>
                                    </w:rPr>
                                    <w:t>）</w:t>
                                  </w:r>
                                  <w:r>
                                    <w:rPr>
                                      <w:color w:val="FF0000"/>
                                      <w:spacing w:val="-4"/>
                                      <w:w w:val="95"/>
                                      <w:sz w:val="20"/>
                                      <w:u w:val="double" w:color="FF0000"/>
                                    </w:rPr>
                                    <w:t>+净敞口套期收益</w:t>
                                  </w:r>
                                  <w:r>
                                    <w:rPr>
                                      <w:color w:val="FF0000"/>
                                      <w:w w:val="95"/>
                                      <w:sz w:val="20"/>
                                      <w:u w:val="double" w:color="FF0000"/>
                                    </w:rPr>
                                    <w:t>（-净敞口套期</w:t>
                                  </w:r>
                                </w:p>
                                <w:p>
                                  <w:pPr>
                                    <w:pStyle w:val="14"/>
                                    <w:spacing w:before="5" w:line="237" w:lineRule="exact"/>
                                    <w:ind w:left="107"/>
                                    <w:rPr>
                                      <w:sz w:val="20"/>
                                    </w:rPr>
                                  </w:pPr>
                                  <w:r>
                                    <w:rPr>
                                      <w:color w:val="FF0000"/>
                                      <w:sz w:val="20"/>
                                      <w:u w:val="double" w:color="FF0000"/>
                                    </w:rPr>
                                    <w:t>损失）-信用减值损失-资产减值损失+资产处置收益（-资产处置损失）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28" w:type="dxa"/>
                                </w:tcPr>
                                <w:p>
                                  <w:pPr>
                                    <w:pStyle w:val="14"/>
                                    <w:spacing w:before="68" w:line="237" w:lineRule="exact"/>
                                    <w:ind w:left="492" w:right="486"/>
                                    <w:jc w:val="center"/>
                                    <w:rPr>
                                      <w:sz w:val="20"/>
                                    </w:rPr>
                                  </w:pPr>
                                  <w:r>
                                    <w:rPr>
                                      <w:sz w:val="20"/>
                                    </w:rPr>
                                    <w:t>利润总额</w:t>
                                  </w:r>
                                </w:p>
                              </w:tc>
                              <w:tc>
                                <w:tcPr>
                                  <w:tcW w:w="8265" w:type="dxa"/>
                                </w:tcPr>
                                <w:p>
                                  <w:pPr>
                                    <w:pStyle w:val="14"/>
                                    <w:spacing w:before="68" w:line="237" w:lineRule="exact"/>
                                    <w:ind w:left="499"/>
                                    <w:rPr>
                                      <w:sz w:val="20"/>
                                    </w:rPr>
                                  </w:pPr>
                                  <w:r>
                                    <w:rPr>
                                      <w:color w:val="FF0000"/>
                                      <w:sz w:val="20"/>
                                      <w:u w:val="double" w:color="FF0000"/>
                                    </w:rPr>
                                    <w:t>营业利润+营业外收入-营业外支出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28" w:type="dxa"/>
                                </w:tcPr>
                                <w:p>
                                  <w:pPr>
                                    <w:pStyle w:val="14"/>
                                    <w:spacing w:before="68" w:line="237" w:lineRule="exact"/>
                                    <w:ind w:left="492" w:right="484"/>
                                    <w:jc w:val="center"/>
                                    <w:rPr>
                                      <w:sz w:val="20"/>
                                    </w:rPr>
                                  </w:pPr>
                                  <w:r>
                                    <w:rPr>
                                      <w:sz w:val="20"/>
                                    </w:rPr>
                                    <w:t>净利润</w:t>
                                  </w:r>
                                </w:p>
                              </w:tc>
                              <w:tc>
                                <w:tcPr>
                                  <w:tcW w:w="8265" w:type="dxa"/>
                                </w:tcPr>
                                <w:p>
                                  <w:pPr>
                                    <w:pStyle w:val="14"/>
                                    <w:spacing w:before="68" w:line="237" w:lineRule="exact"/>
                                    <w:ind w:left="499"/>
                                    <w:rPr>
                                      <w:sz w:val="20"/>
                                    </w:rPr>
                                  </w:pPr>
                                  <w:r>
                                    <w:rPr>
                                      <w:color w:val="FF0000"/>
                                      <w:sz w:val="20"/>
                                      <w:u w:val="double" w:color="FF0000"/>
                                    </w:rPr>
                                    <w:t>利润总额-所得税费用</w:t>
                                  </w:r>
                                </w:p>
                              </w:tc>
                            </w:tr>
                          </w:tbl>
                          <w:p>
                            <w:pPr>
                              <w:pStyle w:val="6"/>
                              <w:spacing w:before="0"/>
                              <w:ind w:left="0"/>
                            </w:pPr>
                          </w:p>
                        </w:txbxContent>
                      </wps:txbx>
                      <wps:bodyPr lIns="0" tIns="0" rIns="0" bIns="0" upright="1"/>
                    </wps:wsp>
                  </a:graphicData>
                </a:graphic>
              </wp:anchor>
            </w:drawing>
          </mc:Choice>
          <mc:Fallback>
            <w:pict>
              <v:shape id="文本框 29" o:spid="_x0000_s1026" o:spt="202" type="#_x0000_t202" style="position:absolute;left:0pt;margin-left:48.5pt;margin-top:32.65pt;height:100.3pt;width:505.4pt;mso-position-horizontal-relative:page;z-index:15742976;mso-width-relative:page;mso-height-relative:page;" filled="f" stroked="f" coordsize="21600,21600" o:gfxdata="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bbPV79kAAAAKAQAADwAA&#10;AAAAAAABACAAAAAiAAAAZHJzL2Rvd25yZXYueG1sUEsBAhQAFAAAAAgAh07iQKF/s7ejAQAAJwMA&#10;AA4AAAAAAAAAAQAgAAAAKAEAAGRycy9lMm9Eb2MueG1sUEsFBgAAAAAGAAYAWQEAAD0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28"/>
                        <w:gridCol w:w="8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28" w:type="dxa"/>
                          </w:tcPr>
                          <w:p>
                            <w:pPr>
                              <w:pStyle w:val="14"/>
                              <w:spacing w:before="70" w:line="236" w:lineRule="exact"/>
                              <w:ind w:left="492" w:right="484"/>
                              <w:jc w:val="center"/>
                              <w:rPr>
                                <w:sz w:val="20"/>
                              </w:rPr>
                            </w:pPr>
                            <w:r>
                              <w:rPr>
                                <w:sz w:val="20"/>
                              </w:rPr>
                              <w:t>分类</w:t>
                            </w:r>
                          </w:p>
                        </w:tc>
                        <w:tc>
                          <w:tcPr>
                            <w:tcW w:w="8265" w:type="dxa"/>
                          </w:tcPr>
                          <w:p>
                            <w:pPr>
                              <w:pStyle w:val="14"/>
                              <w:spacing w:before="70" w:line="236" w:lineRule="exact"/>
                              <w:ind w:left="4111" w:right="3703"/>
                              <w:jc w:val="center"/>
                              <w:rPr>
                                <w:sz w:val="20"/>
                              </w:rPr>
                            </w:pPr>
                            <w:r>
                              <w:rPr>
                                <w:sz w:val="20"/>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828" w:type="dxa"/>
                          </w:tcPr>
                          <w:p>
                            <w:pPr>
                              <w:pStyle w:val="14"/>
                              <w:rPr>
                                <w:sz w:val="20"/>
                              </w:rPr>
                            </w:pPr>
                          </w:p>
                          <w:p>
                            <w:pPr>
                              <w:pStyle w:val="14"/>
                              <w:spacing w:before="138"/>
                              <w:ind w:left="492" w:right="486"/>
                              <w:jc w:val="center"/>
                              <w:rPr>
                                <w:sz w:val="20"/>
                              </w:rPr>
                            </w:pPr>
                            <w:r>
                              <w:rPr>
                                <w:sz w:val="20"/>
                              </w:rPr>
                              <w:t>营业利润</w:t>
                            </w:r>
                          </w:p>
                        </w:tc>
                        <w:tc>
                          <w:tcPr>
                            <w:tcW w:w="8265" w:type="dxa"/>
                          </w:tcPr>
                          <w:p>
                            <w:pPr>
                              <w:pStyle w:val="14"/>
                              <w:spacing w:before="70" w:line="302" w:lineRule="auto"/>
                              <w:ind w:left="107" w:right="94" w:firstLine="391"/>
                              <w:rPr>
                                <w:sz w:val="20"/>
                              </w:rPr>
                            </w:pPr>
                            <w:r>
                              <w:rPr>
                                <w:color w:val="FF0000"/>
                                <w:w w:val="95"/>
                                <w:sz w:val="20"/>
                                <w:u w:val="double" w:color="FF0000"/>
                              </w:rPr>
                              <w:t xml:space="preserve">营业收入-营业成本-税金及附加-销售费用-管理费用-研发费用-财务费用+其他收益+投资 </w:t>
                            </w:r>
                            <w:r>
                              <w:rPr>
                                <w:color w:val="FF0000"/>
                                <w:spacing w:val="-7"/>
                                <w:w w:val="95"/>
                                <w:sz w:val="20"/>
                                <w:u w:val="double" w:color="FF0000"/>
                              </w:rPr>
                              <w:t>收益</w:t>
                            </w:r>
                            <w:r>
                              <w:rPr>
                                <w:color w:val="FF0000"/>
                                <w:w w:val="95"/>
                                <w:sz w:val="20"/>
                                <w:u w:val="double" w:color="FF0000"/>
                              </w:rPr>
                              <w:t>（-投资损失</w:t>
                            </w:r>
                            <w:r>
                              <w:rPr>
                                <w:color w:val="FF0000"/>
                                <w:spacing w:val="-6"/>
                                <w:w w:val="95"/>
                                <w:sz w:val="20"/>
                                <w:u w:val="double" w:color="FF0000"/>
                              </w:rPr>
                              <w:t>）</w:t>
                            </w:r>
                            <w:r>
                              <w:rPr>
                                <w:color w:val="FF0000"/>
                                <w:spacing w:val="-4"/>
                                <w:w w:val="95"/>
                                <w:sz w:val="20"/>
                                <w:u w:val="double" w:color="FF0000"/>
                              </w:rPr>
                              <w:t>+公允价值变动收益</w:t>
                            </w:r>
                            <w:r>
                              <w:rPr>
                                <w:color w:val="FF0000"/>
                                <w:w w:val="95"/>
                                <w:sz w:val="20"/>
                                <w:u w:val="double" w:color="FF0000"/>
                              </w:rPr>
                              <w:t>（-公允价值变动损失</w:t>
                            </w:r>
                            <w:r>
                              <w:rPr>
                                <w:color w:val="FF0000"/>
                                <w:spacing w:val="-7"/>
                                <w:w w:val="95"/>
                                <w:sz w:val="20"/>
                                <w:u w:val="double" w:color="FF0000"/>
                              </w:rPr>
                              <w:t>）</w:t>
                            </w:r>
                            <w:r>
                              <w:rPr>
                                <w:color w:val="FF0000"/>
                                <w:spacing w:val="-4"/>
                                <w:w w:val="95"/>
                                <w:sz w:val="20"/>
                                <w:u w:val="double" w:color="FF0000"/>
                              </w:rPr>
                              <w:t>+净敞口套期收益</w:t>
                            </w:r>
                            <w:r>
                              <w:rPr>
                                <w:color w:val="FF0000"/>
                                <w:w w:val="95"/>
                                <w:sz w:val="20"/>
                                <w:u w:val="double" w:color="FF0000"/>
                              </w:rPr>
                              <w:t>（-净敞口套期</w:t>
                            </w:r>
                          </w:p>
                          <w:p>
                            <w:pPr>
                              <w:pStyle w:val="14"/>
                              <w:spacing w:before="5" w:line="237" w:lineRule="exact"/>
                              <w:ind w:left="107"/>
                              <w:rPr>
                                <w:sz w:val="20"/>
                              </w:rPr>
                            </w:pPr>
                            <w:r>
                              <w:rPr>
                                <w:color w:val="FF0000"/>
                                <w:sz w:val="20"/>
                                <w:u w:val="double" w:color="FF0000"/>
                              </w:rPr>
                              <w:t>损失）-信用减值损失-资产减值损失+资产处置收益（-资产处置损失）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28" w:type="dxa"/>
                          </w:tcPr>
                          <w:p>
                            <w:pPr>
                              <w:pStyle w:val="14"/>
                              <w:spacing w:before="68" w:line="237" w:lineRule="exact"/>
                              <w:ind w:left="492" w:right="486"/>
                              <w:jc w:val="center"/>
                              <w:rPr>
                                <w:sz w:val="20"/>
                              </w:rPr>
                            </w:pPr>
                            <w:r>
                              <w:rPr>
                                <w:sz w:val="20"/>
                              </w:rPr>
                              <w:t>利润总额</w:t>
                            </w:r>
                          </w:p>
                        </w:tc>
                        <w:tc>
                          <w:tcPr>
                            <w:tcW w:w="8265" w:type="dxa"/>
                          </w:tcPr>
                          <w:p>
                            <w:pPr>
                              <w:pStyle w:val="14"/>
                              <w:spacing w:before="68" w:line="237" w:lineRule="exact"/>
                              <w:ind w:left="499"/>
                              <w:rPr>
                                <w:sz w:val="20"/>
                              </w:rPr>
                            </w:pPr>
                            <w:r>
                              <w:rPr>
                                <w:color w:val="FF0000"/>
                                <w:sz w:val="20"/>
                                <w:u w:val="double" w:color="FF0000"/>
                              </w:rPr>
                              <w:t>营业利润+营业外收入-营业外支出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28" w:type="dxa"/>
                          </w:tcPr>
                          <w:p>
                            <w:pPr>
                              <w:pStyle w:val="14"/>
                              <w:spacing w:before="68" w:line="237" w:lineRule="exact"/>
                              <w:ind w:left="492" w:right="484"/>
                              <w:jc w:val="center"/>
                              <w:rPr>
                                <w:sz w:val="20"/>
                              </w:rPr>
                            </w:pPr>
                            <w:r>
                              <w:rPr>
                                <w:sz w:val="20"/>
                              </w:rPr>
                              <w:t>净利润</w:t>
                            </w:r>
                          </w:p>
                        </w:tc>
                        <w:tc>
                          <w:tcPr>
                            <w:tcW w:w="8265" w:type="dxa"/>
                          </w:tcPr>
                          <w:p>
                            <w:pPr>
                              <w:pStyle w:val="14"/>
                              <w:spacing w:before="68" w:line="237" w:lineRule="exact"/>
                              <w:ind w:left="499"/>
                              <w:rPr>
                                <w:sz w:val="20"/>
                              </w:rPr>
                            </w:pPr>
                            <w:r>
                              <w:rPr>
                                <w:color w:val="FF0000"/>
                                <w:sz w:val="20"/>
                                <w:u w:val="double" w:color="FF0000"/>
                              </w:rPr>
                              <w:t>利润总额-所得税费用</w:t>
                            </w:r>
                          </w:p>
                        </w:tc>
                      </w:tr>
                    </w:tbl>
                    <w:p>
                      <w:pPr>
                        <w:pStyle w:val="6"/>
                        <w:spacing w:before="0"/>
                        <w:ind w:left="0"/>
                      </w:pPr>
                    </w:p>
                  </w:txbxContent>
                </v:textbox>
              </v:shape>
            </w:pict>
          </mc:Fallback>
        </mc:AlternateContent>
      </w:r>
      <w:r>
        <w:rPr>
          <w:w w:val="95"/>
        </w:rPr>
        <w:t>利润包括</w:t>
      </w:r>
      <w:r>
        <w:rPr>
          <w:color w:val="FF0000"/>
          <w:w w:val="95"/>
          <w:u w:val="double" w:color="FF0000"/>
        </w:rPr>
        <w:t>收入减去费用后的净额（反映日常活动的经营业绩</w:t>
      </w:r>
      <w:r>
        <w:rPr>
          <w:color w:val="FF0000"/>
          <w:spacing w:val="-100"/>
          <w:w w:val="95"/>
          <w:u w:val="double" w:color="FF0000"/>
        </w:rPr>
        <w:t>）</w:t>
      </w:r>
      <w:r>
        <w:rPr>
          <w:color w:val="FF0000"/>
          <w:w w:val="95"/>
          <w:u w:val="double" w:color="FF0000"/>
        </w:rPr>
        <w:t xml:space="preserve">、直接计入当期利润的利得和损失（反映非日常 </w:t>
      </w:r>
      <w:r>
        <w:rPr>
          <w:color w:val="FF0000"/>
          <w:u w:val="double" w:color="FF0000"/>
        </w:rPr>
        <w:t>活动的经营业绩</w:t>
      </w:r>
      <w:r>
        <w:rPr>
          <w:color w:val="FF0000"/>
          <w:spacing w:val="-97"/>
          <w:u w:val="double" w:color="FF0000"/>
        </w:rPr>
        <w:t>）</w:t>
      </w:r>
      <w: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7"/>
        <w:ind w:left="0"/>
        <w:rPr>
          <w:sz w:val="16"/>
        </w:rPr>
      </w:pPr>
    </w:p>
    <w:p>
      <w:pPr>
        <w:pStyle w:val="6"/>
        <w:spacing w:before="0"/>
      </w:pPr>
      <w:r>
        <mc:AlternateContent>
          <mc:Choice Requires="wps">
            <w:drawing>
              <wp:anchor distT="0" distB="0" distL="114300" distR="114300" simplePos="0" relativeHeight="15741952" behindDoc="0" locked="0" layoutInCell="1" allowOverlap="1">
                <wp:simplePos x="0" y="0"/>
                <wp:positionH relativeFrom="page">
                  <wp:posOffset>1068705</wp:posOffset>
                </wp:positionH>
                <wp:positionV relativeFrom="paragraph">
                  <wp:posOffset>138430</wp:posOffset>
                </wp:positionV>
                <wp:extent cx="251460" cy="5715"/>
                <wp:effectExtent l="0" t="0" r="0" b="0"/>
                <wp:wrapNone/>
                <wp:docPr id="20" name="任意多边形 30"/>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 o:spid="_x0000_s1026" o:spt="100" style="position:absolute;left:0pt;margin-left:84.15pt;margin-top:10.9pt;height:0.45pt;width:19.8pt;mso-position-horizontal-relative:page;z-index:15741952;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mhhCd&#10;2QAAAAkBAAAPAAAAAAAAAAEAIAAAACIAAABkcnMvZG93bnJldi54bWxQSwECFAAUAAAACACHTuJA&#10;p1ECupICAABVBwAADgAAAAAAAAABACAAAAAo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】①营业收入是指企业经营业务所确认的收入总额， 包括主营业务收入和其他业务收入。</w:t>
      </w:r>
    </w:p>
    <w:p>
      <w:pPr>
        <w:spacing w:after="0"/>
        <w:sectPr>
          <w:pgSz w:w="11910" w:h="16160"/>
          <w:pgMar w:top="1680" w:right="360" w:bottom="860" w:left="760" w:header="0" w:footer="584" w:gutter="0"/>
        </w:sectPr>
      </w:pPr>
    </w:p>
    <w:p>
      <w:pPr>
        <w:pStyle w:val="6"/>
        <w:spacing w:before="11"/>
        <w:ind w:left="0"/>
        <w:rPr>
          <w:sz w:val="13"/>
        </w:rPr>
      </w:pPr>
    </w:p>
    <w:p>
      <w:pPr>
        <w:pStyle w:val="6"/>
        <w:spacing w:before="71"/>
      </w:pPr>
      <w:r>
        <w:t>②营业成本是指企业经营业务所发生的实际成本总额， 包括主营业务成本和其他业 务成本。</w:t>
      </w:r>
    </w:p>
    <w:p>
      <w:pPr>
        <w:pStyle w:val="6"/>
      </w:pPr>
      <w:r>
        <w:t>③研发费用是指企业进行研究与开发过程中发生的费用化支出以及计入管理费用自行开发无形资产的摊销。</w:t>
      </w:r>
    </w:p>
    <w:p>
      <w:pPr>
        <w:pStyle w:val="6"/>
      </w:pPr>
      <w:r>
        <w:t>④其他收益主要是指与企业日常活动相关， 除冲减相关成本费用以外的政府补助。</w:t>
      </w:r>
    </w:p>
    <w:p>
      <w:pPr>
        <w:pStyle w:val="6"/>
      </w:pPr>
      <w:r>
        <w:t>⑤投资收益 （ 或损失） 是指企业以各种方式对外投资所取得的收益 （ 或损失） 。</w:t>
      </w:r>
    </w:p>
    <w:p>
      <w:pPr>
        <w:pStyle w:val="6"/>
        <w:spacing w:before="71" w:line="302" w:lineRule="auto"/>
        <w:ind w:left="322" w:right="808" w:firstLine="396"/>
      </w:pPr>
      <w:r>
        <w:rPr>
          <w:w w:val="95"/>
        </w:rPr>
        <w:t>⑥公允价值变动收益</w:t>
      </w:r>
      <w:r>
        <w:rPr>
          <w:spacing w:val="4"/>
          <w:w w:val="95"/>
        </w:rPr>
        <w:t>（</w:t>
      </w:r>
      <w:r>
        <w:rPr>
          <w:w w:val="95"/>
        </w:rPr>
        <w:t>或损失）是指企业交易性金融资产等公允价值变动形成的应计入当期损益的利得</w:t>
      </w:r>
      <w:r>
        <w:rPr>
          <w:spacing w:val="4"/>
          <w:w w:val="95"/>
        </w:rPr>
        <w:t>（</w:t>
      </w:r>
      <w:r>
        <w:rPr>
          <w:w w:val="95"/>
        </w:rPr>
        <w:t xml:space="preserve">或  </w:t>
      </w:r>
      <w:r>
        <w:t>损失）</w:t>
      </w:r>
    </w:p>
    <w:p>
      <w:pPr>
        <w:pStyle w:val="6"/>
        <w:spacing w:before="4"/>
      </w:pPr>
      <w:r>
        <w:t>⑦信用减值损失是指企业计提的各项金融工具减值准备所形成的预期信用损失。</w:t>
      </w:r>
    </w:p>
    <w:p>
      <w:pPr>
        <w:pStyle w:val="6"/>
      </w:pPr>
      <w:r>
        <w:t>⑧资产减值损失是指企业计提有关资产减值准备所形成的损失。</w:t>
      </w:r>
    </w:p>
    <w:p>
      <w:pPr>
        <w:spacing w:before="56"/>
        <w:ind w:left="742" w:right="0" w:firstLine="0"/>
        <w:jc w:val="left"/>
        <w:rPr>
          <w:b/>
          <w:sz w:val="21"/>
        </w:rPr>
      </w:pPr>
      <w:r>
        <w:rPr>
          <w:b/>
          <w:sz w:val="21"/>
          <w:shd w:val="clear" w:color="auto" w:fill="C0C0C0"/>
        </w:rPr>
        <w:t>二、会计要素计量属性及其应用原则</w:t>
      </w:r>
    </w:p>
    <w:p>
      <w:pPr>
        <w:pStyle w:val="5"/>
        <w:spacing w:before="72"/>
        <w:rPr>
          <w:b w:val="0"/>
        </w:rPr>
      </w:pPr>
      <w:r>
        <w:rPr>
          <w:b w:val="0"/>
        </w:rPr>
        <w:t>会计计量是</w:t>
      </w:r>
      <w:r>
        <w:rPr>
          <w:color w:val="00AFEF"/>
          <w:u w:val="single" w:color="00AFEF"/>
        </w:rPr>
        <w:t>为了将符合确认条件的会计要素登记入账并列报与财务报表而确定其金额的过程</w:t>
      </w:r>
      <w:r>
        <w:rPr>
          <w:b w:val="0"/>
        </w:rPr>
        <w:t>。</w:t>
      </w:r>
    </w:p>
    <w:p>
      <w:pPr>
        <w:pStyle w:val="6"/>
        <w:spacing w:line="302" w:lineRule="auto"/>
        <w:ind w:left="322" w:right="753" w:firstLine="400"/>
      </w:pPr>
      <w:r>
        <w:rPr>
          <w:w w:val="95"/>
        </w:rPr>
        <w:t>会计计量属性反映的是会计要素金额的确定基础，主要包括：</w:t>
      </w:r>
      <w:r>
        <w:rPr>
          <w:color w:val="FF0000"/>
          <w:w w:val="95"/>
          <w:u w:val="double" w:color="FF0000"/>
        </w:rPr>
        <w:t xml:space="preserve">历史成本、重置成本、可变现净值、现值、公  </w:t>
      </w:r>
      <w:r>
        <w:rPr>
          <w:color w:val="FF0000"/>
          <w:u w:val="double" w:color="FF0000"/>
        </w:rPr>
        <w:t>允价值</w:t>
      </w:r>
    </w:p>
    <w:p>
      <w:pPr>
        <w:pStyle w:val="5"/>
        <w:spacing w:before="5"/>
      </w:pPr>
      <w:r>
        <w:t>（一）历史成本</w:t>
      </w:r>
    </w:p>
    <w:p>
      <w:pPr>
        <w:pStyle w:val="6"/>
        <w:spacing w:line="304" w:lineRule="auto"/>
        <w:ind w:left="322" w:right="648" w:firstLine="400"/>
      </w:pPr>
      <w:r>
        <w:rPr>
          <w:w w:val="95"/>
        </w:rPr>
        <w:t>历史成本</w:t>
      </w:r>
      <w:r>
        <w:rPr>
          <w:b/>
          <w:color w:val="00AFEF"/>
          <w:w w:val="95"/>
          <w:u w:val="single" w:color="00AFEF"/>
        </w:rPr>
        <w:t>又称实际成本</w:t>
      </w:r>
      <w:r>
        <w:rPr>
          <w:w w:val="95"/>
        </w:rPr>
        <w:t>，是取得或制造某一财产物资所</w:t>
      </w:r>
      <w:r>
        <w:rPr>
          <w:b/>
          <w:color w:val="00AFEF"/>
          <w:w w:val="95"/>
          <w:u w:val="single" w:color="00AFEF"/>
        </w:rPr>
        <w:t>实际支付的现金或现金等价物</w:t>
      </w:r>
      <w:r>
        <w:rPr>
          <w:w w:val="95"/>
        </w:rPr>
        <w:t xml:space="preserve">，在历史成本计量下，   </w:t>
      </w:r>
      <w:r>
        <w:rPr>
          <w:spacing w:val="-2"/>
        </w:rPr>
        <w:t>资产按其购置时支付的现金或现金等价物的金额或者按照购置资产时所付出的对价的公允价值计量。负债按照其</w:t>
      </w:r>
      <w:r>
        <w:rPr>
          <w:spacing w:val="-5"/>
        </w:rPr>
        <w:t>因承担现时义务而实际收到的款项或者资产的金额，或者承担现时义务的合同金额，或者按照日常活动中为偿还负债预期需要支付的现金或者现金等价物的金额计量。</w:t>
      </w:r>
    </w:p>
    <w:p>
      <w:pPr>
        <w:pStyle w:val="6"/>
        <w:spacing w:before="1"/>
      </w:pPr>
      <w:r>
        <w:t>特点：基于经济业务的实际交易成本，而</w:t>
      </w:r>
      <w:r>
        <w:rPr>
          <w:color w:val="FF0000"/>
          <w:u w:val="double" w:color="FF0000"/>
        </w:rPr>
        <w:t>不考虑以后市场价格变化的影响</w:t>
      </w:r>
      <w:r>
        <w:t>。</w:t>
      </w:r>
    </w:p>
    <w:p>
      <w:pPr>
        <w:pStyle w:val="5"/>
      </w:pPr>
      <w:r>
        <w:t>（二）重置成本</w:t>
      </w:r>
    </w:p>
    <w:p>
      <w:pPr>
        <w:spacing w:before="71" w:line="304" w:lineRule="auto"/>
        <w:ind w:left="322" w:right="621" w:firstLine="400"/>
        <w:jc w:val="left"/>
        <w:rPr>
          <w:sz w:val="20"/>
        </w:rPr>
      </w:pPr>
      <w:r>
        <w:rPr>
          <w:w w:val="95"/>
          <w:sz w:val="20"/>
        </w:rPr>
        <w:t>重置成本</w:t>
      </w:r>
      <w:r>
        <w:rPr>
          <w:b/>
          <w:color w:val="00AFEF"/>
          <w:w w:val="95"/>
          <w:sz w:val="20"/>
          <w:u w:val="single" w:color="00AFEF"/>
        </w:rPr>
        <w:t>又称现行成本</w:t>
      </w:r>
      <w:r>
        <w:rPr>
          <w:spacing w:val="-18"/>
          <w:w w:val="95"/>
          <w:sz w:val="20"/>
        </w:rPr>
        <w:t>，是指按照当前市场条件，</w:t>
      </w:r>
      <w:r>
        <w:rPr>
          <w:b/>
          <w:color w:val="00AFEF"/>
          <w:w w:val="95"/>
          <w:sz w:val="20"/>
          <w:u w:val="single" w:color="00AFEF"/>
        </w:rPr>
        <w:t>重新取得同样一项资产所需支付的现金或现金等价物金额</w:t>
      </w:r>
      <w:r>
        <w:rPr>
          <w:w w:val="95"/>
          <w:sz w:val="20"/>
        </w:rPr>
        <w:t xml:space="preserve">。    </w:t>
      </w:r>
      <w:r>
        <w:rPr>
          <w:spacing w:val="-5"/>
          <w:sz w:val="20"/>
        </w:rPr>
        <w:t>在重置成本计量下，资产按照现在购买相同或者相似资产所需支付的现金或者现金等价物的金额计量。负债按照现在偿付该项债务所需支付的现金或者现金等价物的金额计量。</w:t>
      </w:r>
    </w:p>
    <w:p>
      <w:pPr>
        <w:pStyle w:val="6"/>
        <w:spacing w:before="2"/>
      </w:pPr>
      <w:r>
        <w:t>实务中，重置成本多用于</w:t>
      </w:r>
      <w:r>
        <w:rPr>
          <w:color w:val="FF0000"/>
          <w:u w:val="double" w:color="FF0000"/>
        </w:rPr>
        <w:t>盘盈固定资产的计量</w:t>
      </w:r>
      <w:r>
        <w:t>。</w:t>
      </w:r>
    </w:p>
    <w:p>
      <w:pPr>
        <w:pStyle w:val="5"/>
        <w:spacing w:before="68"/>
      </w:pPr>
      <w:r>
        <w:t>（三）可变现净值</w:t>
      </w:r>
    </w:p>
    <w:p>
      <w:pPr>
        <w:pStyle w:val="5"/>
        <w:spacing w:line="304" w:lineRule="auto"/>
        <w:ind w:left="322" w:right="725" w:firstLine="400"/>
        <w:rPr>
          <w:b w:val="0"/>
        </w:rPr>
      </w:pPr>
      <w:r>
        <mc:AlternateContent>
          <mc:Choice Requires="wps">
            <w:drawing>
              <wp:anchor distT="0" distB="0" distL="114300" distR="114300" simplePos="0" relativeHeight="482377728" behindDoc="1" locked="0" layoutInCell="1" allowOverlap="1">
                <wp:simplePos x="0" y="0"/>
                <wp:positionH relativeFrom="page">
                  <wp:posOffset>687705</wp:posOffset>
                </wp:positionH>
                <wp:positionV relativeFrom="paragraph">
                  <wp:posOffset>389890</wp:posOffset>
                </wp:positionV>
                <wp:extent cx="377190" cy="5715"/>
                <wp:effectExtent l="0" t="0" r="0" b="0"/>
                <wp:wrapNone/>
                <wp:docPr id="221" name="任意多边形 31"/>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1" o:spid="_x0000_s1026" o:spt="100" style="position:absolute;left:0pt;margin-left:54.15pt;margin-top:30.7pt;height:0.45pt;width:29.7pt;mso-position-horizontal-relative:page;z-index:-20938752;mso-width-relative:page;mso-height-relative:page;" filled="f" stroked="t" coordsize="594,9" o:gfxdata="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lLOLwNUAAAAJAQAADwAAAAAAAAAB&#10;ACAAAAAiAAAAZHJzL2Rvd25yZXYueG1sUEsBAhQAFAAAAAgAh07iQHGmR9i+AgAA+AgAAA4AAAAA&#10;AAAAAQAgAAAAJAEAAGRycy9lMm9Eb2MueG1sUEsFBgAAAAAGAAYAWQEAAFQGA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b w:val="0"/>
          <w:spacing w:val="-7"/>
          <w:w w:val="95"/>
        </w:rPr>
        <w:t>可变现净值，是</w:t>
      </w:r>
      <w:r>
        <w:rPr>
          <w:color w:val="00AFEF"/>
          <w:spacing w:val="-2"/>
          <w:w w:val="95"/>
          <w:u w:val="single" w:color="00AFEF"/>
        </w:rPr>
        <w:t xml:space="preserve">指在正常生产经营过程中以预计售价减去进一步加工成本和销售所必须的预计税金、费用后   </w:t>
      </w:r>
      <w:r>
        <w:rPr>
          <w:color w:val="00AFEF"/>
          <w:spacing w:val="-2"/>
        </w:rPr>
        <w:t>的净值</w:t>
      </w:r>
      <w:r>
        <w:rPr>
          <w:b w:val="0"/>
          <w:spacing w:val="-2"/>
        </w:rPr>
        <w:t>。</w:t>
      </w:r>
    </w:p>
    <w:p>
      <w:pPr>
        <w:pStyle w:val="6"/>
        <w:spacing w:before="2" w:line="304" w:lineRule="auto"/>
        <w:ind w:left="322" w:right="722" w:firstLine="400"/>
      </w:pPr>
      <w:r>
        <w:rPr>
          <w:spacing w:val="-6"/>
          <w:w w:val="95"/>
        </w:rPr>
        <w:t xml:space="preserve">在可变现净值计量下，资产按照其正常对外销售所能收到现金或者现金等价物的金额扣减该资产至完工时估   </w:t>
      </w:r>
      <w:r>
        <w:rPr>
          <w:spacing w:val="-6"/>
        </w:rPr>
        <w:t>计将要发生的成本、估计的销售费用以及相关税金后的金额计量。</w:t>
      </w:r>
    </w:p>
    <w:p>
      <w:pPr>
        <w:pStyle w:val="6"/>
        <w:spacing w:before="2"/>
      </w:pPr>
      <w:r>
        <w:t>实务中，常用于</w:t>
      </w:r>
      <w:r>
        <w:rPr>
          <w:color w:val="FF0000"/>
          <w:u w:val="double" w:color="FF0000"/>
        </w:rPr>
        <w:t>存货资产减值情况下</w:t>
      </w:r>
      <w:r>
        <w:t>的后续计量。</w:t>
      </w:r>
    </w:p>
    <w:p>
      <w:pPr>
        <w:pStyle w:val="5"/>
        <w:spacing w:before="68"/>
      </w:pPr>
      <w:r>
        <w:t>（四）现值</w:t>
      </w:r>
    </w:p>
    <w:p>
      <w:pPr>
        <w:pStyle w:val="6"/>
        <w:spacing w:line="304" w:lineRule="auto"/>
        <w:ind w:left="322" w:right="722" w:firstLine="400"/>
        <w:jc w:val="both"/>
      </w:pPr>
      <w:r>
        <w:rPr>
          <w:w w:val="95"/>
        </w:rPr>
        <w:t>现值是指对</w:t>
      </w:r>
      <w:r>
        <w:rPr>
          <w:b/>
          <w:color w:val="00AFEF"/>
          <w:w w:val="95"/>
          <w:u w:val="single" w:color="00AFEF"/>
        </w:rPr>
        <w:t>未来现金流量以恰当的折现率进行折现后的价值</w:t>
      </w:r>
      <w:r>
        <w:rPr>
          <w:spacing w:val="-8"/>
          <w:w w:val="95"/>
        </w:rPr>
        <w:t xml:space="preserve">，是考虑货币时间价值因素的一种计量属性。在    </w:t>
      </w:r>
      <w:r>
        <w:rPr>
          <w:spacing w:val="-10"/>
          <w:w w:val="95"/>
        </w:rPr>
        <w:t xml:space="preserve">现值计量下，资产按照预计从其持续使用和最终处置中所产生的未来净现金流入量的折现金额计量。负债按照预    </w:t>
      </w:r>
      <w:r>
        <w:rPr>
          <w:spacing w:val="-10"/>
        </w:rPr>
        <w:t>计期限内需要偿还的未来净现金流出量的折现金额计量。</w:t>
      </w:r>
    </w:p>
    <w:p>
      <w:pPr>
        <w:pStyle w:val="6"/>
        <w:spacing w:before="3"/>
      </w:pPr>
      <w:r>
        <w:t>实务中，常用于</w:t>
      </w:r>
      <w:r>
        <w:rPr>
          <w:color w:val="FF0000"/>
          <w:u w:val="double" w:color="FF0000"/>
        </w:rPr>
        <w:t>非流动资产可收回金额、摊余成本</w:t>
      </w:r>
      <w:r>
        <w:t>计量。</w:t>
      </w:r>
    </w:p>
    <w:p>
      <w:pPr>
        <w:pStyle w:val="5"/>
      </w:pPr>
      <w:r>
        <w:t>（五）公允价值</w:t>
      </w:r>
    </w:p>
    <w:p>
      <w:pPr>
        <w:pStyle w:val="5"/>
        <w:spacing w:before="68" w:line="304" w:lineRule="auto"/>
        <w:ind w:left="322" w:right="725" w:firstLine="400"/>
      </w:pPr>
      <w:r>
        <mc:AlternateContent>
          <mc:Choice Requires="wps">
            <w:drawing>
              <wp:anchor distT="0" distB="0" distL="114300" distR="114300" simplePos="0" relativeHeight="482377728" behindDoc="1" locked="0" layoutInCell="1" allowOverlap="1">
                <wp:simplePos x="0" y="0"/>
                <wp:positionH relativeFrom="page">
                  <wp:posOffset>687705</wp:posOffset>
                </wp:positionH>
                <wp:positionV relativeFrom="paragraph">
                  <wp:posOffset>388620</wp:posOffset>
                </wp:positionV>
                <wp:extent cx="377190" cy="5715"/>
                <wp:effectExtent l="0" t="0" r="0" b="0"/>
                <wp:wrapNone/>
                <wp:docPr id="220" name="任意多边形 32"/>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2" o:spid="_x0000_s1026" o:spt="100" style="position:absolute;left:0pt;margin-left:54.15pt;margin-top:30.6pt;height:0.45pt;width:29.7pt;mso-position-horizontal-relative:page;z-index:-20938752;mso-width-relative:page;mso-height-relative:page;" filled="f" stroked="t" coordsize="594,9" o:gfxdata="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JlC/33UAAAACQEAAA8AAAAA&#10;AAAAAQAgAAAAIgAAAGRycy9kb3ducmV2LnhtbFBLAQIUABQAAAAIAIdO4kD5BmoqwwIAAPgIAAAO&#10;AAAAAAAAAAEAIAAAACMBAABkcnMvZTJvRG9jLnhtbFBLBQYAAAAABgAGAFkBAABYBg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b w:val="0"/>
          <w:w w:val="95"/>
        </w:rPr>
        <w:t>公允价值是</w:t>
      </w:r>
      <w:r>
        <w:rPr>
          <w:color w:val="00AFEF"/>
          <w:spacing w:val="-5"/>
          <w:w w:val="95"/>
          <w:u w:val="single" w:color="00AFEF"/>
        </w:rPr>
        <w:t xml:space="preserve">指市场参与者在计量日发生的有序交易中，出售一项资产所能收到或者转移一项负债所需支付的   </w:t>
      </w:r>
      <w:r>
        <w:rPr>
          <w:color w:val="00AFEF"/>
          <w:spacing w:val="-5"/>
        </w:rPr>
        <w:t>价格。</w:t>
      </w:r>
    </w:p>
    <w:p>
      <w:pPr>
        <w:pStyle w:val="6"/>
        <w:spacing w:before="2"/>
      </w:pPr>
      <w:r>
        <w:t>公允价值计量属性多用于</w:t>
      </w:r>
      <w:r>
        <w:rPr>
          <w:color w:val="FF0000"/>
          <w:u w:val="double" w:color="FF0000"/>
        </w:rPr>
        <w:t>交易性金融资产、其他债权投资、其他权益工具投资</w:t>
      </w:r>
      <w:r>
        <w:t>的计量。</w:t>
      </w:r>
    </w:p>
    <w:p>
      <w:pPr>
        <w:spacing w:after="0"/>
        <w:sectPr>
          <w:pgSz w:w="11910" w:h="16160"/>
          <w:pgMar w:top="1680" w:right="360" w:bottom="860" w:left="760" w:header="0" w:footer="584" w:gutter="0"/>
        </w:sectPr>
      </w:pPr>
    </w:p>
    <w:p>
      <w:pPr>
        <w:pStyle w:val="6"/>
        <w:spacing w:before="11"/>
        <w:ind w:left="0"/>
        <w:rPr>
          <w:sz w:val="13"/>
        </w:rPr>
      </w:pPr>
    </w:p>
    <w:p>
      <w:pPr>
        <w:pStyle w:val="6"/>
        <w:spacing w:before="71" w:line="304" w:lineRule="auto"/>
        <w:ind w:left="322" w:right="721" w:firstLine="400"/>
      </w:pPr>
      <w:r>
        <w:rPr>
          <w:spacing w:val="-3"/>
          <w:w w:val="95"/>
        </w:rPr>
        <w:t>【提示】</w:t>
      </w:r>
      <w:r>
        <w:rPr>
          <w:color w:val="FF0000"/>
          <w:spacing w:val="-6"/>
          <w:w w:val="95"/>
          <w:u w:val="double" w:color="FF0000"/>
        </w:rPr>
        <w:t xml:space="preserve">企业在对会计要素进行计量时，一般应当采用历史成本；当采用重置成本、可变现净值、现值、公允 </w:t>
      </w:r>
      <w:r>
        <w:rPr>
          <w:color w:val="FF0000"/>
          <w:spacing w:val="-6"/>
          <w:u w:val="double" w:color="FF0000"/>
        </w:rPr>
        <w:t>价值计量时，应当保证所确定的会计要素金额能够取得并可靠地计量</w:t>
      </w:r>
      <w:r>
        <w:rPr>
          <w:spacing w:val="-6"/>
        </w:rPr>
        <w:t>。</w:t>
      </w:r>
    </w:p>
    <w:p>
      <w:pPr>
        <w:spacing w:before="0" w:line="223" w:lineRule="exact"/>
        <w:ind w:left="742" w:right="0" w:firstLine="0"/>
        <w:jc w:val="left"/>
        <w:rPr>
          <w:b/>
          <w:sz w:val="21"/>
        </w:rPr>
      </w:pPr>
      <w:bookmarkStart w:id="15" w:name="三、会计等式"/>
      <w:bookmarkEnd w:id="15"/>
      <w:r>
        <w:rPr>
          <w:b/>
          <w:sz w:val="21"/>
          <w:shd w:val="clear" w:color="auto" w:fill="C0C0C0"/>
        </w:rPr>
        <w:t>三、会计等式</w:t>
      </w:r>
    </w:p>
    <w:p>
      <w:pPr>
        <w:pStyle w:val="5"/>
        <w:spacing w:before="91"/>
        <w:rPr>
          <w:b w:val="0"/>
        </w:rPr>
      </w:pPr>
      <w:r>
        <w:rPr>
          <w:b w:val="0"/>
        </w:rPr>
        <w:t>会计等式又称为</w:t>
      </w:r>
      <w:r>
        <w:rPr>
          <w:color w:val="00AFEF"/>
          <w:u w:val="single" w:color="00AFEF"/>
        </w:rPr>
        <w:t>会计恒等式、会计方程式或会计平衡公式，他是表明各会计要素之间基本关系的等式</w:t>
      </w:r>
      <w:r>
        <w:rPr>
          <w:b w:val="0"/>
        </w:rPr>
        <w:t>。</w:t>
      </w:r>
    </w:p>
    <w:p>
      <w:pPr>
        <w:pStyle w:val="5"/>
        <w:spacing w:line="304" w:lineRule="auto"/>
        <w:ind w:right="7653"/>
      </w:pPr>
      <w:r>
        <w:t>（一）会计等式的表现形式1.财务状况等式</w:t>
      </w:r>
    </w:p>
    <w:p>
      <w:pPr>
        <w:pStyle w:val="6"/>
        <w:spacing w:before="0" w:line="304" w:lineRule="auto"/>
        <w:ind w:left="322" w:right="621" w:firstLine="400"/>
      </w:pPr>
      <w:r>
        <w:rPr>
          <w:spacing w:val="-4"/>
          <w:w w:val="99"/>
        </w:rPr>
        <w:t>企业进行生产经营活动，都必须具备一定数量和种类的资产，这些资产属于投资者投入资本</w:t>
      </w:r>
      <w:r>
        <w:rPr>
          <w:spacing w:val="2"/>
          <w:w w:val="99"/>
        </w:rPr>
        <w:t>（</w:t>
      </w:r>
      <w:r>
        <w:rPr>
          <w:w w:val="99"/>
        </w:rPr>
        <w:t>所有者权益</w:t>
      </w:r>
      <w:r>
        <w:rPr>
          <w:spacing w:val="-99"/>
          <w:w w:val="99"/>
        </w:rPr>
        <w:t>）</w:t>
      </w:r>
      <w:r>
        <w:rPr>
          <w:w w:val="99"/>
        </w:rPr>
        <w:t>，有些属于债权人的借入资金（</w:t>
      </w:r>
      <w:r>
        <w:rPr>
          <w:spacing w:val="1"/>
          <w:w w:val="99"/>
        </w:rPr>
        <w:t>负债</w:t>
      </w:r>
      <w:r>
        <w:rPr>
          <w:spacing w:val="-99"/>
          <w:w w:val="99"/>
        </w:rPr>
        <w:t>）</w:t>
      </w:r>
      <w:r>
        <w:rPr>
          <w:w w:val="99"/>
        </w:rPr>
        <w:t>，统称为</w:t>
      </w:r>
      <w:r>
        <w:rPr>
          <w:color w:val="FF0000"/>
          <w:w w:val="97"/>
          <w:u w:val="double" w:color="FF0000"/>
        </w:rPr>
        <w:t>权益</w:t>
      </w:r>
      <w:r>
        <w:rPr>
          <w:w w:val="99"/>
        </w:rPr>
        <w:t>。</w:t>
      </w:r>
    </w:p>
    <w:p>
      <w:pPr>
        <w:pStyle w:val="6"/>
        <w:spacing w:before="2" w:line="304" w:lineRule="auto"/>
        <w:ind w:left="322" w:right="646" w:firstLine="400"/>
      </w:pPr>
      <w:r>
        <w:rPr>
          <w:w w:val="95"/>
        </w:rPr>
        <w:t xml:space="preserve">资产与权益是企业所拥有的经济资源在同一时点上所表现的不同形式。资产表示资源的状态，权益表示资源   </w:t>
      </w:r>
      <w:r>
        <w:t>的来源。</w:t>
      </w:r>
    </w:p>
    <w:p>
      <w:pPr>
        <w:pStyle w:val="6"/>
        <w:spacing w:before="2" w:line="304" w:lineRule="auto"/>
        <w:ind w:left="716" w:right="5861" w:firstLine="7"/>
      </w:pPr>
      <w:r>
        <w:t xml:space="preserve">资产与权益在任何一个时点都保持恒等的关系； </w:t>
      </w:r>
      <w:r>
        <w:rPr>
          <w:color w:val="FF0000"/>
          <w:u w:val="double" w:color="FF0000"/>
        </w:rPr>
        <w:t>资产=权益</w:t>
      </w:r>
    </w:p>
    <w:p>
      <w:pPr>
        <w:pStyle w:val="6"/>
        <w:spacing w:before="0" w:line="256" w:lineRule="exact"/>
        <w:ind w:left="716"/>
      </w:pPr>
      <w:r>
        <w:rPr>
          <w:color w:val="FF0000"/>
          <w:u w:val="double" w:color="FF0000"/>
        </w:rPr>
        <w:t>资产=负债+所有者权益</w:t>
      </w:r>
    </w:p>
    <w:p>
      <w:pPr>
        <w:pStyle w:val="6"/>
        <w:spacing w:line="304" w:lineRule="auto"/>
        <w:ind w:left="322" w:right="722" w:firstLine="400"/>
      </w:pPr>
      <w:r>
        <w:rPr>
          <w:w w:val="95"/>
        </w:rPr>
        <w:t>这一会计等式也称为</w:t>
      </w:r>
      <w:r>
        <w:rPr>
          <w:color w:val="FF0000"/>
          <w:w w:val="95"/>
          <w:u w:val="double" w:color="FF0000"/>
        </w:rPr>
        <w:t>基本会计等式或静态会计等式</w:t>
      </w:r>
      <w:r>
        <w:rPr>
          <w:w w:val="95"/>
        </w:rPr>
        <w:t xml:space="preserve">，是反映企业某一特定时点资产、负债和所有者权益三者   </w:t>
      </w:r>
      <w:r>
        <w:t>之间平衡关系的会计等式。</w:t>
      </w:r>
    </w:p>
    <w:p>
      <w:pPr>
        <w:spacing w:before="2" w:line="304" w:lineRule="auto"/>
        <w:ind w:left="723" w:right="3590" w:firstLine="0"/>
        <w:jc w:val="left"/>
        <w:rPr>
          <w:b/>
          <w:sz w:val="20"/>
        </w:rPr>
      </w:pPr>
      <w:r>
        <mc:AlternateContent>
          <mc:Choice Requires="wps">
            <w:drawing>
              <wp:anchor distT="0" distB="0" distL="114300" distR="114300" simplePos="0" relativeHeight="482378752" behindDoc="1" locked="0" layoutInCell="1" allowOverlap="1">
                <wp:simplePos x="0" y="0"/>
                <wp:positionH relativeFrom="page">
                  <wp:posOffset>1068705</wp:posOffset>
                </wp:positionH>
                <wp:positionV relativeFrom="paragraph">
                  <wp:posOffset>139065</wp:posOffset>
                </wp:positionV>
                <wp:extent cx="251460" cy="5715"/>
                <wp:effectExtent l="0" t="0" r="0" b="0"/>
                <wp:wrapNone/>
                <wp:docPr id="222" name="任意多边形 3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3" o:spid="_x0000_s1026" o:spt="100" style="position:absolute;left:0pt;margin-left:84.15pt;margin-top:10.95pt;height:0.45pt;width:19.8pt;mso-position-horizontal-relative:page;z-index:-20937728;mso-width-relative:page;mso-height-relative:page;" filled="f" stroked="t" coordsize="396,9" o:gfxdata="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9&#10;xP9L2AAAAAkBAAAPAAAAAAAAAAEAIAAAACIAAABkcnMvZG93bnJldi54bWxQSwECFAAUAAAACACH&#10;TuJAUZiGTJYCAABW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sz w:val="20"/>
        </w:rPr>
        <w:t>【</w:t>
      </w:r>
      <w:r>
        <w:rPr>
          <w:b/>
          <w:color w:val="00AFEF"/>
          <w:w w:val="95"/>
          <w:sz w:val="20"/>
        </w:rPr>
        <w:t>提示</w:t>
      </w:r>
      <w:r>
        <w:rPr>
          <w:w w:val="95"/>
          <w:sz w:val="20"/>
        </w:rPr>
        <w:t>】</w:t>
      </w:r>
      <w:r>
        <w:rPr>
          <w:color w:val="FF0000"/>
          <w:w w:val="95"/>
          <w:sz w:val="20"/>
          <w:u w:val="double" w:color="FF0000"/>
        </w:rPr>
        <w:t>这一等式是复式记账法的理论基础，也是编制资产负债表的依据</w:t>
      </w:r>
      <w:r>
        <w:rPr>
          <w:w w:val="95"/>
          <w:sz w:val="20"/>
        </w:rPr>
        <w:t xml:space="preserve">。 </w:t>
      </w:r>
      <w:r>
        <w:rPr>
          <w:b/>
          <w:sz w:val="20"/>
        </w:rPr>
        <w:t>2.经营成果等式</w:t>
      </w:r>
    </w:p>
    <w:p>
      <w:pPr>
        <w:pStyle w:val="6"/>
        <w:spacing w:before="2" w:line="302" w:lineRule="auto"/>
        <w:ind w:left="322" w:right="722" w:firstLine="400"/>
      </w:pPr>
      <w:r>
        <w:rPr>
          <w:spacing w:val="-4"/>
          <w:w w:val="95"/>
        </w:rPr>
        <w:t xml:space="preserve">企业经营的目的是为了获取收入、实现盈利，企业在取得收入的同时，也必然发生相应的费用，一定时期的   </w:t>
      </w:r>
      <w:r>
        <w:rPr>
          <w:spacing w:val="-4"/>
        </w:rPr>
        <w:t>收入和费用的配比结果为企业的经营成果。</w:t>
      </w:r>
    </w:p>
    <w:p>
      <w:pPr>
        <w:pStyle w:val="6"/>
        <w:spacing w:before="4"/>
      </w:pPr>
      <w:r>
        <w:t>收入-费用=利润</w:t>
      </w:r>
    </w:p>
    <w:p>
      <w:pPr>
        <w:pStyle w:val="6"/>
        <w:spacing w:before="71" w:line="304" w:lineRule="auto"/>
        <w:ind w:left="322" w:right="650" w:firstLine="400"/>
      </w:pPr>
      <w:r>
        <w:rPr>
          <w:w w:val="95"/>
        </w:rPr>
        <w:t>这一等式也称为</w:t>
      </w:r>
      <w:r>
        <w:rPr>
          <w:color w:val="FF0000"/>
          <w:w w:val="95"/>
          <w:u w:val="double" w:color="FF0000"/>
        </w:rPr>
        <w:t>动态会计等式</w:t>
      </w:r>
      <w:r>
        <w:rPr>
          <w:w w:val="95"/>
        </w:rPr>
        <w:t xml:space="preserve">，是用于反映企业一定时期收入、费用和利润之间恒等关系的会计等式，反映   </w:t>
      </w:r>
      <w:r>
        <w:t>利润的实现过程，是</w:t>
      </w:r>
      <w:r>
        <w:rPr>
          <w:color w:val="FF0000"/>
          <w:u w:val="double" w:color="FF0000"/>
        </w:rPr>
        <w:t>编制利润表的基础</w:t>
      </w:r>
      <w:r>
        <w:t>。</w:t>
      </w:r>
    </w:p>
    <w:p>
      <w:pPr>
        <w:pStyle w:val="5"/>
        <w:spacing w:before="2"/>
      </w:pPr>
      <w:r>
        <w:t>会计等式之间的勾稽关系</w:t>
      </w:r>
    </w:p>
    <w:p>
      <w:pPr>
        <w:pStyle w:val="6"/>
      </w:pPr>
      <w:r>
        <w:t>会计期初：资产=负债+所有者权益</w:t>
      </w:r>
    </w:p>
    <w:p>
      <w:pPr>
        <w:pStyle w:val="6"/>
        <w:spacing w:before="67" w:line="304" w:lineRule="auto"/>
        <w:ind w:right="5661"/>
      </w:pPr>
      <w:r>
        <w:t>生产经营：资产=负债+所有者权益+（收入-费用） 会计期末：资产=负债+所有者权益+利润</w:t>
      </w:r>
    </w:p>
    <w:p>
      <w:pPr>
        <w:pStyle w:val="6"/>
        <w:spacing w:before="2"/>
      </w:pPr>
      <w:r>
        <w:t>利润分配：资产=负债+所有者权益</w:t>
      </w:r>
    </w:p>
    <w:p>
      <w:pPr>
        <w:pStyle w:val="5"/>
      </w:pPr>
      <w:r>
        <w:t>（二）交易或事项对会计等式的影响</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43"/>
        <w:gridCol w:w="76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443" w:type="dxa"/>
          </w:tcPr>
          <w:p>
            <w:pPr>
              <w:pStyle w:val="14"/>
              <w:spacing w:before="69" w:line="237" w:lineRule="exact"/>
              <w:ind w:left="769"/>
              <w:rPr>
                <w:sz w:val="20"/>
              </w:rPr>
            </w:pPr>
            <w:r>
              <w:rPr>
                <w:sz w:val="20"/>
              </w:rPr>
              <w:t>资产=权益</w:t>
            </w:r>
          </w:p>
        </w:tc>
        <w:tc>
          <w:tcPr>
            <w:tcW w:w="7650" w:type="dxa"/>
          </w:tcPr>
          <w:p>
            <w:pPr>
              <w:pStyle w:val="14"/>
              <w:spacing w:before="69" w:line="237" w:lineRule="exact"/>
              <w:ind w:left="3004" w:right="2596"/>
              <w:jc w:val="center"/>
              <w:rPr>
                <w:sz w:val="20"/>
              </w:rPr>
            </w:pPr>
            <w:r>
              <w:rPr>
                <w:sz w:val="20"/>
              </w:rPr>
              <w:t>资产=负债+所有者权益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443" w:type="dxa"/>
            <w:vMerge w:val="restart"/>
          </w:tcPr>
          <w:p>
            <w:pPr>
              <w:pStyle w:val="14"/>
              <w:spacing w:before="6"/>
              <w:rPr>
                <w:b/>
                <w:sz w:val="18"/>
              </w:rPr>
            </w:pPr>
          </w:p>
          <w:p>
            <w:pPr>
              <w:pStyle w:val="14"/>
              <w:ind w:left="519"/>
              <w:rPr>
                <w:sz w:val="20"/>
              </w:rPr>
            </w:pPr>
            <w:r>
              <w:rPr>
                <w:sz w:val="20"/>
              </w:rPr>
              <w:t>资产与权益同时增加</w:t>
            </w:r>
          </w:p>
        </w:tc>
        <w:tc>
          <w:tcPr>
            <w:tcW w:w="7650" w:type="dxa"/>
          </w:tcPr>
          <w:p>
            <w:pPr>
              <w:pStyle w:val="14"/>
              <w:spacing w:before="69" w:line="237" w:lineRule="exact"/>
              <w:ind w:left="508"/>
              <w:rPr>
                <w:sz w:val="20"/>
              </w:rPr>
            </w:pPr>
            <w:r>
              <w:rPr>
                <w:sz w:val="20"/>
              </w:rPr>
              <w:t>资产增加、负债增加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443" w:type="dxa"/>
            <w:vMerge w:val="continue"/>
            <w:tcBorders>
              <w:top w:val="nil"/>
            </w:tcBorders>
          </w:tcPr>
          <w:p>
            <w:pPr>
              <w:rPr>
                <w:sz w:val="2"/>
                <w:szCs w:val="2"/>
              </w:rPr>
            </w:pPr>
          </w:p>
        </w:tc>
        <w:tc>
          <w:tcPr>
            <w:tcW w:w="7650" w:type="dxa"/>
          </w:tcPr>
          <w:p>
            <w:pPr>
              <w:pStyle w:val="14"/>
              <w:spacing w:before="69" w:line="237" w:lineRule="exact"/>
              <w:ind w:left="508"/>
              <w:rPr>
                <w:sz w:val="20"/>
              </w:rPr>
            </w:pPr>
            <w:r>
              <w:rPr>
                <w:sz w:val="20"/>
              </w:rPr>
              <w:t>资产增加、所有者权益增加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443" w:type="dxa"/>
            <w:vMerge w:val="restart"/>
          </w:tcPr>
          <w:p>
            <w:pPr>
              <w:pStyle w:val="14"/>
              <w:spacing w:before="6"/>
              <w:rPr>
                <w:b/>
                <w:sz w:val="18"/>
              </w:rPr>
            </w:pPr>
          </w:p>
          <w:p>
            <w:pPr>
              <w:pStyle w:val="14"/>
              <w:ind w:left="519"/>
              <w:rPr>
                <w:sz w:val="20"/>
              </w:rPr>
            </w:pPr>
            <w:r>
              <w:rPr>
                <w:sz w:val="20"/>
              </w:rPr>
              <w:t>资产与权益同时减少</w:t>
            </w:r>
          </w:p>
        </w:tc>
        <w:tc>
          <w:tcPr>
            <w:tcW w:w="7650" w:type="dxa"/>
          </w:tcPr>
          <w:p>
            <w:pPr>
              <w:pStyle w:val="14"/>
              <w:spacing w:before="69" w:line="237" w:lineRule="exact"/>
              <w:ind w:left="508"/>
              <w:rPr>
                <w:sz w:val="20"/>
              </w:rPr>
            </w:pPr>
            <w:r>
              <w:rPr>
                <w:sz w:val="20"/>
              </w:rPr>
              <w:t>资产减少、负债减少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443" w:type="dxa"/>
            <w:vMerge w:val="continue"/>
            <w:tcBorders>
              <w:top w:val="nil"/>
            </w:tcBorders>
          </w:tcPr>
          <w:p>
            <w:pPr>
              <w:rPr>
                <w:sz w:val="2"/>
                <w:szCs w:val="2"/>
              </w:rPr>
            </w:pPr>
          </w:p>
        </w:tc>
        <w:tc>
          <w:tcPr>
            <w:tcW w:w="7650" w:type="dxa"/>
          </w:tcPr>
          <w:p>
            <w:pPr>
              <w:pStyle w:val="14"/>
              <w:spacing w:before="69" w:line="237" w:lineRule="exact"/>
              <w:ind w:left="508"/>
              <w:rPr>
                <w:sz w:val="20"/>
              </w:rPr>
            </w:pPr>
            <w:r>
              <w:rPr>
                <w:sz w:val="20"/>
              </w:rPr>
              <w:t>资产减少、所有者权益减少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443" w:type="dxa"/>
          </w:tcPr>
          <w:p>
            <w:pPr>
              <w:pStyle w:val="14"/>
              <w:spacing w:before="69" w:line="237" w:lineRule="exact"/>
              <w:ind w:left="620"/>
              <w:rPr>
                <w:sz w:val="20"/>
              </w:rPr>
            </w:pPr>
            <w:r>
              <w:rPr>
                <w:sz w:val="20"/>
              </w:rPr>
              <w:t>资产内部有增有减</w:t>
            </w:r>
          </w:p>
        </w:tc>
        <w:tc>
          <w:tcPr>
            <w:tcW w:w="7650" w:type="dxa"/>
          </w:tcPr>
          <w:p>
            <w:pPr>
              <w:pStyle w:val="14"/>
              <w:spacing w:before="69" w:line="237" w:lineRule="exact"/>
              <w:ind w:left="508"/>
              <w:rPr>
                <w:sz w:val="20"/>
              </w:rPr>
            </w:pPr>
            <w:r>
              <w:rPr>
                <w:sz w:val="20"/>
              </w:rPr>
              <w:t>资产增加、资产减少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443" w:type="dxa"/>
            <w:vMerge w:val="restart"/>
          </w:tcPr>
          <w:p>
            <w:pPr>
              <w:pStyle w:val="14"/>
              <w:rPr>
                <w:b/>
                <w:sz w:val="20"/>
              </w:rPr>
            </w:pPr>
          </w:p>
          <w:p>
            <w:pPr>
              <w:pStyle w:val="14"/>
              <w:spacing w:before="9"/>
              <w:rPr>
                <w:b/>
                <w:sz w:val="24"/>
              </w:rPr>
            </w:pPr>
          </w:p>
          <w:p>
            <w:pPr>
              <w:pStyle w:val="14"/>
              <w:ind w:left="620"/>
              <w:rPr>
                <w:sz w:val="20"/>
              </w:rPr>
            </w:pPr>
            <w:r>
              <w:rPr>
                <w:sz w:val="20"/>
              </w:rPr>
              <w:t>权益内部有增有减</w:t>
            </w:r>
          </w:p>
        </w:tc>
        <w:tc>
          <w:tcPr>
            <w:tcW w:w="7650" w:type="dxa"/>
          </w:tcPr>
          <w:p>
            <w:pPr>
              <w:pStyle w:val="14"/>
              <w:spacing w:before="69" w:line="237" w:lineRule="exact"/>
              <w:ind w:left="508"/>
              <w:rPr>
                <w:sz w:val="20"/>
              </w:rPr>
            </w:pPr>
            <w:r>
              <w:rPr>
                <w:sz w:val="20"/>
              </w:rPr>
              <w:t>负债增加、负债减少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443" w:type="dxa"/>
            <w:vMerge w:val="continue"/>
            <w:tcBorders>
              <w:top w:val="nil"/>
            </w:tcBorders>
          </w:tcPr>
          <w:p>
            <w:pPr>
              <w:rPr>
                <w:sz w:val="2"/>
                <w:szCs w:val="2"/>
              </w:rPr>
            </w:pPr>
          </w:p>
        </w:tc>
        <w:tc>
          <w:tcPr>
            <w:tcW w:w="7650" w:type="dxa"/>
          </w:tcPr>
          <w:p>
            <w:pPr>
              <w:pStyle w:val="14"/>
              <w:spacing w:before="69" w:line="237" w:lineRule="exact"/>
              <w:ind w:left="508"/>
              <w:rPr>
                <w:sz w:val="20"/>
              </w:rPr>
            </w:pPr>
            <w:r>
              <w:rPr>
                <w:sz w:val="20"/>
              </w:rPr>
              <w:t>负债增加、所有者权益减少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443" w:type="dxa"/>
            <w:vMerge w:val="continue"/>
            <w:tcBorders>
              <w:top w:val="nil"/>
            </w:tcBorders>
          </w:tcPr>
          <w:p>
            <w:pPr>
              <w:rPr>
                <w:sz w:val="2"/>
                <w:szCs w:val="2"/>
              </w:rPr>
            </w:pPr>
          </w:p>
        </w:tc>
        <w:tc>
          <w:tcPr>
            <w:tcW w:w="7650" w:type="dxa"/>
          </w:tcPr>
          <w:p>
            <w:pPr>
              <w:pStyle w:val="14"/>
              <w:spacing w:before="69" w:line="237" w:lineRule="exact"/>
              <w:ind w:left="508"/>
              <w:rPr>
                <w:sz w:val="20"/>
              </w:rPr>
            </w:pPr>
            <w:r>
              <w:rPr>
                <w:sz w:val="20"/>
              </w:rPr>
              <w:t>所有者权益增加、所有者权益减少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443" w:type="dxa"/>
            <w:vMerge w:val="continue"/>
            <w:tcBorders>
              <w:top w:val="nil"/>
            </w:tcBorders>
          </w:tcPr>
          <w:p>
            <w:pPr>
              <w:rPr>
                <w:sz w:val="2"/>
                <w:szCs w:val="2"/>
              </w:rPr>
            </w:pPr>
          </w:p>
        </w:tc>
        <w:tc>
          <w:tcPr>
            <w:tcW w:w="7650" w:type="dxa"/>
          </w:tcPr>
          <w:p>
            <w:pPr>
              <w:pStyle w:val="14"/>
              <w:spacing w:before="69" w:line="237" w:lineRule="exact"/>
              <w:ind w:left="508"/>
              <w:rPr>
                <w:sz w:val="20"/>
              </w:rPr>
            </w:pPr>
            <w:r>
              <w:rPr>
                <w:sz w:val="20"/>
              </w:rPr>
              <w:t>所有者权益增加、负债减少</w:t>
            </w:r>
          </w:p>
        </w:tc>
      </w:tr>
    </w:tbl>
    <w:p>
      <w:pPr>
        <w:spacing w:after="0" w:line="237" w:lineRule="exact"/>
        <w:rPr>
          <w:sz w:val="20"/>
        </w:rPr>
        <w:sectPr>
          <w:pgSz w:w="11910" w:h="16160"/>
          <w:pgMar w:top="1680" w:right="360" w:bottom="860" w:left="760" w:header="0" w:footer="584" w:gutter="0"/>
        </w:sectPr>
      </w:pPr>
    </w:p>
    <w:p>
      <w:pPr>
        <w:pStyle w:val="6"/>
        <w:spacing w:before="0"/>
        <w:ind w:left="0"/>
        <w:rPr>
          <w:b/>
        </w:rPr>
      </w:pPr>
    </w:p>
    <w:p>
      <w:pPr>
        <w:pStyle w:val="6"/>
        <w:spacing w:before="3"/>
        <w:ind w:left="0"/>
        <w:rPr>
          <w:b/>
          <w:sz w:val="24"/>
        </w:rPr>
      </w:pPr>
    </w:p>
    <w:p>
      <w:pPr>
        <w:pStyle w:val="3"/>
        <w:tabs>
          <w:tab w:val="left" w:pos="839"/>
        </w:tabs>
        <w:spacing w:before="44"/>
        <w:ind w:left="0" w:right="399"/>
        <w:jc w:val="center"/>
        <w:rPr>
          <w:rFonts w:hint="eastAsia" w:ascii="微软雅黑" w:eastAsia="微软雅黑"/>
        </w:rPr>
      </w:pPr>
      <w:bookmarkStart w:id="16" w:name="_bookmark4"/>
      <w:bookmarkEnd w:id="16"/>
      <w:bookmarkStart w:id="17" w:name="第四节　会计科目和借贷记账法"/>
      <w:bookmarkEnd w:id="17"/>
      <w:r>
        <w:rPr>
          <w:rFonts w:hint="eastAsia" w:ascii="微软雅黑" w:eastAsia="微软雅黑"/>
          <w:shd w:val="clear" w:color="auto" w:fill="FFFF00"/>
        </w:rPr>
        <w:t>第四节</w:t>
      </w:r>
      <w:r>
        <w:rPr>
          <w:rFonts w:hint="eastAsia" w:ascii="微软雅黑" w:eastAsia="微软雅黑"/>
          <w:shd w:val="clear" w:color="auto" w:fill="FFFF00"/>
        </w:rPr>
        <w:tab/>
      </w:r>
      <w:r>
        <w:rPr>
          <w:rFonts w:hint="eastAsia" w:ascii="微软雅黑" w:eastAsia="微软雅黑"/>
          <w:shd w:val="clear" w:color="auto" w:fill="FFFF00"/>
        </w:rPr>
        <w:t>会计科目和借贷记账法</w:t>
      </w:r>
    </w:p>
    <w:p>
      <w:pPr>
        <w:spacing w:before="138"/>
        <w:ind w:left="742" w:right="0" w:firstLine="0"/>
        <w:jc w:val="left"/>
        <w:rPr>
          <w:b/>
          <w:sz w:val="21"/>
        </w:rPr>
      </w:pPr>
      <w:bookmarkStart w:id="18" w:name="一、会计科目和账户"/>
      <w:bookmarkEnd w:id="18"/>
      <w:r>
        <w:rPr>
          <w:b/>
          <w:sz w:val="21"/>
          <w:shd w:val="clear" w:color="auto" w:fill="C0C0C0"/>
        </w:rPr>
        <w:t>一、会计科目和账户</w:t>
      </w:r>
    </w:p>
    <w:p>
      <w:pPr>
        <w:pStyle w:val="5"/>
        <w:spacing w:before="92"/>
      </w:pPr>
      <w:r>
        <w:t>（一）会计科目</w:t>
      </w:r>
    </w:p>
    <w:p>
      <w:pPr>
        <w:pStyle w:val="5"/>
        <w:numPr>
          <w:ilvl w:val="0"/>
          <w:numId w:val="16"/>
        </w:numPr>
        <w:tabs>
          <w:tab w:val="left" w:pos="925"/>
        </w:tabs>
        <w:spacing w:before="70" w:after="0" w:line="240" w:lineRule="auto"/>
        <w:ind w:left="924" w:right="0" w:hanging="202"/>
        <w:jc w:val="left"/>
        <w:rPr>
          <w:b w:val="0"/>
        </w:rPr>
      </w:pPr>
      <w:r>
        <w:t>会计科目的概念:</w:t>
      </w:r>
      <w:r>
        <w:rPr>
          <w:color w:val="00AFEF"/>
          <w:u w:val="single" w:color="00AFEF"/>
        </w:rPr>
        <w:t>会计科目是对会计要素具体内容进行分类核算的项目</w:t>
      </w:r>
      <w:r>
        <w:rPr>
          <w:b w:val="0"/>
        </w:rPr>
        <w:t>。</w:t>
      </w:r>
    </w:p>
    <w:p>
      <w:pPr>
        <w:pStyle w:val="5"/>
        <w:numPr>
          <w:ilvl w:val="0"/>
          <w:numId w:val="16"/>
        </w:numPr>
        <w:tabs>
          <w:tab w:val="left" w:pos="925"/>
        </w:tabs>
        <w:spacing w:before="70" w:after="0" w:line="240" w:lineRule="auto"/>
        <w:ind w:left="924" w:right="0" w:hanging="202"/>
        <w:jc w:val="left"/>
      </w:pPr>
      <w:r>
        <w:t>会计科目的分类</w:t>
      </w:r>
    </w:p>
    <w:p>
      <w:pPr>
        <w:pStyle w:val="5"/>
        <w:numPr>
          <w:ilvl w:val="0"/>
          <w:numId w:val="17"/>
        </w:numPr>
        <w:tabs>
          <w:tab w:val="left" w:pos="1225"/>
        </w:tabs>
        <w:spacing w:before="70" w:after="0" w:line="240" w:lineRule="auto"/>
        <w:ind w:left="1224" w:right="0" w:hanging="502"/>
        <w:jc w:val="left"/>
      </w:pPr>
      <w:r>
        <w:t>按反映的经济内容分类（即所属会计要素）</w:t>
      </w:r>
    </w:p>
    <w:p>
      <w:pPr>
        <w:pStyle w:val="6"/>
        <w:ind w:left="716"/>
      </w:pPr>
      <w:r>
        <w:rPr>
          <w:color w:val="FF0000"/>
          <w:u w:val="double" w:color="FF0000"/>
        </w:rPr>
        <w:t>资产类、负债类、共同类、所有者权益类、成本类、损益类</w:t>
      </w:r>
    </w:p>
    <w:p>
      <w:pPr>
        <w:pStyle w:val="6"/>
        <w:spacing w:before="68" w:line="304" w:lineRule="auto"/>
        <w:ind w:left="322" w:right="761" w:firstLine="400"/>
      </w:pPr>
      <w:r>
        <mc:AlternateContent>
          <mc:Choice Requires="wps">
            <w:drawing>
              <wp:anchor distT="0" distB="0" distL="114300" distR="114300" simplePos="0" relativeHeight="482378752" behindDoc="1" locked="0" layoutInCell="1" allowOverlap="1">
                <wp:simplePos x="0" y="0"/>
                <wp:positionH relativeFrom="page">
                  <wp:posOffset>1068705</wp:posOffset>
                </wp:positionH>
                <wp:positionV relativeFrom="paragraph">
                  <wp:posOffset>181610</wp:posOffset>
                </wp:positionV>
                <wp:extent cx="377190" cy="5715"/>
                <wp:effectExtent l="0" t="0" r="0" b="0"/>
                <wp:wrapNone/>
                <wp:docPr id="223" name="任意多边形 34"/>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4" o:spid="_x0000_s1026" o:spt="100" style="position:absolute;left:0pt;margin-left:84.15pt;margin-top:14.3pt;height:0.45pt;width:29.7pt;mso-position-horizontal-relative:page;z-index:-20937728;mso-width-relative:page;mso-height-relative:page;" filled="f" stroked="t" coordsize="594,9" o:gfxdata="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OfXoUPVAAAACQEAAA8AAAAAAAAA&#10;AQAgAAAAIgAAAGRycy9kb3ducmV2LnhtbFBLAQIUABQAAAAIAIdO4kDlr79CvwIAAPgIAAAOAAAA&#10;AAAAAAEAIAAAACQBAABkcnMvZTJvRG9jLnhtbFBLBQYAAAAABgAGAFkBAABVBg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w w:val="95"/>
        </w:rPr>
        <w:t>①</w:t>
      </w:r>
      <w:r>
        <w:rPr>
          <w:b/>
          <w:color w:val="00AFEF"/>
          <w:w w:val="95"/>
        </w:rPr>
        <w:t>资产类</w:t>
      </w:r>
      <w:r>
        <w:rPr>
          <w:w w:val="95"/>
        </w:rPr>
        <w:t xml:space="preserve">:对资产要素的具体内容进行分类核算的项目，按资产的流动性分为反映流动资产的科目和反映非   </w:t>
      </w:r>
      <w:r>
        <w:t>流动资产的科目。</w:t>
      </w:r>
    </w:p>
    <w:p>
      <w:pPr>
        <w:pStyle w:val="6"/>
        <w:spacing w:before="2" w:line="304" w:lineRule="auto"/>
        <w:ind w:left="322" w:right="761" w:firstLine="400"/>
      </w:pPr>
      <w:r>
        <mc:AlternateContent>
          <mc:Choice Requires="wps">
            <w:drawing>
              <wp:anchor distT="0" distB="0" distL="114300" distR="114300" simplePos="0" relativeHeight="482379776" behindDoc="1" locked="0" layoutInCell="1" allowOverlap="1">
                <wp:simplePos x="0" y="0"/>
                <wp:positionH relativeFrom="page">
                  <wp:posOffset>1068705</wp:posOffset>
                </wp:positionH>
                <wp:positionV relativeFrom="paragraph">
                  <wp:posOffset>139700</wp:posOffset>
                </wp:positionV>
                <wp:extent cx="377190" cy="5715"/>
                <wp:effectExtent l="0" t="0" r="0" b="0"/>
                <wp:wrapNone/>
                <wp:docPr id="224" name="任意多边形 35"/>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5" o:spid="_x0000_s1026" o:spt="100" style="position:absolute;left:0pt;margin-left:84.15pt;margin-top:11pt;height:0.45pt;width:29.7pt;mso-position-horizontal-relative:page;z-index:-20936704;mso-width-relative:page;mso-height-relative:page;" filled="f" stroked="t" coordsize="594,9" o:gfxdata="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BS7tXtQAAAAJAQAADwAAAAAAAAAB&#10;ACAAAAAiAAAAZHJzL2Rvd25yZXYueG1sUEsBAhQAFAAAAAgAh07iQAQYf12/AgAA+AgAAA4AAAAA&#10;AAAAAQAgAAAAIwEAAGRycy9lMm9Eb2MueG1sUEsFBgAAAAAGAAYAWQEAAFQGA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w w:val="95"/>
        </w:rPr>
        <w:t>②</w:t>
      </w:r>
      <w:r>
        <w:rPr>
          <w:b/>
          <w:color w:val="00AFEF"/>
          <w:w w:val="95"/>
        </w:rPr>
        <w:t>负债类</w:t>
      </w:r>
      <w:r>
        <w:rPr>
          <w:w w:val="95"/>
        </w:rPr>
        <w:t xml:space="preserve">:对负债要素的具体内容进行分类核算的项目，按负债的偿还期限分为反映流动负债的科目和反映   </w:t>
      </w:r>
      <w:r>
        <w:t>非流动负债的科目。</w:t>
      </w:r>
    </w:p>
    <w:p>
      <w:pPr>
        <w:pStyle w:val="6"/>
        <w:spacing w:before="2"/>
      </w:pPr>
      <w:r>
        <mc:AlternateContent>
          <mc:Choice Requires="wps">
            <w:drawing>
              <wp:anchor distT="0" distB="0" distL="114300" distR="114300" simplePos="0" relativeHeight="15746048" behindDoc="0" locked="0" layoutInCell="1" allowOverlap="1">
                <wp:simplePos x="0" y="0"/>
                <wp:positionH relativeFrom="page">
                  <wp:posOffset>1068705</wp:posOffset>
                </wp:positionH>
                <wp:positionV relativeFrom="paragraph">
                  <wp:posOffset>139700</wp:posOffset>
                </wp:positionV>
                <wp:extent cx="377190" cy="5715"/>
                <wp:effectExtent l="0" t="0" r="0" b="0"/>
                <wp:wrapNone/>
                <wp:docPr id="24" name="任意多边形 36"/>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6" o:spid="_x0000_s1026" o:spt="100" style="position:absolute;left:0pt;margin-left:84.15pt;margin-top:11pt;height:0.45pt;width:29.7pt;mso-position-horizontal-relative:page;z-index:15746048;mso-width-relative:page;mso-height-relative:page;" filled="f" stroked="t" coordsize="594,9" o:gfxdata="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AUu7V7UAAAACQEAAA8AAAAAAAAA&#10;AQAgAAAAIgAAAGRycy9kb3ducmV2LnhtbFBLAQIUABQAAAAIAIdO4kCPS2N9wAIAAPcIAAAOAAAA&#10;AAAAAAEAIAAAACMBAABkcnMvZTJvRG9jLnhtbFBLBQYAAAAABgAGAFkBAABVBg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t>③</w:t>
      </w:r>
      <w:r>
        <w:rPr>
          <w:b/>
          <w:color w:val="00AFEF"/>
        </w:rPr>
        <w:t>共同类</w:t>
      </w:r>
      <w:r>
        <w:t>:既有资产性质又有负债性质的科目</w:t>
      </w:r>
    </w:p>
    <w:p>
      <w:pPr>
        <w:pStyle w:val="6"/>
        <w:spacing w:line="302" w:lineRule="auto"/>
        <w:ind w:left="322" w:right="762" w:firstLine="400"/>
      </w:pPr>
      <w:r>
        <w:rPr>
          <w:w w:val="95"/>
        </w:rPr>
        <w:t>④</w:t>
      </w:r>
      <w:r>
        <w:rPr>
          <w:b/>
          <w:color w:val="00AFEF"/>
          <w:w w:val="95"/>
          <w:u w:val="single" w:color="00AFEF"/>
        </w:rPr>
        <w:t>所有者权益类</w:t>
      </w:r>
      <w:r>
        <w:rPr>
          <w:w w:val="95"/>
        </w:rPr>
        <w:t>:对所有者权益要素的具体内容进行分类核算的科目，按所有者权益的形成和性质可分为</w:t>
      </w:r>
      <w:r>
        <w:rPr>
          <w:color w:val="FF0000"/>
          <w:w w:val="95"/>
          <w:u w:val="double" w:color="FF0000"/>
        </w:rPr>
        <w:t xml:space="preserve">反   </w:t>
      </w:r>
      <w:r>
        <w:rPr>
          <w:color w:val="FF0000"/>
          <w:u w:val="double" w:color="FF0000"/>
        </w:rPr>
        <w:t>映资本的科目和反映留存收益的科目</w:t>
      </w:r>
      <w:r>
        <w:t>。</w:t>
      </w:r>
    </w:p>
    <w:p>
      <w:pPr>
        <w:pStyle w:val="6"/>
        <w:spacing w:before="5" w:line="304" w:lineRule="auto"/>
        <w:ind w:left="322" w:right="781" w:firstLine="393"/>
      </w:pPr>
      <w:r>
        <mc:AlternateContent>
          <mc:Choice Requires="wps">
            <w:drawing>
              <wp:anchor distT="0" distB="0" distL="114300" distR="114300" simplePos="0" relativeHeight="482380800" behindDoc="1" locked="0" layoutInCell="1" allowOverlap="1">
                <wp:simplePos x="0" y="0"/>
                <wp:positionH relativeFrom="page">
                  <wp:posOffset>1061085</wp:posOffset>
                </wp:positionH>
                <wp:positionV relativeFrom="paragraph">
                  <wp:posOffset>141605</wp:posOffset>
                </wp:positionV>
                <wp:extent cx="365760" cy="5715"/>
                <wp:effectExtent l="0" t="0" r="0" b="0"/>
                <wp:wrapNone/>
                <wp:docPr id="226" name="任意多边形 37"/>
                <wp:cNvGraphicFramePr/>
                <a:graphic xmlns:a="http://schemas.openxmlformats.org/drawingml/2006/main">
                  <a:graphicData uri="http://schemas.microsoft.com/office/word/2010/wordprocessingShape">
                    <wps:wsp>
                      <wps:cNvSpPr/>
                      <wps:spPr>
                        <a:xfrm>
                          <a:off x="0" y="0"/>
                          <a:ext cx="365760" cy="5715"/>
                        </a:xfrm>
                        <a:custGeom>
                          <a:avLst/>
                          <a:gdLst/>
                          <a:ahLst/>
                          <a:cxnLst/>
                          <a:pathLst>
                            <a:path w="57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7" o:spid="_x0000_s1026" o:spt="100" style="position:absolute;left:0pt;margin-left:83.55pt;margin-top:11.15pt;height:0.45pt;width:28.8pt;mso-position-horizontal-relative:page;z-index:-20935680;mso-width-relative:page;mso-height-relative:page;" filled="f" stroked="t" coordsize="576,9" o:gfxdata="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BPmNtn2QAAAAkBAAAPAAAAAAAA&#10;AAEAIAAAACIAAABkcnMvZG93bnJldi54bWxQSwECFAAUAAAACACHTuJAR7h+m7wCAADSCAAADgAA&#10;AAAAAAABACAAAAAoAQAAZHJzL2Uyb0RvYy54bWxQSwUGAAAAAAYABgBZAQAAVgYAAAAA&#10;" path="m0,0l18,9,36,0,54,9,72,0,90,9,108,0,126,9,144,0,162,9,180,0,198,9,216,0,234,9,252,0,270,9,288,0,306,9,324,0,342,9,360,0,378,9,396,0,414,9,432,0,450,9,468,0,486,9,504,0,522,9,540,0,558,9,576,0e">
                <v:fill on="f" focussize="0,0"/>
                <v:stroke weight="0.28496062992126pt" color="#00AFEF" joinstyle="round"/>
                <v:imagedata o:title=""/>
                <o:lock v:ext="edit" aspectratio="f"/>
              </v:shape>
            </w:pict>
          </mc:Fallback>
        </mc:AlternateContent>
      </w:r>
      <w:r>
        <w:rPr>
          <w:w w:val="95"/>
        </w:rPr>
        <w:t>⑤</w:t>
      </w:r>
      <w:r>
        <w:rPr>
          <w:b/>
          <w:color w:val="00AFEF"/>
          <w:spacing w:val="-3"/>
          <w:w w:val="95"/>
        </w:rPr>
        <w:t>成本类</w:t>
      </w:r>
      <w:r>
        <w:rPr>
          <w:w w:val="95"/>
        </w:rPr>
        <w:t>:对可归属于产品</w:t>
      </w:r>
      <w:r>
        <w:rPr>
          <w:color w:val="FF0000"/>
          <w:w w:val="95"/>
          <w:u w:val="double" w:color="FF0000"/>
        </w:rPr>
        <w:t>生产成本、劳务成本</w:t>
      </w:r>
      <w:r>
        <w:rPr>
          <w:w w:val="95"/>
        </w:rPr>
        <w:t xml:space="preserve">等的具体内容进行分类核算的科目（合同取得成本、合同履约 </w:t>
      </w:r>
      <w:r>
        <w:t>成本）</w:t>
      </w:r>
    </w:p>
    <w:p>
      <w:pPr>
        <w:pStyle w:val="6"/>
        <w:spacing w:before="2" w:line="304" w:lineRule="auto"/>
        <w:ind w:left="322" w:right="761" w:firstLine="400"/>
      </w:pPr>
      <w:r>
        <mc:AlternateContent>
          <mc:Choice Requires="wps">
            <w:drawing>
              <wp:anchor distT="0" distB="0" distL="114300" distR="114300" simplePos="0" relativeHeight="482380800" behindDoc="1" locked="0" layoutInCell="1" allowOverlap="1">
                <wp:simplePos x="0" y="0"/>
                <wp:positionH relativeFrom="page">
                  <wp:posOffset>1068705</wp:posOffset>
                </wp:positionH>
                <wp:positionV relativeFrom="paragraph">
                  <wp:posOffset>139065</wp:posOffset>
                </wp:positionV>
                <wp:extent cx="377190" cy="5715"/>
                <wp:effectExtent l="0" t="0" r="0" b="0"/>
                <wp:wrapNone/>
                <wp:docPr id="225" name="任意多边形 38"/>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8" o:spid="_x0000_s1026" o:spt="100" style="position:absolute;left:0pt;margin-left:84.15pt;margin-top:10.95pt;height:0.45pt;width:29.7pt;mso-position-horizontal-relative:page;z-index:-20935680;mso-width-relative:page;mso-height-relative:page;" filled="f" stroked="t" coordsize="594,9" o:gfxdata="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hvS+NtUAAAAJAQAADwAAAAAAAAAB&#10;ACAAAAAiAAAAZHJzL2Rvd25yZXYueG1sUEsBAhQAFAAAAAgAh07iQN39FJO+AgAA+AgAAA4AAAAA&#10;AAAAAQAgAAAAJAEAAGRycy9lMm9Eb2MueG1sUEsFBgAAAAAGAAYAWQEAAFQGA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15747072" behindDoc="0" locked="0" layoutInCell="1" allowOverlap="1">
                <wp:simplePos x="0" y="0"/>
                <wp:positionH relativeFrom="page">
                  <wp:posOffset>615950</wp:posOffset>
                </wp:positionH>
                <wp:positionV relativeFrom="paragraph">
                  <wp:posOffset>370840</wp:posOffset>
                </wp:positionV>
                <wp:extent cx="6409055" cy="2346960"/>
                <wp:effectExtent l="0" t="0" r="0" b="0"/>
                <wp:wrapNone/>
                <wp:docPr id="26" name="文本框 39"/>
                <wp:cNvGraphicFramePr/>
                <a:graphic xmlns:a="http://schemas.openxmlformats.org/drawingml/2006/main">
                  <a:graphicData uri="http://schemas.microsoft.com/office/word/2010/wordprocessingShape">
                    <wps:wsp>
                      <wps:cNvSpPr txBox="1"/>
                      <wps:spPr>
                        <a:xfrm>
                          <a:off x="0" y="0"/>
                          <a:ext cx="6409055" cy="234696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3"/>
                              <w:gridCol w:w="1680"/>
                              <w:gridCol w:w="2685"/>
                              <w:gridCol w:w="4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73" w:type="dxa"/>
                                  <w:vMerge w:val="restart"/>
                                </w:tcPr>
                                <w:p>
                                  <w:pPr>
                                    <w:pStyle w:val="14"/>
                                    <w:spacing w:before="7"/>
                                    <w:rPr>
                                      <w:sz w:val="18"/>
                                    </w:rPr>
                                  </w:pPr>
                                </w:p>
                                <w:p>
                                  <w:pPr>
                                    <w:pStyle w:val="14"/>
                                    <w:ind w:left="284"/>
                                    <w:rPr>
                                      <w:sz w:val="20"/>
                                    </w:rPr>
                                  </w:pPr>
                                  <w:r>
                                    <w:rPr>
                                      <w:sz w:val="20"/>
                                    </w:rPr>
                                    <w:t>资产</w:t>
                                  </w:r>
                                </w:p>
                              </w:tc>
                              <w:tc>
                                <w:tcPr>
                                  <w:tcW w:w="1680" w:type="dxa"/>
                                  <w:vMerge w:val="restart"/>
                                </w:tcPr>
                                <w:p>
                                  <w:pPr>
                                    <w:pStyle w:val="14"/>
                                    <w:spacing w:before="7"/>
                                    <w:rPr>
                                      <w:sz w:val="18"/>
                                    </w:rPr>
                                  </w:pPr>
                                </w:p>
                                <w:p>
                                  <w:pPr>
                                    <w:pStyle w:val="14"/>
                                    <w:ind w:left="540"/>
                                    <w:rPr>
                                      <w:sz w:val="20"/>
                                    </w:rPr>
                                  </w:pPr>
                                  <w:r>
                                    <w:rPr>
                                      <w:sz w:val="20"/>
                                    </w:rPr>
                                    <w:t>流动性</w:t>
                                  </w:r>
                                </w:p>
                              </w:tc>
                              <w:tc>
                                <w:tcPr>
                                  <w:tcW w:w="2685" w:type="dxa"/>
                                </w:tcPr>
                                <w:p>
                                  <w:pPr>
                                    <w:pStyle w:val="14"/>
                                    <w:spacing w:before="70" w:line="236" w:lineRule="exact"/>
                                    <w:ind w:left="442"/>
                                    <w:rPr>
                                      <w:sz w:val="20"/>
                                    </w:rPr>
                                  </w:pPr>
                                  <w:r>
                                    <w:rPr>
                                      <w:sz w:val="20"/>
                                    </w:rPr>
                                    <w:t>反映流动资产的科目</w:t>
                                  </w:r>
                                </w:p>
                              </w:tc>
                              <w:tc>
                                <w:tcPr>
                                  <w:tcW w:w="4740" w:type="dxa"/>
                                </w:tcPr>
                                <w:p>
                                  <w:pPr>
                                    <w:pStyle w:val="14"/>
                                    <w:spacing w:before="70" w:line="236" w:lineRule="exact"/>
                                    <w:ind w:right="1359"/>
                                    <w:jc w:val="right"/>
                                    <w:rPr>
                                      <w:sz w:val="20"/>
                                    </w:rPr>
                                  </w:pPr>
                                  <w:r>
                                    <w:rPr>
                                      <w:w w:val="95"/>
                                      <w:sz w:val="20"/>
                                    </w:rPr>
                                    <w:t>库存现金、应收账款等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69" w:line="236" w:lineRule="exact"/>
                                    <w:ind w:right="332"/>
                                    <w:jc w:val="right"/>
                                    <w:rPr>
                                      <w:sz w:val="20"/>
                                    </w:rPr>
                                  </w:pPr>
                                  <w:r>
                                    <w:rPr>
                                      <w:w w:val="95"/>
                                      <w:sz w:val="20"/>
                                    </w:rPr>
                                    <w:t>反映非流动资产的科目</w:t>
                                  </w:r>
                                </w:p>
                              </w:tc>
                              <w:tc>
                                <w:tcPr>
                                  <w:tcW w:w="4740" w:type="dxa"/>
                                </w:tcPr>
                                <w:p>
                                  <w:pPr>
                                    <w:pStyle w:val="14"/>
                                    <w:spacing w:before="69" w:line="236" w:lineRule="exact"/>
                                    <w:ind w:right="1359"/>
                                    <w:jc w:val="right"/>
                                    <w:rPr>
                                      <w:sz w:val="20"/>
                                    </w:rPr>
                                  </w:pPr>
                                  <w:r>
                                    <w:rPr>
                                      <w:w w:val="95"/>
                                      <w:sz w:val="20"/>
                                    </w:rPr>
                                    <w:t>无形资产、固定资产等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73" w:type="dxa"/>
                                  <w:vMerge w:val="restart"/>
                                </w:tcPr>
                                <w:p>
                                  <w:pPr>
                                    <w:pStyle w:val="14"/>
                                    <w:spacing w:before="7"/>
                                    <w:rPr>
                                      <w:sz w:val="18"/>
                                    </w:rPr>
                                  </w:pPr>
                                </w:p>
                                <w:p>
                                  <w:pPr>
                                    <w:pStyle w:val="14"/>
                                    <w:ind w:left="284"/>
                                    <w:rPr>
                                      <w:sz w:val="20"/>
                                    </w:rPr>
                                  </w:pPr>
                                  <w:r>
                                    <w:rPr>
                                      <w:sz w:val="20"/>
                                    </w:rPr>
                                    <w:t>负债</w:t>
                                  </w:r>
                                </w:p>
                              </w:tc>
                              <w:tc>
                                <w:tcPr>
                                  <w:tcW w:w="1680" w:type="dxa"/>
                                  <w:vMerge w:val="restart"/>
                                </w:tcPr>
                                <w:p>
                                  <w:pPr>
                                    <w:pStyle w:val="14"/>
                                    <w:spacing w:before="7"/>
                                    <w:rPr>
                                      <w:sz w:val="18"/>
                                    </w:rPr>
                                  </w:pPr>
                                </w:p>
                                <w:p>
                                  <w:pPr>
                                    <w:pStyle w:val="14"/>
                                    <w:ind w:left="439"/>
                                    <w:rPr>
                                      <w:sz w:val="20"/>
                                    </w:rPr>
                                  </w:pPr>
                                  <w:r>
                                    <w:rPr>
                                      <w:sz w:val="20"/>
                                    </w:rPr>
                                    <w:t>偿还期限</w:t>
                                  </w:r>
                                </w:p>
                              </w:tc>
                              <w:tc>
                                <w:tcPr>
                                  <w:tcW w:w="2685" w:type="dxa"/>
                                </w:tcPr>
                                <w:p>
                                  <w:pPr>
                                    <w:pStyle w:val="14"/>
                                    <w:spacing w:before="70" w:line="236" w:lineRule="exact"/>
                                    <w:ind w:left="442"/>
                                    <w:rPr>
                                      <w:sz w:val="20"/>
                                    </w:rPr>
                                  </w:pPr>
                                  <w:r>
                                    <w:rPr>
                                      <w:sz w:val="20"/>
                                    </w:rPr>
                                    <w:t>反映流动负债的科目</w:t>
                                  </w:r>
                                </w:p>
                              </w:tc>
                              <w:tc>
                                <w:tcPr>
                                  <w:tcW w:w="4740" w:type="dxa"/>
                                </w:tcPr>
                                <w:p>
                                  <w:pPr>
                                    <w:pStyle w:val="14"/>
                                    <w:spacing w:before="70" w:line="236" w:lineRule="exact"/>
                                    <w:ind w:right="1359"/>
                                    <w:jc w:val="right"/>
                                    <w:rPr>
                                      <w:sz w:val="20"/>
                                    </w:rPr>
                                  </w:pPr>
                                  <w:r>
                                    <w:rPr>
                                      <w:w w:val="95"/>
                                      <w:sz w:val="20"/>
                                    </w:rPr>
                                    <w:t>短期借款、应付账款等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69" w:line="236" w:lineRule="exact"/>
                                    <w:ind w:right="332"/>
                                    <w:jc w:val="right"/>
                                    <w:rPr>
                                      <w:sz w:val="20"/>
                                    </w:rPr>
                                  </w:pPr>
                                  <w:r>
                                    <w:rPr>
                                      <w:w w:val="95"/>
                                      <w:sz w:val="20"/>
                                    </w:rPr>
                                    <w:t>反映非流动负债的科目</w:t>
                                  </w:r>
                                </w:p>
                              </w:tc>
                              <w:tc>
                                <w:tcPr>
                                  <w:tcW w:w="4740" w:type="dxa"/>
                                </w:tcPr>
                                <w:p>
                                  <w:pPr>
                                    <w:pStyle w:val="14"/>
                                    <w:spacing w:before="69" w:line="236" w:lineRule="exact"/>
                                    <w:ind w:right="1359"/>
                                    <w:jc w:val="right"/>
                                    <w:rPr>
                                      <w:sz w:val="20"/>
                                    </w:rPr>
                                  </w:pPr>
                                  <w:r>
                                    <w:rPr>
                                      <w:w w:val="95"/>
                                      <w:sz w:val="20"/>
                                    </w:rPr>
                                    <w:t>长期借款、应付债券等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973" w:type="dxa"/>
                                </w:tcPr>
                                <w:p>
                                  <w:pPr>
                                    <w:pStyle w:val="14"/>
                                    <w:spacing w:before="2"/>
                                    <w:rPr>
                                      <w:sz w:val="18"/>
                                    </w:rPr>
                                  </w:pPr>
                                </w:p>
                                <w:p>
                                  <w:pPr>
                                    <w:pStyle w:val="14"/>
                                    <w:ind w:right="278"/>
                                    <w:jc w:val="right"/>
                                    <w:rPr>
                                      <w:sz w:val="20"/>
                                    </w:rPr>
                                  </w:pPr>
                                  <w:r>
                                    <w:rPr>
                                      <w:w w:val="95"/>
                                      <w:sz w:val="20"/>
                                    </w:rPr>
                                    <w:t>共同</w:t>
                                  </w:r>
                                </w:p>
                              </w:tc>
                              <w:tc>
                                <w:tcPr>
                                  <w:tcW w:w="4365" w:type="dxa"/>
                                  <w:gridSpan w:val="2"/>
                                </w:tcPr>
                                <w:p>
                                  <w:pPr>
                                    <w:pStyle w:val="14"/>
                                    <w:spacing w:before="2"/>
                                    <w:rPr>
                                      <w:sz w:val="18"/>
                                    </w:rPr>
                                  </w:pPr>
                                </w:p>
                                <w:p>
                                  <w:pPr>
                                    <w:pStyle w:val="14"/>
                                    <w:ind w:left="881"/>
                                    <w:rPr>
                                      <w:sz w:val="20"/>
                                    </w:rPr>
                                  </w:pPr>
                                  <w:r>
                                    <w:rPr>
                                      <w:sz w:val="20"/>
                                    </w:rPr>
                                    <w:t>既有资产性质、又有负债性质</w:t>
                                  </w:r>
                                </w:p>
                              </w:tc>
                              <w:tc>
                                <w:tcPr>
                                  <w:tcW w:w="4740" w:type="dxa"/>
                                </w:tcPr>
                                <w:p>
                                  <w:pPr>
                                    <w:pStyle w:val="14"/>
                                    <w:spacing w:before="9" w:line="326" w:lineRule="exact"/>
                                    <w:ind w:left="106" w:right="97"/>
                                    <w:rPr>
                                      <w:sz w:val="20"/>
                                    </w:rPr>
                                  </w:pPr>
                                  <w:r>
                                    <w:rPr>
                                      <w:spacing w:val="-7"/>
                                      <w:w w:val="95"/>
                                      <w:sz w:val="20"/>
                                    </w:rPr>
                                    <w:t xml:space="preserve">清算资金往来、外汇买卖、衍生工具、套期工具、被 </w:t>
                                  </w:r>
                                  <w:r>
                                    <w:rPr>
                                      <w:spacing w:val="-7"/>
                                      <w:sz w:val="20"/>
                                    </w:rPr>
                                    <w:t>套期项目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973" w:type="dxa"/>
                                  <w:vMerge w:val="restart"/>
                                </w:tcPr>
                                <w:p>
                                  <w:pPr>
                                    <w:pStyle w:val="14"/>
                                    <w:spacing w:before="7" w:line="324" w:lineRule="exact"/>
                                    <w:ind w:left="284" w:right="174" w:hanging="99"/>
                                    <w:rPr>
                                      <w:sz w:val="20"/>
                                    </w:rPr>
                                  </w:pPr>
                                  <w:r>
                                    <w:rPr>
                                      <w:sz w:val="20"/>
                                    </w:rPr>
                                    <w:t>所有者权益</w:t>
                                  </w:r>
                                </w:p>
                              </w:tc>
                              <w:tc>
                                <w:tcPr>
                                  <w:tcW w:w="1680" w:type="dxa"/>
                                  <w:vMerge w:val="restart"/>
                                </w:tcPr>
                                <w:p>
                                  <w:pPr>
                                    <w:pStyle w:val="14"/>
                                    <w:spacing w:before="11"/>
                                    <w:rPr>
                                      <w:sz w:val="17"/>
                                    </w:rPr>
                                  </w:pPr>
                                </w:p>
                                <w:p>
                                  <w:pPr>
                                    <w:pStyle w:val="14"/>
                                    <w:ind w:left="338"/>
                                    <w:rPr>
                                      <w:sz w:val="20"/>
                                    </w:rPr>
                                  </w:pPr>
                                  <w:r>
                                    <w:rPr>
                                      <w:sz w:val="20"/>
                                    </w:rPr>
                                    <w:t>形成和性质</w:t>
                                  </w:r>
                                </w:p>
                              </w:tc>
                              <w:tc>
                                <w:tcPr>
                                  <w:tcW w:w="2685" w:type="dxa"/>
                                </w:tcPr>
                                <w:p>
                                  <w:pPr>
                                    <w:pStyle w:val="14"/>
                                    <w:spacing w:before="61" w:line="236" w:lineRule="exact"/>
                                    <w:ind w:left="108"/>
                                    <w:rPr>
                                      <w:sz w:val="20"/>
                                    </w:rPr>
                                  </w:pPr>
                                  <w:r>
                                    <w:rPr>
                                      <w:sz w:val="20"/>
                                    </w:rPr>
                                    <w:t>反映资本</w:t>
                                  </w:r>
                                </w:p>
                              </w:tc>
                              <w:tc>
                                <w:tcPr>
                                  <w:tcW w:w="4740" w:type="dxa"/>
                                </w:tcPr>
                                <w:p>
                                  <w:pPr>
                                    <w:pStyle w:val="14"/>
                                    <w:spacing w:before="61" w:line="236" w:lineRule="exact"/>
                                    <w:ind w:left="106"/>
                                    <w:rPr>
                                      <w:sz w:val="20"/>
                                    </w:rPr>
                                  </w:pPr>
                                  <w:r>
                                    <w:rPr>
                                      <w:sz w:val="20"/>
                                    </w:rPr>
                                    <w:t>实收资本（股本</w:t>
                                  </w:r>
                                  <w:r>
                                    <w:rPr>
                                      <w:spacing w:val="-101"/>
                                      <w:sz w:val="20"/>
                                    </w:rPr>
                                    <w:t>）</w:t>
                                  </w:r>
                                  <w:r>
                                    <w:rPr>
                                      <w:sz w:val="20"/>
                                    </w:rPr>
                                    <w:t>、资本公积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70" w:line="236" w:lineRule="exact"/>
                                    <w:ind w:left="108"/>
                                    <w:rPr>
                                      <w:sz w:val="20"/>
                                    </w:rPr>
                                  </w:pPr>
                                  <w:r>
                                    <w:rPr>
                                      <w:sz w:val="20"/>
                                    </w:rPr>
                                    <w:t>反映留存收益</w:t>
                                  </w:r>
                                </w:p>
                              </w:tc>
                              <w:tc>
                                <w:tcPr>
                                  <w:tcW w:w="4740" w:type="dxa"/>
                                </w:tcPr>
                                <w:p>
                                  <w:pPr>
                                    <w:pStyle w:val="14"/>
                                    <w:spacing w:before="70" w:line="236" w:lineRule="exact"/>
                                    <w:ind w:left="106"/>
                                    <w:rPr>
                                      <w:sz w:val="20"/>
                                    </w:rPr>
                                  </w:pPr>
                                  <w:r>
                                    <w:rPr>
                                      <w:sz w:val="20"/>
                                    </w:rPr>
                                    <w:t>盈余公积、本年利润、利润分配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973" w:type="dxa"/>
                                </w:tcPr>
                                <w:p>
                                  <w:pPr>
                                    <w:pStyle w:val="14"/>
                                    <w:spacing w:before="68" w:line="236" w:lineRule="exact"/>
                                    <w:ind w:right="278"/>
                                    <w:jc w:val="right"/>
                                    <w:rPr>
                                      <w:sz w:val="20"/>
                                    </w:rPr>
                                  </w:pPr>
                                  <w:r>
                                    <w:rPr>
                                      <w:w w:val="95"/>
                                      <w:sz w:val="20"/>
                                    </w:rPr>
                                    <w:t>成本</w:t>
                                  </w:r>
                                </w:p>
                              </w:tc>
                              <w:tc>
                                <w:tcPr>
                                  <w:tcW w:w="1680" w:type="dxa"/>
                                </w:tcPr>
                                <w:p>
                                  <w:pPr>
                                    <w:pStyle w:val="14"/>
                                    <w:spacing w:before="68" w:line="236" w:lineRule="exact"/>
                                    <w:ind w:left="338"/>
                                    <w:rPr>
                                      <w:sz w:val="20"/>
                                    </w:rPr>
                                  </w:pPr>
                                  <w:r>
                                    <w:rPr>
                                      <w:sz w:val="20"/>
                                    </w:rPr>
                                    <w:t>内容和性质</w:t>
                                  </w:r>
                                </w:p>
                              </w:tc>
                              <w:tc>
                                <w:tcPr>
                                  <w:tcW w:w="7425" w:type="dxa"/>
                                  <w:gridSpan w:val="2"/>
                                </w:tcPr>
                                <w:p>
                                  <w:pPr>
                                    <w:pStyle w:val="14"/>
                                    <w:spacing w:before="68" w:line="236" w:lineRule="exact"/>
                                    <w:ind w:left="108"/>
                                    <w:rPr>
                                      <w:b/>
                                      <w:sz w:val="20"/>
                                    </w:rPr>
                                  </w:pPr>
                                  <w:r>
                                    <w:rPr>
                                      <w:b/>
                                      <w:sz w:val="20"/>
                                    </w:rPr>
                                    <w:t>生产成本、制造费用、劳务成本、合同取得成本、合同履约成本、研发支出等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restart"/>
                                </w:tcPr>
                                <w:p>
                                  <w:pPr>
                                    <w:pStyle w:val="14"/>
                                    <w:spacing w:before="7"/>
                                    <w:rPr>
                                      <w:sz w:val="18"/>
                                    </w:rPr>
                                  </w:pPr>
                                </w:p>
                                <w:p>
                                  <w:pPr>
                                    <w:pStyle w:val="14"/>
                                    <w:ind w:left="284"/>
                                    <w:rPr>
                                      <w:sz w:val="20"/>
                                    </w:rPr>
                                  </w:pPr>
                                  <w:r>
                                    <w:rPr>
                                      <w:sz w:val="20"/>
                                    </w:rPr>
                                    <w:t>损益</w:t>
                                  </w:r>
                                </w:p>
                              </w:tc>
                              <w:tc>
                                <w:tcPr>
                                  <w:tcW w:w="1680" w:type="dxa"/>
                                  <w:vMerge w:val="restart"/>
                                </w:tcPr>
                                <w:p>
                                  <w:pPr>
                                    <w:pStyle w:val="14"/>
                                    <w:spacing w:before="7"/>
                                    <w:rPr>
                                      <w:sz w:val="18"/>
                                    </w:rPr>
                                  </w:pPr>
                                </w:p>
                                <w:p>
                                  <w:pPr>
                                    <w:pStyle w:val="14"/>
                                    <w:ind w:left="139"/>
                                    <w:rPr>
                                      <w:sz w:val="20"/>
                                    </w:rPr>
                                  </w:pPr>
                                  <w:r>
                                    <w:rPr>
                                      <w:sz w:val="20"/>
                                    </w:rPr>
                                    <w:t>损益的不同内容</w:t>
                                  </w:r>
                                </w:p>
                              </w:tc>
                              <w:tc>
                                <w:tcPr>
                                  <w:tcW w:w="2685" w:type="dxa"/>
                                </w:tcPr>
                                <w:p>
                                  <w:pPr>
                                    <w:pStyle w:val="14"/>
                                    <w:spacing w:before="70" w:line="236" w:lineRule="exact"/>
                                    <w:ind w:left="108"/>
                                    <w:rPr>
                                      <w:sz w:val="20"/>
                                    </w:rPr>
                                  </w:pPr>
                                  <w:r>
                                    <w:rPr>
                                      <w:sz w:val="20"/>
                                    </w:rPr>
                                    <w:t>反映收入</w:t>
                                  </w:r>
                                </w:p>
                              </w:tc>
                              <w:tc>
                                <w:tcPr>
                                  <w:tcW w:w="4740" w:type="dxa"/>
                                </w:tcPr>
                                <w:p>
                                  <w:pPr>
                                    <w:pStyle w:val="14"/>
                                    <w:spacing w:before="70" w:line="236" w:lineRule="exact"/>
                                    <w:ind w:left="106"/>
                                    <w:rPr>
                                      <w:sz w:val="20"/>
                                    </w:rPr>
                                  </w:pPr>
                                  <w:r>
                                    <w:rPr>
                                      <w:sz w:val="20"/>
                                    </w:rPr>
                                    <w:t>主营业务收入、其他业务收入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70" w:line="236" w:lineRule="exact"/>
                                    <w:ind w:left="108"/>
                                    <w:rPr>
                                      <w:sz w:val="20"/>
                                    </w:rPr>
                                  </w:pPr>
                                  <w:r>
                                    <w:rPr>
                                      <w:sz w:val="20"/>
                                    </w:rPr>
                                    <w:t>反映费用</w:t>
                                  </w:r>
                                </w:p>
                              </w:tc>
                              <w:tc>
                                <w:tcPr>
                                  <w:tcW w:w="4740" w:type="dxa"/>
                                </w:tcPr>
                                <w:p>
                                  <w:pPr>
                                    <w:pStyle w:val="14"/>
                                    <w:spacing w:before="70" w:line="236" w:lineRule="exact"/>
                                    <w:ind w:left="106"/>
                                    <w:rPr>
                                      <w:sz w:val="20"/>
                                    </w:rPr>
                                  </w:pPr>
                                  <w:r>
                                    <w:rPr>
                                      <w:sz w:val="20"/>
                                    </w:rPr>
                                    <w:t>主营业务成本、销售费用</w:t>
                                  </w:r>
                                </w:p>
                              </w:tc>
                            </w:tr>
                          </w:tbl>
                          <w:p>
                            <w:pPr>
                              <w:pStyle w:val="6"/>
                              <w:spacing w:before="0"/>
                              <w:ind w:left="0"/>
                            </w:pPr>
                          </w:p>
                        </w:txbxContent>
                      </wps:txbx>
                      <wps:bodyPr lIns="0" tIns="0" rIns="0" bIns="0" upright="1"/>
                    </wps:wsp>
                  </a:graphicData>
                </a:graphic>
              </wp:anchor>
            </w:drawing>
          </mc:Choice>
          <mc:Fallback>
            <w:pict>
              <v:shape id="文本框 39" o:spid="_x0000_s1026" o:spt="202" type="#_x0000_t202" style="position:absolute;left:0pt;margin-left:48.5pt;margin-top:29.2pt;height:184.8pt;width:504.65pt;mso-position-horizontal-relative:page;z-index:15747072;mso-width-relative:page;mso-height-relative:page;" filled="f" stroked="f" coordsize="21600,21600" o:gfxdata="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55WgHZAAAACgEAAA8A&#10;AAAAAAAAAQAgAAAAIgAAAGRycy9kb3ducmV2LnhtbFBLAQIUABQAAAAIAIdO4kBXkwlRpAEAACcD&#10;AAAOAAAAAAAAAAEAIAAAACg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3"/>
                        <w:gridCol w:w="1680"/>
                        <w:gridCol w:w="2685"/>
                        <w:gridCol w:w="47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73" w:type="dxa"/>
                            <w:vMerge w:val="restart"/>
                          </w:tcPr>
                          <w:p>
                            <w:pPr>
                              <w:pStyle w:val="14"/>
                              <w:spacing w:before="7"/>
                              <w:rPr>
                                <w:sz w:val="18"/>
                              </w:rPr>
                            </w:pPr>
                          </w:p>
                          <w:p>
                            <w:pPr>
                              <w:pStyle w:val="14"/>
                              <w:ind w:left="284"/>
                              <w:rPr>
                                <w:sz w:val="20"/>
                              </w:rPr>
                            </w:pPr>
                            <w:r>
                              <w:rPr>
                                <w:sz w:val="20"/>
                              </w:rPr>
                              <w:t>资产</w:t>
                            </w:r>
                          </w:p>
                        </w:tc>
                        <w:tc>
                          <w:tcPr>
                            <w:tcW w:w="1680" w:type="dxa"/>
                            <w:vMerge w:val="restart"/>
                          </w:tcPr>
                          <w:p>
                            <w:pPr>
                              <w:pStyle w:val="14"/>
                              <w:spacing w:before="7"/>
                              <w:rPr>
                                <w:sz w:val="18"/>
                              </w:rPr>
                            </w:pPr>
                          </w:p>
                          <w:p>
                            <w:pPr>
                              <w:pStyle w:val="14"/>
                              <w:ind w:left="540"/>
                              <w:rPr>
                                <w:sz w:val="20"/>
                              </w:rPr>
                            </w:pPr>
                            <w:r>
                              <w:rPr>
                                <w:sz w:val="20"/>
                              </w:rPr>
                              <w:t>流动性</w:t>
                            </w:r>
                          </w:p>
                        </w:tc>
                        <w:tc>
                          <w:tcPr>
                            <w:tcW w:w="2685" w:type="dxa"/>
                          </w:tcPr>
                          <w:p>
                            <w:pPr>
                              <w:pStyle w:val="14"/>
                              <w:spacing w:before="70" w:line="236" w:lineRule="exact"/>
                              <w:ind w:left="442"/>
                              <w:rPr>
                                <w:sz w:val="20"/>
                              </w:rPr>
                            </w:pPr>
                            <w:r>
                              <w:rPr>
                                <w:sz w:val="20"/>
                              </w:rPr>
                              <w:t>反映流动资产的科目</w:t>
                            </w:r>
                          </w:p>
                        </w:tc>
                        <w:tc>
                          <w:tcPr>
                            <w:tcW w:w="4740" w:type="dxa"/>
                          </w:tcPr>
                          <w:p>
                            <w:pPr>
                              <w:pStyle w:val="14"/>
                              <w:spacing w:before="70" w:line="236" w:lineRule="exact"/>
                              <w:ind w:right="1359"/>
                              <w:jc w:val="right"/>
                              <w:rPr>
                                <w:sz w:val="20"/>
                              </w:rPr>
                            </w:pPr>
                            <w:r>
                              <w:rPr>
                                <w:w w:val="95"/>
                                <w:sz w:val="20"/>
                              </w:rPr>
                              <w:t>库存现金、应收账款等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69" w:line="236" w:lineRule="exact"/>
                              <w:ind w:right="332"/>
                              <w:jc w:val="right"/>
                              <w:rPr>
                                <w:sz w:val="20"/>
                              </w:rPr>
                            </w:pPr>
                            <w:r>
                              <w:rPr>
                                <w:w w:val="95"/>
                                <w:sz w:val="20"/>
                              </w:rPr>
                              <w:t>反映非流动资产的科目</w:t>
                            </w:r>
                          </w:p>
                        </w:tc>
                        <w:tc>
                          <w:tcPr>
                            <w:tcW w:w="4740" w:type="dxa"/>
                          </w:tcPr>
                          <w:p>
                            <w:pPr>
                              <w:pStyle w:val="14"/>
                              <w:spacing w:before="69" w:line="236" w:lineRule="exact"/>
                              <w:ind w:right="1359"/>
                              <w:jc w:val="right"/>
                              <w:rPr>
                                <w:sz w:val="20"/>
                              </w:rPr>
                            </w:pPr>
                            <w:r>
                              <w:rPr>
                                <w:w w:val="95"/>
                                <w:sz w:val="20"/>
                              </w:rPr>
                              <w:t>无形资产、固定资产等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73" w:type="dxa"/>
                            <w:vMerge w:val="restart"/>
                          </w:tcPr>
                          <w:p>
                            <w:pPr>
                              <w:pStyle w:val="14"/>
                              <w:spacing w:before="7"/>
                              <w:rPr>
                                <w:sz w:val="18"/>
                              </w:rPr>
                            </w:pPr>
                          </w:p>
                          <w:p>
                            <w:pPr>
                              <w:pStyle w:val="14"/>
                              <w:ind w:left="284"/>
                              <w:rPr>
                                <w:sz w:val="20"/>
                              </w:rPr>
                            </w:pPr>
                            <w:r>
                              <w:rPr>
                                <w:sz w:val="20"/>
                              </w:rPr>
                              <w:t>负债</w:t>
                            </w:r>
                          </w:p>
                        </w:tc>
                        <w:tc>
                          <w:tcPr>
                            <w:tcW w:w="1680" w:type="dxa"/>
                            <w:vMerge w:val="restart"/>
                          </w:tcPr>
                          <w:p>
                            <w:pPr>
                              <w:pStyle w:val="14"/>
                              <w:spacing w:before="7"/>
                              <w:rPr>
                                <w:sz w:val="18"/>
                              </w:rPr>
                            </w:pPr>
                          </w:p>
                          <w:p>
                            <w:pPr>
                              <w:pStyle w:val="14"/>
                              <w:ind w:left="439"/>
                              <w:rPr>
                                <w:sz w:val="20"/>
                              </w:rPr>
                            </w:pPr>
                            <w:r>
                              <w:rPr>
                                <w:sz w:val="20"/>
                              </w:rPr>
                              <w:t>偿还期限</w:t>
                            </w:r>
                          </w:p>
                        </w:tc>
                        <w:tc>
                          <w:tcPr>
                            <w:tcW w:w="2685" w:type="dxa"/>
                          </w:tcPr>
                          <w:p>
                            <w:pPr>
                              <w:pStyle w:val="14"/>
                              <w:spacing w:before="70" w:line="236" w:lineRule="exact"/>
                              <w:ind w:left="442"/>
                              <w:rPr>
                                <w:sz w:val="20"/>
                              </w:rPr>
                            </w:pPr>
                            <w:r>
                              <w:rPr>
                                <w:sz w:val="20"/>
                              </w:rPr>
                              <w:t>反映流动负债的科目</w:t>
                            </w:r>
                          </w:p>
                        </w:tc>
                        <w:tc>
                          <w:tcPr>
                            <w:tcW w:w="4740" w:type="dxa"/>
                          </w:tcPr>
                          <w:p>
                            <w:pPr>
                              <w:pStyle w:val="14"/>
                              <w:spacing w:before="70" w:line="236" w:lineRule="exact"/>
                              <w:ind w:right="1359"/>
                              <w:jc w:val="right"/>
                              <w:rPr>
                                <w:sz w:val="20"/>
                              </w:rPr>
                            </w:pPr>
                            <w:r>
                              <w:rPr>
                                <w:w w:val="95"/>
                                <w:sz w:val="20"/>
                              </w:rPr>
                              <w:t>短期借款、应付账款等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69" w:line="236" w:lineRule="exact"/>
                              <w:ind w:right="332"/>
                              <w:jc w:val="right"/>
                              <w:rPr>
                                <w:sz w:val="20"/>
                              </w:rPr>
                            </w:pPr>
                            <w:r>
                              <w:rPr>
                                <w:w w:val="95"/>
                                <w:sz w:val="20"/>
                              </w:rPr>
                              <w:t>反映非流动负债的科目</w:t>
                            </w:r>
                          </w:p>
                        </w:tc>
                        <w:tc>
                          <w:tcPr>
                            <w:tcW w:w="4740" w:type="dxa"/>
                          </w:tcPr>
                          <w:p>
                            <w:pPr>
                              <w:pStyle w:val="14"/>
                              <w:spacing w:before="69" w:line="236" w:lineRule="exact"/>
                              <w:ind w:right="1359"/>
                              <w:jc w:val="right"/>
                              <w:rPr>
                                <w:sz w:val="20"/>
                              </w:rPr>
                            </w:pPr>
                            <w:r>
                              <w:rPr>
                                <w:w w:val="95"/>
                                <w:sz w:val="20"/>
                              </w:rPr>
                              <w:t>长期借款、应付债券等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973" w:type="dxa"/>
                          </w:tcPr>
                          <w:p>
                            <w:pPr>
                              <w:pStyle w:val="14"/>
                              <w:spacing w:before="2"/>
                              <w:rPr>
                                <w:sz w:val="18"/>
                              </w:rPr>
                            </w:pPr>
                          </w:p>
                          <w:p>
                            <w:pPr>
                              <w:pStyle w:val="14"/>
                              <w:ind w:right="278"/>
                              <w:jc w:val="right"/>
                              <w:rPr>
                                <w:sz w:val="20"/>
                              </w:rPr>
                            </w:pPr>
                            <w:r>
                              <w:rPr>
                                <w:w w:val="95"/>
                                <w:sz w:val="20"/>
                              </w:rPr>
                              <w:t>共同</w:t>
                            </w:r>
                          </w:p>
                        </w:tc>
                        <w:tc>
                          <w:tcPr>
                            <w:tcW w:w="4365" w:type="dxa"/>
                            <w:gridSpan w:val="2"/>
                          </w:tcPr>
                          <w:p>
                            <w:pPr>
                              <w:pStyle w:val="14"/>
                              <w:spacing w:before="2"/>
                              <w:rPr>
                                <w:sz w:val="18"/>
                              </w:rPr>
                            </w:pPr>
                          </w:p>
                          <w:p>
                            <w:pPr>
                              <w:pStyle w:val="14"/>
                              <w:ind w:left="881"/>
                              <w:rPr>
                                <w:sz w:val="20"/>
                              </w:rPr>
                            </w:pPr>
                            <w:r>
                              <w:rPr>
                                <w:sz w:val="20"/>
                              </w:rPr>
                              <w:t>既有资产性质、又有负债性质</w:t>
                            </w:r>
                          </w:p>
                        </w:tc>
                        <w:tc>
                          <w:tcPr>
                            <w:tcW w:w="4740" w:type="dxa"/>
                          </w:tcPr>
                          <w:p>
                            <w:pPr>
                              <w:pStyle w:val="14"/>
                              <w:spacing w:before="9" w:line="326" w:lineRule="exact"/>
                              <w:ind w:left="106" w:right="97"/>
                              <w:rPr>
                                <w:sz w:val="20"/>
                              </w:rPr>
                            </w:pPr>
                            <w:r>
                              <w:rPr>
                                <w:spacing w:val="-7"/>
                                <w:w w:val="95"/>
                                <w:sz w:val="20"/>
                              </w:rPr>
                              <w:t xml:space="preserve">清算资金往来、外汇买卖、衍生工具、套期工具、被 </w:t>
                            </w:r>
                            <w:r>
                              <w:rPr>
                                <w:spacing w:val="-7"/>
                                <w:sz w:val="20"/>
                              </w:rPr>
                              <w:t>套期项目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973" w:type="dxa"/>
                            <w:vMerge w:val="restart"/>
                          </w:tcPr>
                          <w:p>
                            <w:pPr>
                              <w:pStyle w:val="14"/>
                              <w:spacing w:before="7" w:line="324" w:lineRule="exact"/>
                              <w:ind w:left="284" w:right="174" w:hanging="99"/>
                              <w:rPr>
                                <w:sz w:val="20"/>
                              </w:rPr>
                            </w:pPr>
                            <w:r>
                              <w:rPr>
                                <w:sz w:val="20"/>
                              </w:rPr>
                              <w:t>所有者权益</w:t>
                            </w:r>
                          </w:p>
                        </w:tc>
                        <w:tc>
                          <w:tcPr>
                            <w:tcW w:w="1680" w:type="dxa"/>
                            <w:vMerge w:val="restart"/>
                          </w:tcPr>
                          <w:p>
                            <w:pPr>
                              <w:pStyle w:val="14"/>
                              <w:spacing w:before="11"/>
                              <w:rPr>
                                <w:sz w:val="17"/>
                              </w:rPr>
                            </w:pPr>
                          </w:p>
                          <w:p>
                            <w:pPr>
                              <w:pStyle w:val="14"/>
                              <w:ind w:left="338"/>
                              <w:rPr>
                                <w:sz w:val="20"/>
                              </w:rPr>
                            </w:pPr>
                            <w:r>
                              <w:rPr>
                                <w:sz w:val="20"/>
                              </w:rPr>
                              <w:t>形成和性质</w:t>
                            </w:r>
                          </w:p>
                        </w:tc>
                        <w:tc>
                          <w:tcPr>
                            <w:tcW w:w="2685" w:type="dxa"/>
                          </w:tcPr>
                          <w:p>
                            <w:pPr>
                              <w:pStyle w:val="14"/>
                              <w:spacing w:before="61" w:line="236" w:lineRule="exact"/>
                              <w:ind w:left="108"/>
                              <w:rPr>
                                <w:sz w:val="20"/>
                              </w:rPr>
                            </w:pPr>
                            <w:r>
                              <w:rPr>
                                <w:sz w:val="20"/>
                              </w:rPr>
                              <w:t>反映资本</w:t>
                            </w:r>
                          </w:p>
                        </w:tc>
                        <w:tc>
                          <w:tcPr>
                            <w:tcW w:w="4740" w:type="dxa"/>
                          </w:tcPr>
                          <w:p>
                            <w:pPr>
                              <w:pStyle w:val="14"/>
                              <w:spacing w:before="61" w:line="236" w:lineRule="exact"/>
                              <w:ind w:left="106"/>
                              <w:rPr>
                                <w:sz w:val="20"/>
                              </w:rPr>
                            </w:pPr>
                            <w:r>
                              <w:rPr>
                                <w:sz w:val="20"/>
                              </w:rPr>
                              <w:t>实收资本（股本</w:t>
                            </w:r>
                            <w:r>
                              <w:rPr>
                                <w:spacing w:val="-101"/>
                                <w:sz w:val="20"/>
                              </w:rPr>
                              <w:t>）</w:t>
                            </w:r>
                            <w:r>
                              <w:rPr>
                                <w:sz w:val="20"/>
                              </w:rPr>
                              <w:t>、资本公积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70" w:line="236" w:lineRule="exact"/>
                              <w:ind w:left="108"/>
                              <w:rPr>
                                <w:sz w:val="20"/>
                              </w:rPr>
                            </w:pPr>
                            <w:r>
                              <w:rPr>
                                <w:sz w:val="20"/>
                              </w:rPr>
                              <w:t>反映留存收益</w:t>
                            </w:r>
                          </w:p>
                        </w:tc>
                        <w:tc>
                          <w:tcPr>
                            <w:tcW w:w="4740" w:type="dxa"/>
                          </w:tcPr>
                          <w:p>
                            <w:pPr>
                              <w:pStyle w:val="14"/>
                              <w:spacing w:before="70" w:line="236" w:lineRule="exact"/>
                              <w:ind w:left="106"/>
                              <w:rPr>
                                <w:sz w:val="20"/>
                              </w:rPr>
                            </w:pPr>
                            <w:r>
                              <w:rPr>
                                <w:sz w:val="20"/>
                              </w:rPr>
                              <w:t>盈余公积、本年利润、利润分配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973" w:type="dxa"/>
                          </w:tcPr>
                          <w:p>
                            <w:pPr>
                              <w:pStyle w:val="14"/>
                              <w:spacing w:before="68" w:line="236" w:lineRule="exact"/>
                              <w:ind w:right="278"/>
                              <w:jc w:val="right"/>
                              <w:rPr>
                                <w:sz w:val="20"/>
                              </w:rPr>
                            </w:pPr>
                            <w:r>
                              <w:rPr>
                                <w:w w:val="95"/>
                                <w:sz w:val="20"/>
                              </w:rPr>
                              <w:t>成本</w:t>
                            </w:r>
                          </w:p>
                        </w:tc>
                        <w:tc>
                          <w:tcPr>
                            <w:tcW w:w="1680" w:type="dxa"/>
                          </w:tcPr>
                          <w:p>
                            <w:pPr>
                              <w:pStyle w:val="14"/>
                              <w:spacing w:before="68" w:line="236" w:lineRule="exact"/>
                              <w:ind w:left="338"/>
                              <w:rPr>
                                <w:sz w:val="20"/>
                              </w:rPr>
                            </w:pPr>
                            <w:r>
                              <w:rPr>
                                <w:sz w:val="20"/>
                              </w:rPr>
                              <w:t>内容和性质</w:t>
                            </w:r>
                          </w:p>
                        </w:tc>
                        <w:tc>
                          <w:tcPr>
                            <w:tcW w:w="7425" w:type="dxa"/>
                            <w:gridSpan w:val="2"/>
                          </w:tcPr>
                          <w:p>
                            <w:pPr>
                              <w:pStyle w:val="14"/>
                              <w:spacing w:before="68" w:line="236" w:lineRule="exact"/>
                              <w:ind w:left="108"/>
                              <w:rPr>
                                <w:b/>
                                <w:sz w:val="20"/>
                              </w:rPr>
                            </w:pPr>
                            <w:r>
                              <w:rPr>
                                <w:b/>
                                <w:sz w:val="20"/>
                              </w:rPr>
                              <w:t>生产成本、制造费用、劳务成本、合同取得成本、合同履约成本、研发支出等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restart"/>
                          </w:tcPr>
                          <w:p>
                            <w:pPr>
                              <w:pStyle w:val="14"/>
                              <w:spacing w:before="7"/>
                              <w:rPr>
                                <w:sz w:val="18"/>
                              </w:rPr>
                            </w:pPr>
                          </w:p>
                          <w:p>
                            <w:pPr>
                              <w:pStyle w:val="14"/>
                              <w:ind w:left="284"/>
                              <w:rPr>
                                <w:sz w:val="20"/>
                              </w:rPr>
                            </w:pPr>
                            <w:r>
                              <w:rPr>
                                <w:sz w:val="20"/>
                              </w:rPr>
                              <w:t>损益</w:t>
                            </w:r>
                          </w:p>
                        </w:tc>
                        <w:tc>
                          <w:tcPr>
                            <w:tcW w:w="1680" w:type="dxa"/>
                            <w:vMerge w:val="restart"/>
                          </w:tcPr>
                          <w:p>
                            <w:pPr>
                              <w:pStyle w:val="14"/>
                              <w:spacing w:before="7"/>
                              <w:rPr>
                                <w:sz w:val="18"/>
                              </w:rPr>
                            </w:pPr>
                          </w:p>
                          <w:p>
                            <w:pPr>
                              <w:pStyle w:val="14"/>
                              <w:ind w:left="139"/>
                              <w:rPr>
                                <w:sz w:val="20"/>
                              </w:rPr>
                            </w:pPr>
                            <w:r>
                              <w:rPr>
                                <w:sz w:val="20"/>
                              </w:rPr>
                              <w:t>损益的不同内容</w:t>
                            </w:r>
                          </w:p>
                        </w:tc>
                        <w:tc>
                          <w:tcPr>
                            <w:tcW w:w="2685" w:type="dxa"/>
                          </w:tcPr>
                          <w:p>
                            <w:pPr>
                              <w:pStyle w:val="14"/>
                              <w:spacing w:before="70" w:line="236" w:lineRule="exact"/>
                              <w:ind w:left="108"/>
                              <w:rPr>
                                <w:sz w:val="20"/>
                              </w:rPr>
                            </w:pPr>
                            <w:r>
                              <w:rPr>
                                <w:sz w:val="20"/>
                              </w:rPr>
                              <w:t>反映收入</w:t>
                            </w:r>
                          </w:p>
                        </w:tc>
                        <w:tc>
                          <w:tcPr>
                            <w:tcW w:w="4740" w:type="dxa"/>
                          </w:tcPr>
                          <w:p>
                            <w:pPr>
                              <w:pStyle w:val="14"/>
                              <w:spacing w:before="70" w:line="236" w:lineRule="exact"/>
                              <w:ind w:left="106"/>
                              <w:rPr>
                                <w:sz w:val="20"/>
                              </w:rPr>
                            </w:pPr>
                            <w:r>
                              <w:rPr>
                                <w:sz w:val="20"/>
                              </w:rPr>
                              <w:t>主营业务收入、其他业务收入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73" w:type="dxa"/>
                            <w:vMerge w:val="continue"/>
                            <w:tcBorders>
                              <w:top w:val="nil"/>
                            </w:tcBorders>
                          </w:tcPr>
                          <w:p>
                            <w:pPr>
                              <w:rPr>
                                <w:sz w:val="2"/>
                                <w:szCs w:val="2"/>
                              </w:rPr>
                            </w:pPr>
                          </w:p>
                        </w:tc>
                        <w:tc>
                          <w:tcPr>
                            <w:tcW w:w="1680" w:type="dxa"/>
                            <w:vMerge w:val="continue"/>
                            <w:tcBorders>
                              <w:top w:val="nil"/>
                            </w:tcBorders>
                          </w:tcPr>
                          <w:p>
                            <w:pPr>
                              <w:rPr>
                                <w:sz w:val="2"/>
                                <w:szCs w:val="2"/>
                              </w:rPr>
                            </w:pPr>
                          </w:p>
                        </w:tc>
                        <w:tc>
                          <w:tcPr>
                            <w:tcW w:w="2685" w:type="dxa"/>
                          </w:tcPr>
                          <w:p>
                            <w:pPr>
                              <w:pStyle w:val="14"/>
                              <w:spacing w:before="70" w:line="236" w:lineRule="exact"/>
                              <w:ind w:left="108"/>
                              <w:rPr>
                                <w:sz w:val="20"/>
                              </w:rPr>
                            </w:pPr>
                            <w:r>
                              <w:rPr>
                                <w:sz w:val="20"/>
                              </w:rPr>
                              <w:t>反映费用</w:t>
                            </w:r>
                          </w:p>
                        </w:tc>
                        <w:tc>
                          <w:tcPr>
                            <w:tcW w:w="4740" w:type="dxa"/>
                          </w:tcPr>
                          <w:p>
                            <w:pPr>
                              <w:pStyle w:val="14"/>
                              <w:spacing w:before="70" w:line="236" w:lineRule="exact"/>
                              <w:ind w:left="106"/>
                              <w:rPr>
                                <w:sz w:val="20"/>
                              </w:rPr>
                            </w:pPr>
                            <w:r>
                              <w:rPr>
                                <w:sz w:val="20"/>
                              </w:rPr>
                              <w:t>主营业务成本、销售费用</w:t>
                            </w:r>
                          </w:p>
                        </w:tc>
                      </w:tr>
                    </w:tbl>
                    <w:p>
                      <w:pPr>
                        <w:pStyle w:val="6"/>
                        <w:spacing w:before="0"/>
                        <w:ind w:left="0"/>
                      </w:pPr>
                    </w:p>
                  </w:txbxContent>
                </v:textbox>
              </v:shape>
            </w:pict>
          </mc:Fallback>
        </mc:AlternateContent>
      </w:r>
      <w:r>
        <w:rPr>
          <w:w w:val="95"/>
        </w:rPr>
        <w:t>⑥</w:t>
      </w:r>
      <w:r>
        <w:rPr>
          <w:b/>
          <w:color w:val="00AFEF"/>
          <w:w w:val="95"/>
        </w:rPr>
        <w:t>损益类</w:t>
      </w:r>
      <w:r>
        <w:rPr>
          <w:w w:val="95"/>
        </w:rPr>
        <w:t xml:space="preserve">:对收入、费用等的具体内容进行分类核算，提供一定期间损益相关的会计信息的科目，按其不同   </w:t>
      </w:r>
      <w:r>
        <w:t>内容可以分为</w:t>
      </w:r>
      <w:r>
        <w:rPr>
          <w:color w:val="FF0000"/>
          <w:u w:val="double" w:color="FF0000"/>
        </w:rPr>
        <w:t>反映收入的科目和反映费用的科目</w:t>
      </w:r>
      <w: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rPr>
          <w:sz w:val="23"/>
        </w:rPr>
      </w:pPr>
    </w:p>
    <w:p>
      <w:pPr>
        <w:pStyle w:val="5"/>
        <w:numPr>
          <w:ilvl w:val="0"/>
          <w:numId w:val="17"/>
        </w:numPr>
        <w:tabs>
          <w:tab w:val="left" w:pos="1225"/>
        </w:tabs>
        <w:spacing w:before="72" w:after="0" w:line="240" w:lineRule="auto"/>
        <w:ind w:left="1224" w:right="0" w:hanging="502"/>
        <w:jc w:val="left"/>
      </w:pPr>
      <w:r>
        <w:t>按提供信息的</w:t>
      </w:r>
      <w:r>
        <w:rPr>
          <w:color w:val="00AFEF"/>
          <w:u w:val="single" w:color="00AFEF"/>
        </w:rPr>
        <w:t>详细程度及统驭关系</w:t>
      </w:r>
      <w:r>
        <w:t>分类</w:t>
      </w:r>
    </w:p>
    <w:p>
      <w:pPr>
        <w:pStyle w:val="6"/>
        <w:spacing w:before="67"/>
      </w:pPr>
      <w:r>
        <w:t>①总分类科目:又称为</w:t>
      </w:r>
      <w:r>
        <w:rPr>
          <w:color w:val="FF0000"/>
          <w:u w:val="double" w:color="FF0000"/>
        </w:rPr>
        <w:t>总账科目或一级科目</w:t>
      </w:r>
      <w:r>
        <w:t>，是对会计要素具体内容进行总括分类，提供总括信息的会计科</w:t>
      </w:r>
    </w:p>
    <w:p>
      <w:pPr>
        <w:pStyle w:val="6"/>
        <w:ind w:left="322"/>
      </w:pPr>
      <w:r>
        <w:t>目。</w:t>
      </w:r>
    </w:p>
    <w:p>
      <w:pPr>
        <w:pStyle w:val="6"/>
        <w:spacing w:before="71"/>
      </w:pPr>
      <w:r>
        <w:t>②明细分类科目，又称</w:t>
      </w:r>
      <w:r>
        <w:rPr>
          <w:color w:val="FF0000"/>
          <w:u w:val="double" w:color="FF0000"/>
        </w:rPr>
        <w:t>明细科目</w:t>
      </w:r>
      <w:r>
        <w:t>，是</w:t>
      </w:r>
      <w:r>
        <w:rPr>
          <w:color w:val="FF0000"/>
          <w:u w:val="double" w:color="FF0000"/>
        </w:rPr>
        <w:t>对总分类科目做进一步分类</w:t>
      </w:r>
      <w:r>
        <w:t>，提供更详细和具体信息的科目；如果某一</w:t>
      </w:r>
    </w:p>
    <w:p>
      <w:pPr>
        <w:pStyle w:val="6"/>
        <w:spacing w:line="304" w:lineRule="auto"/>
        <w:ind w:right="862" w:hanging="401"/>
      </w:pPr>
      <w:r>
        <w:rPr>
          <w:w w:val="95"/>
        </w:rPr>
        <w:t xml:space="preserve">总账科目所属的明细科目较多，可在总分类科目下设置二级明细科目，在二级明细科目下设置三级明细科目。    </w:t>
      </w:r>
      <w:r>
        <w:rPr>
          <w:spacing w:val="-3"/>
        </w:rPr>
        <w:t xml:space="preserve">如：应收账款—北京地区—天时达有限公司 </w:t>
      </w:r>
      <w:r>
        <w:t>500</w:t>
      </w:r>
    </w:p>
    <w:p>
      <w:pPr>
        <w:pStyle w:val="6"/>
        <w:spacing w:before="2"/>
        <w:ind w:left="1923"/>
      </w:pPr>
      <w:r>
        <w:t>—南京地区—恒顺祥有限公司 1000</w:t>
      </w:r>
    </w:p>
    <w:p>
      <w:pPr>
        <w:spacing w:after="0"/>
        <w:sectPr>
          <w:pgSz w:w="11910" w:h="16160"/>
          <w:pgMar w:top="1680" w:right="360" w:bottom="860" w:left="760" w:header="0" w:footer="584" w:gutter="0"/>
        </w:sectPr>
      </w:pPr>
    </w:p>
    <w:p>
      <w:pPr>
        <w:pStyle w:val="6"/>
        <w:spacing w:before="11"/>
        <w:ind w:left="0"/>
        <w:rPr>
          <w:sz w:val="13"/>
        </w:rPr>
      </w:pPr>
    </w:p>
    <w:p>
      <w:pPr>
        <w:pStyle w:val="6"/>
        <w:spacing w:before="71"/>
        <w:ind w:left="2924"/>
      </w:pPr>
      <w:r>
        <w:t>—通达诚有限公司 1500</w:t>
      </w:r>
    </w:p>
    <w:p>
      <w:pPr>
        <w:pStyle w:val="6"/>
      </w:pPr>
      <w:r>
        <w:t>③总分类科目与明细分类科目的关系</w:t>
      </w:r>
    </w:p>
    <w:p>
      <w:pPr>
        <w:pStyle w:val="6"/>
        <w:spacing w:line="304" w:lineRule="auto"/>
        <w:ind w:left="322" w:right="722" w:firstLine="400"/>
      </w:pPr>
      <w:r>
        <w:rPr>
          <w:spacing w:val="-5"/>
          <w:w w:val="95"/>
        </w:rPr>
        <w:t>联系：总分类科目对其所属的明细分类科目具有</w:t>
      </w:r>
      <w:r>
        <w:rPr>
          <w:color w:val="FF0000"/>
          <w:w w:val="95"/>
          <w:u w:val="double" w:color="FF0000"/>
        </w:rPr>
        <w:t>统驭和控制</w:t>
      </w:r>
      <w:r>
        <w:rPr>
          <w:spacing w:val="-4"/>
          <w:w w:val="95"/>
        </w:rPr>
        <w:t xml:space="preserve">的作用，而明细分类科目是对其所归属的总分类   </w:t>
      </w:r>
      <w:r>
        <w:rPr>
          <w:spacing w:val="-4"/>
        </w:rPr>
        <w:t>科目的</w:t>
      </w:r>
      <w:r>
        <w:rPr>
          <w:color w:val="FF0000"/>
          <w:spacing w:val="-4"/>
          <w:u w:val="double" w:color="FF0000"/>
        </w:rPr>
        <w:t>补充和说明</w:t>
      </w:r>
      <w:r>
        <w:rPr>
          <w:spacing w:val="-4"/>
        </w:rPr>
        <w:t>。</w:t>
      </w:r>
    </w:p>
    <w:p>
      <w:pPr>
        <w:pStyle w:val="6"/>
        <w:spacing w:before="2"/>
      </w:pPr>
      <w:r>
        <w:t>区别：</w:t>
      </w:r>
      <w:r>
        <w:rPr>
          <w:color w:val="FF0000"/>
          <w:u w:val="double" w:color="FF0000"/>
        </w:rPr>
        <w:t>总分类科目提供总括性指标，明细分类科目提供详细具体指标</w:t>
      </w:r>
      <w:r>
        <w:t>。</w:t>
      </w:r>
    </w:p>
    <w:p>
      <w:pPr>
        <w:pStyle w:val="5"/>
        <w:spacing w:before="68"/>
      </w:pPr>
      <w:r>
        <w:t>（二）账户</w:t>
      </w:r>
    </w:p>
    <w:p>
      <w:pPr>
        <w:spacing w:before="70" w:line="304" w:lineRule="auto"/>
        <w:ind w:left="723" w:right="621" w:firstLine="0"/>
        <w:jc w:val="left"/>
        <w:rPr>
          <w:b/>
          <w:sz w:val="20"/>
        </w:rPr>
      </w:pPr>
      <w:r>
        <w:rPr>
          <w:w w:val="95"/>
          <w:sz w:val="20"/>
        </w:rPr>
        <w:t>账户是</w:t>
      </w:r>
      <w:r>
        <w:rPr>
          <w:b/>
          <w:color w:val="00AFEF"/>
          <w:w w:val="95"/>
          <w:sz w:val="20"/>
          <w:u w:val="single" w:color="00AFEF"/>
        </w:rPr>
        <w:t>根据会计科目设置</w:t>
      </w:r>
      <w:r>
        <w:rPr>
          <w:spacing w:val="-5"/>
          <w:w w:val="95"/>
          <w:sz w:val="20"/>
        </w:rPr>
        <w:t>的，</w:t>
      </w:r>
      <w:r>
        <w:rPr>
          <w:color w:val="FF0000"/>
          <w:w w:val="95"/>
          <w:sz w:val="20"/>
          <w:u w:val="double" w:color="FF0000"/>
        </w:rPr>
        <w:t>具有一定的格式和结构</w:t>
      </w:r>
      <w:r>
        <w:rPr>
          <w:spacing w:val="-4"/>
          <w:w w:val="95"/>
          <w:sz w:val="20"/>
        </w:rPr>
        <w:t>，用于</w:t>
      </w:r>
      <w:r>
        <w:rPr>
          <w:color w:val="FF0000"/>
          <w:w w:val="95"/>
          <w:sz w:val="20"/>
          <w:u w:val="double" w:color="FF0000"/>
        </w:rPr>
        <w:t>分类反映会计要素增减变动情况及其结果的载体</w:t>
      </w:r>
      <w:r>
        <w:rPr>
          <w:w w:val="95"/>
          <w:sz w:val="20"/>
        </w:rPr>
        <w:t xml:space="preserve">。  </w:t>
      </w:r>
      <w:r>
        <w:rPr>
          <w:b/>
          <w:sz w:val="20"/>
        </w:rPr>
        <w:t>1.账户的分类</w:t>
      </w:r>
    </w:p>
    <w:p>
      <w:pPr>
        <w:pStyle w:val="13"/>
        <w:numPr>
          <w:ilvl w:val="0"/>
          <w:numId w:val="18"/>
        </w:numPr>
        <w:tabs>
          <w:tab w:val="left" w:pos="1224"/>
        </w:tabs>
        <w:spacing w:before="2" w:after="0" w:line="304" w:lineRule="auto"/>
        <w:ind w:left="322" w:right="662" w:firstLine="400"/>
        <w:jc w:val="both"/>
        <w:rPr>
          <w:sz w:val="20"/>
        </w:rPr>
      </w:pPr>
      <w:r>
        <w:rPr>
          <w:w w:val="95"/>
          <w:sz w:val="20"/>
        </w:rPr>
        <w:t>根据核算的经济内容，分为</w:t>
      </w:r>
      <w:r>
        <w:rPr>
          <w:color w:val="FF0000"/>
          <w:w w:val="95"/>
          <w:sz w:val="20"/>
          <w:u w:val="double" w:color="FF0000"/>
        </w:rPr>
        <w:t xml:space="preserve">资产类账户、负债类账户、所有者权益类账户、共同类账户、成本类账户、  </w:t>
      </w:r>
      <w:r>
        <w:rPr>
          <w:color w:val="FF0000"/>
          <w:sz w:val="20"/>
          <w:u w:val="double" w:color="FF0000"/>
        </w:rPr>
        <w:t>损益类账户</w:t>
      </w:r>
      <w:r>
        <w:rPr>
          <w:spacing w:val="-5"/>
          <w:sz w:val="20"/>
        </w:rPr>
        <w:t>。有些资产类、负债类、所有者权益类账户还存在备抵账户。是指用来抵减被调整账户余额，以确定</w:t>
      </w:r>
      <w:r>
        <w:rPr>
          <w:spacing w:val="-5"/>
          <w:w w:val="95"/>
          <w:sz w:val="20"/>
        </w:rPr>
        <w:t xml:space="preserve">被调整账户实有数额而设置的独立了账户，如：累计折旧、固定资产减值准备、累计摊销、无形资产减值准备、    </w:t>
      </w:r>
      <w:r>
        <w:rPr>
          <w:spacing w:val="-5"/>
          <w:sz w:val="20"/>
        </w:rPr>
        <w:t>坏账准备、存货跌价准备等。</w:t>
      </w:r>
    </w:p>
    <w:p>
      <w:pPr>
        <w:pStyle w:val="13"/>
        <w:numPr>
          <w:ilvl w:val="0"/>
          <w:numId w:val="18"/>
        </w:numPr>
        <w:tabs>
          <w:tab w:val="left" w:pos="1224"/>
        </w:tabs>
        <w:spacing w:before="1" w:after="0" w:line="240" w:lineRule="auto"/>
        <w:ind w:left="1223" w:right="0" w:hanging="501"/>
        <w:jc w:val="left"/>
        <w:rPr>
          <w:sz w:val="20"/>
        </w:rPr>
      </w:pPr>
      <w:r>
        <w:rPr>
          <w:sz w:val="20"/>
        </w:rPr>
        <w:t>根据提供信息的详细程度及统驭关系分为</w:t>
      </w:r>
      <w:r>
        <w:rPr>
          <w:color w:val="FF0000"/>
          <w:sz w:val="20"/>
          <w:u w:val="double" w:color="FF0000"/>
        </w:rPr>
        <w:t>总分类账户和明细分类账户</w:t>
      </w:r>
      <w:r>
        <w:rPr>
          <w:sz w:val="20"/>
        </w:rPr>
        <w:t>。</w:t>
      </w:r>
    </w:p>
    <w:p>
      <w:pPr>
        <w:pStyle w:val="6"/>
        <w:spacing w:before="71" w:line="304" w:lineRule="auto"/>
        <w:ind w:left="322" w:right="722" w:firstLine="400"/>
      </w:pPr>
      <w:r>
        <w:rPr>
          <w:spacing w:val="-4"/>
          <w:w w:val="95"/>
        </w:rPr>
        <w:t xml:space="preserve">总分类账户与明细分类账户核算内容相同，只是反映内容的详细程度不同，两者相互补充、相互制约、相互   </w:t>
      </w:r>
      <w:r>
        <w:rPr>
          <w:spacing w:val="-4"/>
        </w:rPr>
        <w:t>核对。</w:t>
      </w:r>
    </w:p>
    <w:p>
      <w:pPr>
        <w:pStyle w:val="6"/>
        <w:spacing w:before="2" w:line="304" w:lineRule="auto"/>
        <w:ind w:right="3262"/>
      </w:pPr>
      <w:r>
        <mc:AlternateContent>
          <mc:Choice Requires="wps">
            <w:drawing>
              <wp:anchor distT="0" distB="0" distL="114300" distR="114300" simplePos="0" relativeHeight="15748096" behindDoc="0" locked="0" layoutInCell="1" allowOverlap="1">
                <wp:simplePos x="0" y="0"/>
                <wp:positionH relativeFrom="page">
                  <wp:posOffset>1071245</wp:posOffset>
                </wp:positionH>
                <wp:positionV relativeFrom="paragraph">
                  <wp:posOffset>370840</wp:posOffset>
                </wp:positionV>
                <wp:extent cx="5420995" cy="859790"/>
                <wp:effectExtent l="0" t="0" r="0" b="0"/>
                <wp:wrapNone/>
                <wp:docPr id="28" name="文本框 40"/>
                <wp:cNvGraphicFramePr/>
                <a:graphic xmlns:a="http://schemas.openxmlformats.org/drawingml/2006/main">
                  <a:graphicData uri="http://schemas.microsoft.com/office/word/2010/wordprocessingShape">
                    <wps:wsp>
                      <wps:cNvSpPr txBox="1"/>
                      <wps:spPr>
                        <a:xfrm>
                          <a:off x="0" y="0"/>
                          <a:ext cx="5420995" cy="85979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55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522" w:type="dxa"/>
                                  <w:gridSpan w:val="2"/>
                                </w:tcPr>
                                <w:p>
                                  <w:pPr>
                                    <w:pStyle w:val="14"/>
                                    <w:spacing w:before="70" w:line="236" w:lineRule="exact"/>
                                    <w:ind w:left="508"/>
                                    <w:rPr>
                                      <w:sz w:val="20"/>
                                    </w:rPr>
                                  </w:pPr>
                                  <w:r>
                                    <w:rPr>
                                      <w:sz w:val="20"/>
                                    </w:rPr>
                                    <w:t>会计对象—会计要素—会计科目（账户）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53" w:type="dxa"/>
                                </w:tcPr>
                                <w:p>
                                  <w:pPr>
                                    <w:pStyle w:val="14"/>
                                    <w:spacing w:before="70" w:line="236" w:lineRule="exact"/>
                                    <w:ind w:right="865"/>
                                    <w:jc w:val="right"/>
                                    <w:rPr>
                                      <w:sz w:val="20"/>
                                    </w:rPr>
                                  </w:pPr>
                                  <w:r>
                                    <w:rPr>
                                      <w:w w:val="95"/>
                                      <w:sz w:val="20"/>
                                    </w:rPr>
                                    <w:t>会计要素</w:t>
                                  </w:r>
                                </w:p>
                              </w:tc>
                              <w:tc>
                                <w:tcPr>
                                  <w:tcW w:w="5569" w:type="dxa"/>
                                </w:tcPr>
                                <w:p>
                                  <w:pPr>
                                    <w:pStyle w:val="14"/>
                                    <w:spacing w:before="70" w:line="236" w:lineRule="exact"/>
                                    <w:ind w:left="507"/>
                                    <w:rPr>
                                      <w:sz w:val="20"/>
                                    </w:rPr>
                                  </w:pPr>
                                  <w:r>
                                    <w:rPr>
                                      <w:sz w:val="20"/>
                                    </w:rPr>
                                    <w:t>资产、负债、所有者权益、收入、费用、利润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53" w:type="dxa"/>
                                </w:tcPr>
                                <w:p>
                                  <w:pPr>
                                    <w:pStyle w:val="14"/>
                                    <w:spacing w:before="70" w:line="236" w:lineRule="exact"/>
                                    <w:ind w:right="865"/>
                                    <w:jc w:val="right"/>
                                    <w:rPr>
                                      <w:sz w:val="20"/>
                                    </w:rPr>
                                  </w:pPr>
                                  <w:r>
                                    <w:rPr>
                                      <w:w w:val="95"/>
                                      <w:sz w:val="20"/>
                                    </w:rPr>
                                    <w:t>会计科目</w:t>
                                  </w:r>
                                </w:p>
                              </w:tc>
                              <w:tc>
                                <w:tcPr>
                                  <w:tcW w:w="5569" w:type="dxa"/>
                                </w:tcPr>
                                <w:p>
                                  <w:pPr>
                                    <w:pStyle w:val="14"/>
                                    <w:spacing w:before="70" w:line="236" w:lineRule="exact"/>
                                    <w:ind w:left="507"/>
                                    <w:rPr>
                                      <w:sz w:val="20"/>
                                    </w:rPr>
                                  </w:pPr>
                                  <w:r>
                                    <w:rPr>
                                      <w:sz w:val="20"/>
                                    </w:rPr>
                                    <w:t>资产、负债、所有者权益、共同、成本、损益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953" w:type="dxa"/>
                                </w:tcPr>
                                <w:p>
                                  <w:pPr>
                                    <w:pStyle w:val="14"/>
                                    <w:spacing w:before="70" w:line="236" w:lineRule="exact"/>
                                    <w:ind w:right="865"/>
                                    <w:jc w:val="right"/>
                                    <w:rPr>
                                      <w:sz w:val="20"/>
                                    </w:rPr>
                                  </w:pPr>
                                  <w:r>
                                    <w:rPr>
                                      <w:w w:val="95"/>
                                      <w:sz w:val="20"/>
                                    </w:rPr>
                                    <w:t>会计账户</w:t>
                                  </w:r>
                                </w:p>
                              </w:tc>
                              <w:tc>
                                <w:tcPr>
                                  <w:tcW w:w="5569" w:type="dxa"/>
                                </w:tcPr>
                                <w:p>
                                  <w:pPr>
                                    <w:pStyle w:val="14"/>
                                    <w:spacing w:before="70" w:line="236" w:lineRule="exact"/>
                                    <w:ind w:left="507"/>
                                    <w:rPr>
                                      <w:sz w:val="20"/>
                                    </w:rPr>
                                  </w:pPr>
                                  <w:r>
                                    <w:rPr>
                                      <w:sz w:val="20"/>
                                    </w:rPr>
                                    <w:t>资产、负债、所有者权益、共同、成本、损益</w:t>
                                  </w:r>
                                </w:p>
                              </w:tc>
                            </w:tr>
                          </w:tbl>
                          <w:p>
                            <w:pPr>
                              <w:pStyle w:val="6"/>
                              <w:spacing w:before="0"/>
                              <w:ind w:left="0"/>
                            </w:pPr>
                          </w:p>
                        </w:txbxContent>
                      </wps:txbx>
                      <wps:bodyPr lIns="0" tIns="0" rIns="0" bIns="0" upright="1"/>
                    </wps:wsp>
                  </a:graphicData>
                </a:graphic>
              </wp:anchor>
            </w:drawing>
          </mc:Choice>
          <mc:Fallback>
            <w:pict>
              <v:shape id="文本框 40" o:spid="_x0000_s1026" o:spt="202" type="#_x0000_t202" style="position:absolute;left:0pt;margin-left:84.35pt;margin-top:29.2pt;height:67.7pt;width:426.85pt;mso-position-horizontal-relative:page;z-index:15748096;mso-width-relative:page;mso-height-relative:page;" filled="f" stroked="f" coordsize="21600,21600" o:gfxdata="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HScER2AAAAAsBAAAPAAAAAAAA&#10;AAEAIAAAACIAAABkcnMvZG93bnJldi54bWxQSwECFAAUAAAACACHTuJAYLevk6ABAAAmAwAADgAA&#10;AAAAAAABACAAAAAnAQAAZHJzL2Uyb0RvYy54bWxQSwUGAAAAAAYABgBZAQAAOQ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53"/>
                        <w:gridCol w:w="55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522" w:type="dxa"/>
                            <w:gridSpan w:val="2"/>
                          </w:tcPr>
                          <w:p>
                            <w:pPr>
                              <w:pStyle w:val="14"/>
                              <w:spacing w:before="70" w:line="236" w:lineRule="exact"/>
                              <w:ind w:left="508"/>
                              <w:rPr>
                                <w:sz w:val="20"/>
                              </w:rPr>
                            </w:pPr>
                            <w:r>
                              <w:rPr>
                                <w:sz w:val="20"/>
                              </w:rPr>
                              <w:t>会计对象—会计要素—会计科目（账户）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53" w:type="dxa"/>
                          </w:tcPr>
                          <w:p>
                            <w:pPr>
                              <w:pStyle w:val="14"/>
                              <w:spacing w:before="70" w:line="236" w:lineRule="exact"/>
                              <w:ind w:right="865"/>
                              <w:jc w:val="right"/>
                              <w:rPr>
                                <w:sz w:val="20"/>
                              </w:rPr>
                            </w:pPr>
                            <w:r>
                              <w:rPr>
                                <w:w w:val="95"/>
                                <w:sz w:val="20"/>
                              </w:rPr>
                              <w:t>会计要素</w:t>
                            </w:r>
                          </w:p>
                        </w:tc>
                        <w:tc>
                          <w:tcPr>
                            <w:tcW w:w="5569" w:type="dxa"/>
                          </w:tcPr>
                          <w:p>
                            <w:pPr>
                              <w:pStyle w:val="14"/>
                              <w:spacing w:before="70" w:line="236" w:lineRule="exact"/>
                              <w:ind w:left="507"/>
                              <w:rPr>
                                <w:sz w:val="20"/>
                              </w:rPr>
                            </w:pPr>
                            <w:r>
                              <w:rPr>
                                <w:sz w:val="20"/>
                              </w:rPr>
                              <w:t>资产、负债、所有者权益、收入、费用、利润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53" w:type="dxa"/>
                          </w:tcPr>
                          <w:p>
                            <w:pPr>
                              <w:pStyle w:val="14"/>
                              <w:spacing w:before="70" w:line="236" w:lineRule="exact"/>
                              <w:ind w:right="865"/>
                              <w:jc w:val="right"/>
                              <w:rPr>
                                <w:sz w:val="20"/>
                              </w:rPr>
                            </w:pPr>
                            <w:r>
                              <w:rPr>
                                <w:w w:val="95"/>
                                <w:sz w:val="20"/>
                              </w:rPr>
                              <w:t>会计科目</w:t>
                            </w:r>
                          </w:p>
                        </w:tc>
                        <w:tc>
                          <w:tcPr>
                            <w:tcW w:w="5569" w:type="dxa"/>
                          </w:tcPr>
                          <w:p>
                            <w:pPr>
                              <w:pStyle w:val="14"/>
                              <w:spacing w:before="70" w:line="236" w:lineRule="exact"/>
                              <w:ind w:left="507"/>
                              <w:rPr>
                                <w:sz w:val="20"/>
                              </w:rPr>
                            </w:pPr>
                            <w:r>
                              <w:rPr>
                                <w:sz w:val="20"/>
                              </w:rPr>
                              <w:t>资产、负债、所有者权益、共同、成本、损益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953" w:type="dxa"/>
                          </w:tcPr>
                          <w:p>
                            <w:pPr>
                              <w:pStyle w:val="14"/>
                              <w:spacing w:before="70" w:line="236" w:lineRule="exact"/>
                              <w:ind w:right="865"/>
                              <w:jc w:val="right"/>
                              <w:rPr>
                                <w:sz w:val="20"/>
                              </w:rPr>
                            </w:pPr>
                            <w:r>
                              <w:rPr>
                                <w:w w:val="95"/>
                                <w:sz w:val="20"/>
                              </w:rPr>
                              <w:t>会计账户</w:t>
                            </w:r>
                          </w:p>
                        </w:tc>
                        <w:tc>
                          <w:tcPr>
                            <w:tcW w:w="5569" w:type="dxa"/>
                          </w:tcPr>
                          <w:p>
                            <w:pPr>
                              <w:pStyle w:val="14"/>
                              <w:spacing w:before="70" w:line="236" w:lineRule="exact"/>
                              <w:ind w:left="507"/>
                              <w:rPr>
                                <w:sz w:val="20"/>
                              </w:rPr>
                            </w:pPr>
                            <w:r>
                              <w:rPr>
                                <w:sz w:val="20"/>
                              </w:rPr>
                              <w:t>资产、负债、所有者权益、共同、成本、损益</w:t>
                            </w:r>
                          </w:p>
                        </w:tc>
                      </w:tr>
                    </w:tbl>
                    <w:p>
                      <w:pPr>
                        <w:pStyle w:val="6"/>
                        <w:spacing w:before="0"/>
                        <w:ind w:left="0"/>
                      </w:pPr>
                    </w:p>
                  </w:txbxContent>
                </v:textbox>
              </v:shape>
            </w:pict>
          </mc:Fallback>
        </mc:AlternateContent>
      </w:r>
      <w:r>
        <w:rPr>
          <w:w w:val="95"/>
        </w:rPr>
        <w:t xml:space="preserve">总分类账户统驭和控制所属明细分类账户，明细分类账户从属于总分类账户。  </w:t>
      </w:r>
      <w:r>
        <w:t>分类总结</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10"/>
        <w:ind w:left="0"/>
        <w:rPr>
          <w:sz w:val="25"/>
        </w:rPr>
      </w:pPr>
    </w:p>
    <w:p>
      <w:pPr>
        <w:pStyle w:val="5"/>
        <w:numPr>
          <w:ilvl w:val="0"/>
          <w:numId w:val="19"/>
        </w:numPr>
        <w:tabs>
          <w:tab w:val="left" w:pos="925"/>
        </w:tabs>
        <w:spacing w:before="0" w:after="0" w:line="240" w:lineRule="auto"/>
        <w:ind w:left="924" w:right="0" w:hanging="202"/>
        <w:jc w:val="left"/>
      </w:pPr>
      <w:r>
        <w:t>账户的功能与结构</w:t>
      </w:r>
    </w:p>
    <w:p>
      <w:pPr>
        <w:pStyle w:val="13"/>
        <w:numPr>
          <w:ilvl w:val="0"/>
          <w:numId w:val="20"/>
        </w:numPr>
        <w:tabs>
          <w:tab w:val="left" w:pos="1224"/>
        </w:tabs>
        <w:spacing w:before="67" w:after="0" w:line="304" w:lineRule="auto"/>
        <w:ind w:left="322" w:right="739" w:firstLine="400"/>
        <w:jc w:val="left"/>
        <w:rPr>
          <w:b/>
          <w:sz w:val="20"/>
        </w:rPr>
      </w:pPr>
      <w:r>
        <mc:AlternateContent>
          <mc:Choice Requires="wps">
            <w:drawing>
              <wp:anchor distT="0" distB="0" distL="114300" distR="114300" simplePos="0" relativeHeight="482381824" behindDoc="1" locked="0" layoutInCell="1" allowOverlap="1">
                <wp:simplePos x="0" y="0"/>
                <wp:positionH relativeFrom="page">
                  <wp:posOffset>687705</wp:posOffset>
                </wp:positionH>
                <wp:positionV relativeFrom="paragraph">
                  <wp:posOffset>387985</wp:posOffset>
                </wp:positionV>
                <wp:extent cx="502920" cy="5715"/>
                <wp:effectExtent l="0" t="0" r="0" b="0"/>
                <wp:wrapNone/>
                <wp:docPr id="227" name="任意多边形 41"/>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41" o:spid="_x0000_s1026" o:spt="100" style="position:absolute;left:0pt;margin-left:54.15pt;margin-top:30.55pt;height:0.45pt;width:39.6pt;mso-position-horizontal-relative:page;z-index:-20934656;mso-width-relative:page;mso-height-relative:page;" filled="f" stroked="t" coordsize="792,9" o:gfxdata="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&#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CJMnTY1gAAAAkBAAAPAAAAAAAAAAEAIAAAACIAAABk&#10;cnMvZG93bnJldi54bWxQSwECFAAUAAAACACHTuJAv+zoyewCAACaCgAADgAAAAAAAAABACAAAAAl&#10;AQAAZHJzL2Uyb0RvYy54bWxQSwUGAAAAAAYABgBZAQAAgw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sz w:val="20"/>
        </w:rPr>
        <w:t>功能：账户的功能在于可以</w:t>
      </w:r>
      <w:r>
        <w:rPr>
          <w:b/>
          <w:color w:val="00AFEF"/>
          <w:w w:val="95"/>
          <w:sz w:val="20"/>
          <w:u w:val="single" w:color="00AFEF"/>
        </w:rPr>
        <w:t xml:space="preserve">连续、系统、完整的提供企业经济活动中各会计要素增减变动及结果的具   </w:t>
      </w:r>
      <w:r>
        <w:rPr>
          <w:b/>
          <w:color w:val="00AFEF"/>
          <w:sz w:val="20"/>
        </w:rPr>
        <w:t>体信息。</w:t>
      </w:r>
    </w:p>
    <w:p>
      <w:pPr>
        <w:pStyle w:val="6"/>
        <w:spacing w:before="2"/>
      </w:pPr>
      <w:r>
        <w:t>账户的四个金额要素：</w:t>
      </w:r>
      <w:r>
        <w:rPr>
          <w:color w:val="FF0000"/>
          <w:u w:val="double" w:color="FF0000"/>
        </w:rPr>
        <w:t>期末余额=期初余额+本期增加发生额-本期减少发生额</w:t>
      </w:r>
    </w:p>
    <w:p>
      <w:pPr>
        <w:pStyle w:val="13"/>
        <w:numPr>
          <w:ilvl w:val="0"/>
          <w:numId w:val="20"/>
        </w:numPr>
        <w:tabs>
          <w:tab w:val="left" w:pos="1224"/>
        </w:tabs>
        <w:spacing w:before="71" w:after="0" w:line="240" w:lineRule="auto"/>
        <w:ind w:left="1223" w:right="0" w:hanging="501"/>
        <w:jc w:val="left"/>
        <w:rPr>
          <w:sz w:val="20"/>
        </w:rPr>
      </w:pPr>
      <w:r>
        <w:rPr>
          <w:sz w:val="20"/>
        </w:rPr>
        <w:t>账户的结构</w:t>
      </w:r>
    </w:p>
    <w:p>
      <w:pPr>
        <w:pStyle w:val="6"/>
      </w:pPr>
      <w:r>
        <w:t>①完整结构</w:t>
      </w:r>
    </w:p>
    <w:p>
      <w:pPr>
        <w:pStyle w:val="13"/>
        <w:numPr>
          <w:ilvl w:val="0"/>
          <w:numId w:val="21"/>
        </w:numPr>
        <w:tabs>
          <w:tab w:val="left" w:pos="925"/>
        </w:tabs>
        <w:spacing w:before="70" w:after="0" w:line="302" w:lineRule="auto"/>
        <w:ind w:left="723" w:right="721" w:firstLine="0"/>
        <w:jc w:val="left"/>
        <w:rPr>
          <w:sz w:val="20"/>
        </w:rPr>
      </w:pPr>
      <w:r>
        <w:rPr>
          <w:spacing w:val="-8"/>
          <w:w w:val="95"/>
          <w:sz w:val="20"/>
        </w:rPr>
        <w:t>账户名称，即会计科目;</w:t>
      </w:r>
      <w:r>
        <w:rPr>
          <w:w w:val="95"/>
          <w:sz w:val="20"/>
        </w:rPr>
        <w:t>b</w:t>
      </w:r>
      <w:r>
        <w:rPr>
          <w:spacing w:val="-8"/>
          <w:w w:val="95"/>
          <w:sz w:val="20"/>
        </w:rPr>
        <w:t>.日期，即所依据记账凭证中注明的日期;</w:t>
      </w:r>
      <w:r>
        <w:rPr>
          <w:w w:val="95"/>
          <w:sz w:val="20"/>
        </w:rPr>
        <w:t>c</w:t>
      </w:r>
      <w:r>
        <w:rPr>
          <w:spacing w:val="-7"/>
          <w:w w:val="95"/>
          <w:sz w:val="20"/>
        </w:rPr>
        <w:t xml:space="preserve">.凭证字号，即所依据记账凭证的编号;   </w:t>
      </w:r>
      <w:r>
        <w:rPr>
          <w:spacing w:val="-7"/>
          <w:sz w:val="20"/>
        </w:rPr>
        <w:t>d.摘要，即经济业务的简要说明;e.金额，即增加额、减少额和余额。</w:t>
      </w:r>
    </w:p>
    <w:p>
      <w:pPr>
        <w:pStyle w:val="6"/>
        <w:spacing w:before="4"/>
      </w:pPr>
      <w:r>
        <w:t>账户的完整结构存在于账簿之中，如图所示：</w:t>
      </w:r>
    </w:p>
    <w:p>
      <w:pPr>
        <w:pStyle w:val="6"/>
        <w:spacing w:before="71"/>
        <w:ind w:left="4692"/>
      </w:pPr>
      <w:r>
        <w:t>银行存款日记账</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5"/>
        <w:gridCol w:w="1065"/>
        <w:gridCol w:w="1065"/>
        <w:gridCol w:w="1065"/>
        <w:gridCol w:w="1065"/>
        <w:gridCol w:w="1065"/>
        <w:gridCol w:w="1066"/>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130" w:type="dxa"/>
            <w:gridSpan w:val="2"/>
          </w:tcPr>
          <w:p>
            <w:pPr>
              <w:pStyle w:val="14"/>
              <w:spacing w:before="69" w:line="237" w:lineRule="exact"/>
              <w:ind w:left="694" w:right="686"/>
              <w:jc w:val="center"/>
              <w:rPr>
                <w:sz w:val="20"/>
              </w:rPr>
            </w:pPr>
            <w:r>
              <w:rPr>
                <w:sz w:val="20"/>
              </w:rPr>
              <w:t>2017 年</w:t>
            </w:r>
          </w:p>
        </w:tc>
        <w:tc>
          <w:tcPr>
            <w:tcW w:w="1065" w:type="dxa"/>
            <w:vMerge w:val="restart"/>
          </w:tcPr>
          <w:p>
            <w:pPr>
              <w:pStyle w:val="14"/>
              <w:spacing w:before="6"/>
              <w:rPr>
                <w:sz w:val="18"/>
              </w:rPr>
            </w:pPr>
          </w:p>
          <w:p>
            <w:pPr>
              <w:pStyle w:val="14"/>
              <w:ind w:left="130"/>
              <w:rPr>
                <w:sz w:val="20"/>
              </w:rPr>
            </w:pPr>
            <w:r>
              <w:rPr>
                <w:sz w:val="20"/>
              </w:rPr>
              <w:t>凭证编号</w:t>
            </w:r>
          </w:p>
        </w:tc>
        <w:tc>
          <w:tcPr>
            <w:tcW w:w="1065" w:type="dxa"/>
            <w:vMerge w:val="restart"/>
          </w:tcPr>
          <w:p>
            <w:pPr>
              <w:pStyle w:val="14"/>
              <w:spacing w:before="6"/>
              <w:rPr>
                <w:sz w:val="18"/>
              </w:rPr>
            </w:pPr>
          </w:p>
          <w:p>
            <w:pPr>
              <w:pStyle w:val="14"/>
              <w:ind w:left="332"/>
              <w:rPr>
                <w:sz w:val="20"/>
              </w:rPr>
            </w:pPr>
            <w:r>
              <w:rPr>
                <w:sz w:val="20"/>
              </w:rPr>
              <w:t>摘要</w:t>
            </w:r>
          </w:p>
        </w:tc>
        <w:tc>
          <w:tcPr>
            <w:tcW w:w="1065" w:type="dxa"/>
            <w:vMerge w:val="restart"/>
          </w:tcPr>
          <w:p>
            <w:pPr>
              <w:pStyle w:val="14"/>
              <w:spacing w:before="6"/>
              <w:rPr>
                <w:sz w:val="18"/>
              </w:rPr>
            </w:pPr>
          </w:p>
          <w:p>
            <w:pPr>
              <w:pStyle w:val="14"/>
              <w:ind w:left="330"/>
              <w:rPr>
                <w:sz w:val="20"/>
              </w:rPr>
            </w:pPr>
            <w:r>
              <w:rPr>
                <w:sz w:val="20"/>
              </w:rPr>
              <w:t>借方</w:t>
            </w:r>
          </w:p>
        </w:tc>
        <w:tc>
          <w:tcPr>
            <w:tcW w:w="1065" w:type="dxa"/>
            <w:vMerge w:val="restart"/>
          </w:tcPr>
          <w:p>
            <w:pPr>
              <w:pStyle w:val="14"/>
              <w:spacing w:before="6"/>
              <w:rPr>
                <w:sz w:val="18"/>
              </w:rPr>
            </w:pPr>
          </w:p>
          <w:p>
            <w:pPr>
              <w:pStyle w:val="14"/>
              <w:ind w:left="331"/>
              <w:rPr>
                <w:sz w:val="20"/>
              </w:rPr>
            </w:pPr>
            <w:r>
              <w:rPr>
                <w:sz w:val="20"/>
              </w:rPr>
              <w:t>贷方</w:t>
            </w:r>
          </w:p>
        </w:tc>
        <w:tc>
          <w:tcPr>
            <w:tcW w:w="1066" w:type="dxa"/>
            <w:vMerge w:val="restart"/>
          </w:tcPr>
          <w:p>
            <w:pPr>
              <w:pStyle w:val="14"/>
              <w:spacing w:before="6"/>
              <w:rPr>
                <w:sz w:val="18"/>
              </w:rPr>
            </w:pPr>
          </w:p>
          <w:p>
            <w:pPr>
              <w:pStyle w:val="14"/>
              <w:ind w:left="233"/>
              <w:rPr>
                <w:sz w:val="20"/>
              </w:rPr>
            </w:pPr>
            <w:r>
              <w:rPr>
                <w:sz w:val="20"/>
              </w:rPr>
              <w:t>借或贷</w:t>
            </w:r>
          </w:p>
        </w:tc>
        <w:tc>
          <w:tcPr>
            <w:tcW w:w="1066" w:type="dxa"/>
            <w:vMerge w:val="restart"/>
          </w:tcPr>
          <w:p>
            <w:pPr>
              <w:pStyle w:val="14"/>
              <w:spacing w:before="6"/>
              <w:rPr>
                <w:sz w:val="18"/>
              </w:rPr>
            </w:pPr>
          </w:p>
          <w:p>
            <w:pPr>
              <w:pStyle w:val="14"/>
              <w:ind w:left="331"/>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5" w:type="dxa"/>
          </w:tcPr>
          <w:p>
            <w:pPr>
              <w:pStyle w:val="14"/>
              <w:spacing w:before="69" w:line="237" w:lineRule="exact"/>
              <w:ind w:left="431"/>
              <w:rPr>
                <w:sz w:val="20"/>
              </w:rPr>
            </w:pPr>
            <w:r>
              <w:rPr>
                <w:w w:val="99"/>
                <w:sz w:val="20"/>
              </w:rPr>
              <w:t>月</w:t>
            </w:r>
          </w:p>
        </w:tc>
        <w:tc>
          <w:tcPr>
            <w:tcW w:w="1065" w:type="dxa"/>
          </w:tcPr>
          <w:p>
            <w:pPr>
              <w:pStyle w:val="14"/>
              <w:spacing w:before="69" w:line="237" w:lineRule="exact"/>
              <w:ind w:left="8"/>
              <w:jc w:val="center"/>
              <w:rPr>
                <w:sz w:val="20"/>
              </w:rPr>
            </w:pPr>
            <w:r>
              <w:rPr>
                <w:w w:val="99"/>
                <w:sz w:val="20"/>
              </w:rPr>
              <w:t>日</w:t>
            </w:r>
          </w:p>
        </w:tc>
        <w:tc>
          <w:tcPr>
            <w:tcW w:w="1065" w:type="dxa"/>
            <w:vMerge w:val="continue"/>
            <w:tcBorders>
              <w:top w:val="nil"/>
            </w:tcBorders>
          </w:tcPr>
          <w:p>
            <w:pPr>
              <w:rPr>
                <w:sz w:val="2"/>
                <w:szCs w:val="2"/>
              </w:rPr>
            </w:pPr>
          </w:p>
        </w:tc>
        <w:tc>
          <w:tcPr>
            <w:tcW w:w="1065" w:type="dxa"/>
            <w:vMerge w:val="continue"/>
            <w:tcBorders>
              <w:top w:val="nil"/>
            </w:tcBorders>
          </w:tcPr>
          <w:p>
            <w:pPr>
              <w:rPr>
                <w:sz w:val="2"/>
                <w:szCs w:val="2"/>
              </w:rPr>
            </w:pPr>
          </w:p>
        </w:tc>
        <w:tc>
          <w:tcPr>
            <w:tcW w:w="1065" w:type="dxa"/>
            <w:vMerge w:val="continue"/>
            <w:tcBorders>
              <w:top w:val="nil"/>
            </w:tcBorders>
          </w:tcPr>
          <w:p>
            <w:pPr>
              <w:rPr>
                <w:sz w:val="2"/>
                <w:szCs w:val="2"/>
              </w:rPr>
            </w:pPr>
          </w:p>
        </w:tc>
        <w:tc>
          <w:tcPr>
            <w:tcW w:w="1065" w:type="dxa"/>
            <w:vMerge w:val="continue"/>
            <w:tcBorders>
              <w:top w:val="nil"/>
            </w:tcBorders>
          </w:tcPr>
          <w:p>
            <w:pPr>
              <w:rPr>
                <w:sz w:val="2"/>
                <w:szCs w:val="2"/>
              </w:rPr>
            </w:pPr>
          </w:p>
        </w:tc>
        <w:tc>
          <w:tcPr>
            <w:tcW w:w="1066" w:type="dxa"/>
            <w:vMerge w:val="continue"/>
            <w:tcBorders>
              <w:top w:val="nil"/>
            </w:tcBorders>
          </w:tcPr>
          <w:p>
            <w:pPr>
              <w:rPr>
                <w:sz w:val="2"/>
                <w:szCs w:val="2"/>
              </w:rPr>
            </w:pPr>
          </w:p>
        </w:tc>
        <w:tc>
          <w:tcPr>
            <w:tcW w:w="106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065" w:type="dxa"/>
          </w:tcPr>
          <w:p>
            <w:pPr>
              <w:pStyle w:val="14"/>
              <w:spacing w:before="1"/>
              <w:rPr>
                <w:sz w:val="18"/>
              </w:rPr>
            </w:pPr>
          </w:p>
          <w:p>
            <w:pPr>
              <w:pStyle w:val="14"/>
              <w:ind w:left="482"/>
              <w:rPr>
                <w:sz w:val="20"/>
              </w:rPr>
            </w:pPr>
            <w:r>
              <w:rPr>
                <w:w w:val="99"/>
                <w:sz w:val="20"/>
              </w:rPr>
              <w:t>4</w:t>
            </w:r>
          </w:p>
        </w:tc>
        <w:tc>
          <w:tcPr>
            <w:tcW w:w="1065" w:type="dxa"/>
          </w:tcPr>
          <w:p>
            <w:pPr>
              <w:pStyle w:val="14"/>
              <w:spacing w:before="1"/>
              <w:rPr>
                <w:sz w:val="18"/>
              </w:rPr>
            </w:pPr>
          </w:p>
          <w:p>
            <w:pPr>
              <w:pStyle w:val="14"/>
              <w:ind w:left="311" w:right="301"/>
              <w:jc w:val="center"/>
              <w:rPr>
                <w:sz w:val="20"/>
              </w:rPr>
            </w:pPr>
            <w:r>
              <w:rPr>
                <w:sz w:val="20"/>
              </w:rPr>
              <w:t>25</w:t>
            </w:r>
          </w:p>
        </w:tc>
        <w:tc>
          <w:tcPr>
            <w:tcW w:w="1065" w:type="dxa"/>
          </w:tcPr>
          <w:p>
            <w:pPr>
              <w:pStyle w:val="14"/>
              <w:spacing w:before="1"/>
              <w:rPr>
                <w:sz w:val="18"/>
              </w:rPr>
            </w:pPr>
          </w:p>
          <w:p>
            <w:pPr>
              <w:pStyle w:val="14"/>
              <w:ind w:left="332"/>
              <w:rPr>
                <w:sz w:val="20"/>
              </w:rPr>
            </w:pPr>
            <w:r>
              <w:rPr>
                <w:sz w:val="20"/>
              </w:rPr>
              <w:t>收-2</w:t>
            </w:r>
          </w:p>
        </w:tc>
        <w:tc>
          <w:tcPr>
            <w:tcW w:w="1065" w:type="dxa"/>
          </w:tcPr>
          <w:p>
            <w:pPr>
              <w:pStyle w:val="14"/>
              <w:spacing w:before="8" w:line="326" w:lineRule="exact"/>
              <w:ind w:left="332" w:right="122" w:hanging="202"/>
              <w:rPr>
                <w:sz w:val="20"/>
              </w:rPr>
            </w:pPr>
            <w:r>
              <w:rPr>
                <w:sz w:val="20"/>
              </w:rPr>
              <w:t>收到前欠货款</w:t>
            </w:r>
          </w:p>
        </w:tc>
        <w:tc>
          <w:tcPr>
            <w:tcW w:w="1065" w:type="dxa"/>
          </w:tcPr>
          <w:p>
            <w:pPr>
              <w:pStyle w:val="14"/>
              <w:spacing w:before="1"/>
              <w:rPr>
                <w:sz w:val="18"/>
              </w:rPr>
            </w:pPr>
          </w:p>
          <w:p>
            <w:pPr>
              <w:pStyle w:val="14"/>
              <w:ind w:left="280"/>
              <w:rPr>
                <w:sz w:val="20"/>
              </w:rPr>
            </w:pPr>
            <w:r>
              <w:rPr>
                <w:sz w:val="20"/>
              </w:rPr>
              <w:t>20000</w:t>
            </w:r>
          </w:p>
        </w:tc>
        <w:tc>
          <w:tcPr>
            <w:tcW w:w="1065" w:type="dxa"/>
          </w:tcPr>
          <w:p>
            <w:pPr>
              <w:pStyle w:val="14"/>
              <w:rPr>
                <w:rFonts w:ascii="Times New Roman"/>
                <w:sz w:val="18"/>
              </w:rPr>
            </w:pPr>
          </w:p>
        </w:tc>
        <w:tc>
          <w:tcPr>
            <w:tcW w:w="1066" w:type="dxa"/>
          </w:tcPr>
          <w:p>
            <w:pPr>
              <w:pStyle w:val="14"/>
              <w:spacing w:before="1"/>
              <w:rPr>
                <w:sz w:val="18"/>
              </w:rPr>
            </w:pPr>
          </w:p>
          <w:p>
            <w:pPr>
              <w:pStyle w:val="14"/>
              <w:ind w:left="8"/>
              <w:jc w:val="center"/>
              <w:rPr>
                <w:sz w:val="20"/>
              </w:rPr>
            </w:pPr>
            <w:r>
              <w:rPr>
                <w:w w:val="99"/>
                <w:sz w:val="20"/>
              </w:rPr>
              <w:t>借</w:t>
            </w:r>
          </w:p>
        </w:tc>
        <w:tc>
          <w:tcPr>
            <w:tcW w:w="1066" w:type="dxa"/>
          </w:tcPr>
          <w:p>
            <w:pPr>
              <w:pStyle w:val="14"/>
              <w:spacing w:before="1"/>
              <w:rPr>
                <w:sz w:val="18"/>
              </w:rPr>
            </w:pPr>
          </w:p>
          <w:p>
            <w:pPr>
              <w:pStyle w:val="14"/>
              <w:ind w:left="283"/>
              <w:rPr>
                <w:sz w:val="20"/>
              </w:rPr>
            </w:pPr>
            <w:r>
              <w:rPr>
                <w:sz w:val="20"/>
              </w:rPr>
              <w:t>20000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065" w:type="dxa"/>
          </w:tcPr>
          <w:p>
            <w:pPr>
              <w:pStyle w:val="14"/>
              <w:rPr>
                <w:rFonts w:ascii="Times New Roman"/>
                <w:sz w:val="18"/>
              </w:rPr>
            </w:pPr>
          </w:p>
        </w:tc>
        <w:tc>
          <w:tcPr>
            <w:tcW w:w="1065" w:type="dxa"/>
          </w:tcPr>
          <w:p>
            <w:pPr>
              <w:pStyle w:val="14"/>
              <w:rPr>
                <w:rFonts w:ascii="Times New Roman"/>
                <w:sz w:val="18"/>
              </w:rPr>
            </w:pPr>
          </w:p>
        </w:tc>
        <w:tc>
          <w:tcPr>
            <w:tcW w:w="1065" w:type="dxa"/>
          </w:tcPr>
          <w:p>
            <w:pPr>
              <w:pStyle w:val="14"/>
              <w:rPr>
                <w:rFonts w:ascii="Times New Roman"/>
                <w:sz w:val="18"/>
              </w:rPr>
            </w:pPr>
          </w:p>
        </w:tc>
        <w:tc>
          <w:tcPr>
            <w:tcW w:w="1065" w:type="dxa"/>
          </w:tcPr>
          <w:p>
            <w:pPr>
              <w:pStyle w:val="14"/>
              <w:rPr>
                <w:rFonts w:ascii="Times New Roman"/>
                <w:sz w:val="18"/>
              </w:rPr>
            </w:pPr>
          </w:p>
        </w:tc>
        <w:tc>
          <w:tcPr>
            <w:tcW w:w="1065" w:type="dxa"/>
          </w:tcPr>
          <w:p>
            <w:pPr>
              <w:pStyle w:val="14"/>
              <w:rPr>
                <w:rFonts w:ascii="Times New Roman"/>
                <w:sz w:val="18"/>
              </w:rPr>
            </w:pPr>
          </w:p>
        </w:tc>
        <w:tc>
          <w:tcPr>
            <w:tcW w:w="1065" w:type="dxa"/>
          </w:tcPr>
          <w:p>
            <w:pPr>
              <w:pStyle w:val="14"/>
              <w:rPr>
                <w:rFonts w:ascii="Times New Roman"/>
                <w:sz w:val="18"/>
              </w:rPr>
            </w:pPr>
          </w:p>
        </w:tc>
        <w:tc>
          <w:tcPr>
            <w:tcW w:w="1066" w:type="dxa"/>
          </w:tcPr>
          <w:p>
            <w:pPr>
              <w:pStyle w:val="14"/>
              <w:rPr>
                <w:rFonts w:ascii="Times New Roman"/>
                <w:sz w:val="18"/>
              </w:rPr>
            </w:pPr>
          </w:p>
        </w:tc>
        <w:tc>
          <w:tcPr>
            <w:tcW w:w="1066" w:type="dxa"/>
          </w:tcPr>
          <w:p>
            <w:pPr>
              <w:pStyle w:val="14"/>
              <w:rPr>
                <w:rFonts w:ascii="Times New Roman"/>
                <w:sz w:val="18"/>
              </w:rPr>
            </w:pPr>
          </w:p>
        </w:tc>
      </w:tr>
    </w:tbl>
    <w:p>
      <w:pPr>
        <w:pStyle w:val="6"/>
        <w:spacing w:before="69"/>
      </w:pPr>
      <w:r>
        <w:t>②简化结构</w:t>
      </w:r>
    </w:p>
    <w:p>
      <w:pPr>
        <w:pStyle w:val="6"/>
      </w:pPr>
      <w:r>
        <w:t>从账户名称、记录增加额和减少额的左右两方来看，账户结构在整体上类似于汉字“丁”和大写的英文字母</w:t>
      </w:r>
    </w:p>
    <w:p>
      <w:pPr>
        <w:spacing w:after="0"/>
        <w:sectPr>
          <w:pgSz w:w="11910" w:h="16160"/>
          <w:pgMar w:top="1680" w:right="360" w:bottom="860" w:left="760" w:header="0" w:footer="584" w:gutter="0"/>
        </w:sectPr>
      </w:pPr>
    </w:p>
    <w:p>
      <w:pPr>
        <w:pStyle w:val="6"/>
        <w:spacing w:before="11"/>
        <w:ind w:left="0"/>
        <w:rPr>
          <w:sz w:val="13"/>
        </w:rPr>
      </w:pPr>
    </w:p>
    <w:p>
      <w:pPr>
        <w:pStyle w:val="6"/>
        <w:spacing w:before="71"/>
        <w:ind w:left="322"/>
      </w:pPr>
      <w:r>
        <w:rPr>
          <w:spacing w:val="2"/>
          <w:w w:val="99"/>
        </w:rPr>
        <w:t>“</w:t>
      </w:r>
      <w:r>
        <w:rPr>
          <w:spacing w:val="-2"/>
          <w:w w:val="99"/>
        </w:rPr>
        <w:t>T</w:t>
      </w:r>
      <w:r>
        <w:rPr>
          <w:spacing w:val="-10"/>
          <w:w w:val="99"/>
        </w:rPr>
        <w:t>”，因此，账户的基本结构在实务中被形象地称为“丁”字账户或者“</w:t>
      </w:r>
      <w:r>
        <w:rPr>
          <w:spacing w:val="1"/>
          <w:w w:val="99"/>
        </w:rPr>
        <w:t>T</w:t>
      </w:r>
      <w:r>
        <w:rPr>
          <w:w w:val="99"/>
        </w:rPr>
        <w:t>”型账户。</w:t>
      </w:r>
    </w:p>
    <w:p>
      <w:pPr>
        <w:pStyle w:val="13"/>
        <w:numPr>
          <w:ilvl w:val="0"/>
          <w:numId w:val="19"/>
        </w:numPr>
        <w:tabs>
          <w:tab w:val="left" w:pos="925"/>
        </w:tabs>
        <w:spacing w:before="70" w:after="0" w:line="240" w:lineRule="auto"/>
        <w:ind w:left="924" w:right="0" w:hanging="202"/>
        <w:jc w:val="left"/>
        <w:rPr>
          <w:sz w:val="20"/>
        </w:rPr>
      </w:pPr>
      <w:r>
        <w:rPr>
          <w:b/>
          <w:sz w:val="20"/>
        </w:rPr>
        <w:t>账户与科目的关系:</w:t>
      </w:r>
      <w:r>
        <w:rPr>
          <w:sz w:val="20"/>
        </w:rPr>
        <w:t>从理论上讲，会计科目与账户是两个不同的概念，二者既有联系，又有区别。</w:t>
      </w:r>
    </w:p>
    <w:p>
      <w:pPr>
        <w:pStyle w:val="6"/>
        <w:spacing w:line="304" w:lineRule="auto"/>
        <w:ind w:left="322" w:right="738" w:firstLine="400"/>
      </w:pPr>
      <w:r>
        <w:rPr>
          <w:w w:val="95"/>
        </w:rPr>
        <w:t>①联系：会计科目与账户都是对会计对象具体内容的分类，两者核算</w:t>
      </w:r>
      <w:r>
        <w:rPr>
          <w:color w:val="FF0000"/>
          <w:w w:val="95"/>
          <w:u w:val="double" w:color="FF0000"/>
        </w:rPr>
        <w:t xml:space="preserve">内容一致，性质相同。会计科目是账户   </w:t>
      </w:r>
      <w:r>
        <w:rPr>
          <w:color w:val="FF0000"/>
          <w:u w:val="double" w:color="FF0000"/>
        </w:rPr>
        <w:t>的名称，也是设置账户的依据；账户是会计科目的具体运用</w:t>
      </w:r>
      <w:r>
        <w:t>。</w:t>
      </w:r>
    </w:p>
    <w:p>
      <w:pPr>
        <w:spacing w:before="2" w:line="302" w:lineRule="auto"/>
        <w:ind w:left="723" w:right="3006" w:firstLine="0"/>
        <w:jc w:val="left"/>
        <w:rPr>
          <w:sz w:val="20"/>
        </w:rPr>
      </w:pPr>
      <w:r>
        <w:rPr>
          <w:w w:val="95"/>
          <w:sz w:val="20"/>
        </w:rPr>
        <w:t>②区别：</w:t>
      </w:r>
      <w:r>
        <w:rPr>
          <w:color w:val="FF0000"/>
          <w:w w:val="95"/>
          <w:sz w:val="20"/>
          <w:u w:val="double" w:color="FF0000"/>
        </w:rPr>
        <w:t>账户具有一定的结构和格式，科目仅仅是账户的名称，没有结构和格式</w:t>
      </w:r>
      <w:r>
        <w:rPr>
          <w:w w:val="95"/>
          <w:sz w:val="20"/>
        </w:rPr>
        <w:t xml:space="preserve">。 </w:t>
      </w:r>
      <w:r>
        <w:rPr>
          <w:sz w:val="20"/>
        </w:rPr>
        <w:t>在实际工作中，</w:t>
      </w:r>
      <w:r>
        <w:rPr>
          <w:b/>
          <w:color w:val="00AFEF"/>
          <w:sz w:val="20"/>
          <w:u w:val="single" w:color="00AFEF"/>
        </w:rPr>
        <w:t>对科目和账户不加严格区分，可以相互通用</w:t>
      </w:r>
      <w:r>
        <w:rPr>
          <w:sz w:val="20"/>
        </w:rPr>
        <w:t>。</w:t>
      </w:r>
    </w:p>
    <w:p>
      <w:pPr>
        <w:pStyle w:val="5"/>
        <w:spacing w:before="5"/>
      </w:pPr>
      <w:r>
        <w:t>（三）常用会计科目概念</w:t>
      </w:r>
    </w:p>
    <w:p>
      <w:pPr>
        <w:pStyle w:val="6"/>
      </w:pPr>
      <w:r>
        <w:t>1、库存现金：企业的库存现金。</w:t>
      </w:r>
    </w:p>
    <w:p>
      <w:pPr>
        <w:pStyle w:val="6"/>
      </w:pPr>
      <w:r>
        <w:t>2、银行存款：企业存入银行或其他金融机构的各种款项。</w:t>
      </w:r>
    </w:p>
    <w:p>
      <w:pPr>
        <w:pStyle w:val="6"/>
        <w:spacing w:line="304" w:lineRule="auto"/>
        <w:ind w:left="322" w:right="726" w:firstLine="400"/>
      </w:pPr>
      <w:r>
        <w:rPr>
          <w:w w:val="95"/>
        </w:rPr>
        <w:t>3、其他货币资金：企业的</w:t>
      </w:r>
      <w:r>
        <w:rPr>
          <w:color w:val="FF0000"/>
          <w:w w:val="95"/>
          <w:u w:val="double" w:color="FF0000"/>
        </w:rPr>
        <w:t xml:space="preserve">银行汇票存款、银行本票存款、信用卡存款、信用证保证金存款、存出投资款、外  </w:t>
      </w:r>
      <w:r>
        <w:rPr>
          <w:color w:val="FF0000"/>
          <w:u w:val="double" w:color="FF0000"/>
        </w:rPr>
        <w:t>埠存款</w:t>
      </w:r>
      <w:r>
        <w:t>等其他货币资金存款。</w:t>
      </w:r>
    </w:p>
    <w:p>
      <w:pPr>
        <w:pStyle w:val="6"/>
        <w:spacing w:before="0" w:line="256" w:lineRule="exact"/>
      </w:pPr>
      <w:r>
        <w:t>4、交易性金融资产：企业为交易目的所持有的债券投资、股票投资、基金投资等交易性金融资产的公允价</w:t>
      </w:r>
    </w:p>
    <w:p>
      <w:pPr>
        <w:pStyle w:val="6"/>
        <w:ind w:left="322"/>
      </w:pPr>
      <w:r>
        <w:t>值。</w:t>
      </w:r>
    </w:p>
    <w:p>
      <w:pPr>
        <w:pStyle w:val="6"/>
        <w:spacing w:before="71"/>
      </w:pPr>
      <w:r>
        <w:t>5、应收票据：企业因销售商品、提供劳务等而收到的商业汇票，包括</w:t>
      </w:r>
      <w:r>
        <w:rPr>
          <w:color w:val="FF0000"/>
          <w:u w:val="double" w:color="FF0000"/>
        </w:rPr>
        <w:t>银行承兑汇票和商业承兑汇票</w:t>
      </w:r>
      <w:r>
        <w:t>。</w:t>
      </w:r>
    </w:p>
    <w:p>
      <w:pPr>
        <w:pStyle w:val="6"/>
      </w:pPr>
      <w:r>
        <w:t>6、应收账款：企业因销售商品、提供劳务等经营活动应收取的款项。</w:t>
      </w:r>
    </w:p>
    <w:p>
      <w:pPr>
        <w:pStyle w:val="6"/>
      </w:pPr>
      <w:r>
        <w:t>7、其他应收款：企业除存出保证金、买入返售金融资产、应收票据、应收账款、应付账款、应收股利、应</w:t>
      </w:r>
    </w:p>
    <w:p>
      <w:pPr>
        <w:pStyle w:val="6"/>
        <w:spacing w:line="302" w:lineRule="auto"/>
        <w:ind w:right="621" w:hanging="401"/>
      </w:pPr>
      <w:r>
        <w:rPr>
          <w:spacing w:val="-13"/>
          <w:w w:val="95"/>
        </w:rPr>
        <w:t xml:space="preserve">收利息、应收代位追偿费、应收分保账款、应收分保合同准备金、长期应收款等以外的其他各种应收及暂付款项。     </w:t>
      </w:r>
      <w:r>
        <w:rPr>
          <w:spacing w:val="-13"/>
        </w:rPr>
        <w:t>8、坏账准备：企业应收账款的坏账准备。</w:t>
      </w:r>
    </w:p>
    <w:p>
      <w:pPr>
        <w:pStyle w:val="6"/>
        <w:spacing w:before="5" w:line="304" w:lineRule="auto"/>
        <w:ind w:left="322" w:right="761" w:firstLine="400"/>
      </w:pPr>
      <w:r>
        <w:rPr>
          <w:w w:val="95"/>
        </w:rPr>
        <w:t xml:space="preserve">9、预付账款：企业按照合同规定的预付款项。预付款项情况不多的，也可以不设置本科目，将预付的款项   </w:t>
      </w:r>
      <w:r>
        <w:t>直接记入“应付账款”科目。</w:t>
      </w:r>
    </w:p>
    <w:p>
      <w:pPr>
        <w:pStyle w:val="6"/>
        <w:spacing w:before="2"/>
      </w:pPr>
      <w:r>
        <w:t>10、材料采购：企业采用计划成本进行材料日常核算而购入的材料的采购成本。</w:t>
      </w:r>
    </w:p>
    <w:p>
      <w:pPr>
        <w:pStyle w:val="6"/>
        <w:spacing w:line="304" w:lineRule="auto"/>
        <w:ind w:left="322" w:right="648" w:firstLine="400"/>
      </w:pPr>
      <w:r>
        <w:rPr>
          <w:w w:val="95"/>
        </w:rPr>
        <w:t xml:space="preserve">11、在途物资：企业采用实际成本（或进价）进行材料、商品等物质的日常核算、货款已付尚未验收入库的   </w:t>
      </w:r>
      <w:r>
        <w:t>在途物资的采购成本。</w:t>
      </w:r>
    </w:p>
    <w:p>
      <w:pPr>
        <w:pStyle w:val="6"/>
        <w:spacing w:before="0" w:line="256" w:lineRule="exact"/>
      </w:pPr>
      <w:r>
        <w:t>12、材料成本差异：企业采用计划成本进行</w:t>
      </w:r>
      <w:r>
        <w:rPr>
          <w:color w:val="FF0000"/>
          <w:u w:val="double" w:color="FF0000"/>
        </w:rPr>
        <w:t>日常核算</w:t>
      </w:r>
      <w:r>
        <w:t>的材料计划成本与实际成本的差异。</w:t>
      </w:r>
    </w:p>
    <w:p>
      <w:pPr>
        <w:pStyle w:val="6"/>
      </w:pPr>
      <w:r>
        <w:t>13、原材料：企业库存的各种材料。</w:t>
      </w:r>
    </w:p>
    <w:p>
      <w:pPr>
        <w:pStyle w:val="6"/>
      </w:pPr>
      <w:r>
        <w:t>14、库存商品：企业库存的各种商品的实际成本（或进价）或计划成本（或售价</w:t>
      </w:r>
      <w:r>
        <w:rPr>
          <w:spacing w:val="-101"/>
        </w:rPr>
        <w:t>）</w:t>
      </w:r>
      <w:r>
        <w:t>。</w:t>
      </w:r>
    </w:p>
    <w:p>
      <w:pPr>
        <w:pStyle w:val="6"/>
      </w:pPr>
      <w:r>
        <w:t>15、固定资产：企业持有的固定资产原价（原值、余额</w:t>
      </w:r>
      <w:r>
        <w:rPr>
          <w:spacing w:val="-99"/>
        </w:rPr>
        <w:t>）</w:t>
      </w:r>
      <w:r>
        <w:t>。</w:t>
      </w:r>
    </w:p>
    <w:p>
      <w:pPr>
        <w:pStyle w:val="6"/>
      </w:pPr>
      <w:r>
        <mc:AlternateContent>
          <mc:Choice Requires="wps">
            <w:drawing>
              <wp:anchor distT="0" distB="0" distL="114300" distR="114300" simplePos="0" relativeHeight="15749120" behindDoc="0" locked="0" layoutInCell="1" allowOverlap="1">
                <wp:simplePos x="0" y="0"/>
                <wp:positionH relativeFrom="page">
                  <wp:posOffset>3417570</wp:posOffset>
                </wp:positionH>
                <wp:positionV relativeFrom="paragraph">
                  <wp:posOffset>182880</wp:posOffset>
                </wp:positionV>
                <wp:extent cx="251460" cy="5715"/>
                <wp:effectExtent l="0" t="0" r="0" b="0"/>
                <wp:wrapNone/>
                <wp:docPr id="32" name="任意多边形 4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42" o:spid="_x0000_s1026" o:spt="100" style="position:absolute;left:0pt;margin-left:269.1pt;margin-top:14.4pt;height:0.45pt;width:19.8pt;mso-position-horizontal-relative:page;z-index:15749120;mso-width-relative:page;mso-height-relative:page;" filled="f" stroked="t" coordsize="396,9" o:gfxdata="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0vzf1doAAAAJAQAADwAAAAAAAAABACAAAAAiAAAAZHJzL2Rvd25yZXYueG1sUEsBAhQAFAAAAAgA&#10;h07iQNQJ5huVAgAAVQcAAA4AAAAAAAAAAQAgAAAAKQ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16、累计折旧：企业固定资产的累计折旧。【</w:t>
      </w:r>
      <w:r>
        <w:rPr>
          <w:b/>
          <w:color w:val="00AFEF"/>
        </w:rPr>
        <w:t>提示</w:t>
      </w:r>
      <w:r>
        <w:t>】账面净值=固定资产原值-累计折旧</w:t>
      </w:r>
    </w:p>
    <w:p>
      <w:pPr>
        <w:pStyle w:val="6"/>
        <w:spacing w:before="71" w:line="302" w:lineRule="auto"/>
        <w:ind w:left="322" w:right="720" w:firstLine="400"/>
      </w:pPr>
      <w:r>
        <w:rPr>
          <w:w w:val="95"/>
        </w:rPr>
        <w:t>17</w:t>
      </w:r>
      <w:r>
        <w:rPr>
          <w:spacing w:val="-7"/>
          <w:w w:val="95"/>
        </w:rPr>
        <w:t xml:space="preserve">、固定资产清理：企业因出售、报废、毁损、对外投资、非货币性资产交换、债务重组等原因转出的固定   </w:t>
      </w:r>
      <w:r>
        <w:rPr>
          <w:spacing w:val="-7"/>
        </w:rPr>
        <w:t>资产价值以及在清理过程中发生的费用等。</w:t>
      </w:r>
    </w:p>
    <w:p>
      <w:pPr>
        <w:pStyle w:val="6"/>
        <w:spacing w:before="4"/>
      </w:pPr>
      <w:r>
        <mc:AlternateContent>
          <mc:Choice Requires="wps">
            <w:drawing>
              <wp:anchor distT="0" distB="0" distL="114300" distR="114300" simplePos="0" relativeHeight="15749120" behindDoc="0" locked="0" layoutInCell="1" allowOverlap="1">
                <wp:simplePos x="0" y="0"/>
                <wp:positionH relativeFrom="page">
                  <wp:posOffset>3925570</wp:posOffset>
                </wp:positionH>
                <wp:positionV relativeFrom="paragraph">
                  <wp:posOffset>140970</wp:posOffset>
                </wp:positionV>
                <wp:extent cx="251460" cy="5715"/>
                <wp:effectExtent l="0" t="0" r="0" b="0"/>
                <wp:wrapNone/>
                <wp:docPr id="30" name="任意多边形 4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43" o:spid="_x0000_s1026" o:spt="100" style="position:absolute;left:0pt;margin-left:309.1pt;margin-top:11.1pt;height:0.45pt;width:19.8pt;mso-position-horizontal-relative:page;z-index:15749120;mso-width-relative:page;mso-height-relative:page;" filled="f" stroked="t" coordsize="396,9" o:gfxdata="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YnGn&#10;XtkAAAAJAQAADwAAAAAAAAABACAAAAAiAAAAZHJzL2Rvd25yZXYueG1sUEsBAhQAFAAAAAgAh07i&#10;QMr8ibKTAgAAVQcAAA4AAAAAAAAAAQAgAAAAKA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18、固定资产减值准备：企业固定资产的减值准备。【</w:t>
      </w:r>
      <w:r>
        <w:rPr>
          <w:b/>
          <w:color w:val="00AFEF"/>
        </w:rPr>
        <w:t>提示</w:t>
      </w:r>
      <w:r>
        <w:t>】账面价值=固定资产原值-累计折旧-减值准备</w:t>
      </w:r>
    </w:p>
    <w:p>
      <w:pPr>
        <w:pStyle w:val="6"/>
      </w:pPr>
      <w:r>
        <w:t>19、在建工程：企业基建、更新改造等在建工程发生的支出。</w:t>
      </w:r>
    </w:p>
    <w:p>
      <w:pPr>
        <w:pStyle w:val="6"/>
      </w:pPr>
      <w:r>
        <w:t>20、工程物资：企业为在建工程准备的各种物资的成本。</w:t>
      </w:r>
    </w:p>
    <w:p>
      <w:pPr>
        <w:pStyle w:val="6"/>
        <w:spacing w:before="71"/>
      </w:pPr>
      <w:r>
        <w:t>21、无形资产：企业持有的无形资产成本，包括专利权、非专利技术、商标权、著作权、土地所有权等。</w:t>
      </w:r>
    </w:p>
    <w:p>
      <w:pPr>
        <w:pStyle w:val="6"/>
      </w:pPr>
      <w:r>
        <w:t>22、累计摊销：企业对使用寿命有限的无形资产计提的累计摊销。</w:t>
      </w:r>
    </w:p>
    <w:p>
      <w:pPr>
        <w:pStyle w:val="6"/>
        <w:spacing w:before="68"/>
      </w:pPr>
      <w:r>
        <w:t>23、无形资产减值准备：企业无形资产的减值准备。</w:t>
      </w:r>
    </w:p>
    <w:p>
      <w:pPr>
        <w:pStyle w:val="6"/>
        <w:spacing w:line="304" w:lineRule="auto"/>
        <w:ind w:left="322" w:right="722" w:firstLine="400"/>
      </w:pPr>
      <w:r>
        <w:t>24</w:t>
      </w:r>
      <w:r>
        <w:rPr>
          <w:spacing w:val="-9"/>
        </w:rPr>
        <w:t xml:space="preserve">、长期待摊费用：企业已经发生但应由本期和以后各期负担的分摊期限在 </w:t>
      </w:r>
      <w:r>
        <w:t>1</w:t>
      </w:r>
      <w:r>
        <w:rPr>
          <w:spacing w:val="-10"/>
        </w:rPr>
        <w:t xml:space="preserve"> 年以上的各项费用，如以经营租赁方式租入的固定资产发生的改良支出等。</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6"/>
        <w:spacing w:before="71" w:line="304" w:lineRule="auto"/>
        <w:ind w:left="322" w:right="722" w:firstLine="400"/>
      </w:pPr>
      <w:r>
        <w:rPr>
          <w:w w:val="95"/>
        </w:rPr>
        <w:t>25</w:t>
      </w:r>
      <w:r>
        <w:rPr>
          <w:spacing w:val="-8"/>
          <w:w w:val="95"/>
        </w:rPr>
        <w:t xml:space="preserve">、待处理财产损溢：企业在清查财产过程中查出的各种资产盘盈、盘亏和毁损的价值。物资在运输过程中   </w:t>
      </w:r>
      <w:r>
        <w:rPr>
          <w:spacing w:val="-8"/>
        </w:rPr>
        <w:t>发生的非正常短缺与损耗，也通过本科目核算</w:t>
      </w:r>
    </w:p>
    <w:p>
      <w:pPr>
        <w:pStyle w:val="6"/>
        <w:spacing w:before="2"/>
      </w:pPr>
      <w:r>
        <w:t>26、短期借款：企业向银行或其他金融机构等借入的期限在 1 年以下（含 1 年）的各种借款。</w:t>
      </w:r>
    </w:p>
    <w:p>
      <w:pPr>
        <w:pStyle w:val="6"/>
        <w:spacing w:line="304" w:lineRule="auto"/>
        <w:ind w:left="322" w:right="720" w:firstLine="400"/>
      </w:pPr>
      <w:r>
        <w:rPr>
          <w:w w:val="95"/>
        </w:rPr>
        <w:t>27</w:t>
      </w:r>
      <w:r>
        <w:rPr>
          <w:spacing w:val="-8"/>
          <w:w w:val="95"/>
        </w:rPr>
        <w:t xml:space="preserve">、应付票据：企业购买材料、商品或接受劳务供应等开出、承兑的商业汇票，包括银行承兑汇票和商业承   </w:t>
      </w:r>
      <w:r>
        <w:rPr>
          <w:spacing w:val="-8"/>
        </w:rPr>
        <w:t>兑汇票。</w:t>
      </w:r>
    </w:p>
    <w:p>
      <w:pPr>
        <w:pStyle w:val="6"/>
        <w:spacing w:before="0" w:line="256" w:lineRule="exact"/>
      </w:pPr>
      <w:r>
        <w:t>28、应付账款：企业应购买材料、商品或接受劳务等经营活动应支付的款项。</w:t>
      </w:r>
    </w:p>
    <w:p>
      <w:pPr>
        <w:pStyle w:val="6"/>
      </w:pPr>
      <w:r>
        <w:t>29、预收账款：企业按照合同规定预收的款项。</w:t>
      </w:r>
    </w:p>
    <w:p>
      <w:pPr>
        <w:pStyle w:val="6"/>
        <w:spacing w:line="304" w:lineRule="auto"/>
        <w:ind w:left="322" w:right="621" w:firstLine="400"/>
      </w:pPr>
      <w:r>
        <w:rPr>
          <w:w w:val="95"/>
        </w:rPr>
        <w:t>30</w:t>
      </w:r>
      <w:r>
        <w:rPr>
          <w:spacing w:val="-13"/>
          <w:w w:val="95"/>
        </w:rPr>
        <w:t xml:space="preserve">、其他应付款：企业除应付票据、应付账款、预收账款、应付职工薪酬、应付利息、应付股利、应交税费、   </w:t>
      </w:r>
      <w:r>
        <w:rPr>
          <w:spacing w:val="-13"/>
        </w:rPr>
        <w:t>长期应付款等以外的其他各项应付或暂收款项。</w:t>
      </w:r>
    </w:p>
    <w:p>
      <w:pPr>
        <w:pStyle w:val="6"/>
        <w:spacing w:before="2" w:line="304" w:lineRule="auto"/>
        <w:ind w:left="322" w:right="720" w:firstLine="400"/>
        <w:jc w:val="both"/>
      </w:pPr>
      <w:r>
        <w:rPr>
          <w:w w:val="95"/>
        </w:rPr>
        <w:t>31</w:t>
      </w:r>
      <w:r>
        <w:rPr>
          <w:spacing w:val="-18"/>
          <w:w w:val="95"/>
        </w:rPr>
        <w:t xml:space="preserve">、应付职工薪酬：企业根据有关规定应付给职工的各种薪酬。本科目可按“工资”、“职工福利”、“社会保    </w:t>
      </w:r>
      <w:r>
        <w:rPr>
          <w:spacing w:val="-41"/>
          <w:w w:val="95"/>
        </w:rPr>
        <w:t xml:space="preserve">险费”、“住房公积金”、“工会经费”、“职工教育经费”、“非货币性福利”、“辞退福利”、“股份支付”等进行明细    </w:t>
      </w:r>
      <w:r>
        <w:rPr>
          <w:spacing w:val="-41"/>
        </w:rPr>
        <w:t>核算。</w:t>
      </w:r>
    </w:p>
    <w:p>
      <w:pPr>
        <w:pStyle w:val="6"/>
        <w:spacing w:before="1"/>
      </w:pPr>
      <w:r>
        <w:t>32、应交税费：企业按照税法等规定计算应交纳的各种税费。</w:t>
      </w:r>
    </w:p>
    <w:p>
      <w:pPr>
        <w:pStyle w:val="6"/>
      </w:pPr>
      <w:r>
        <w:t>33、应付股利：企业分配的现金股利或利润。</w:t>
      </w:r>
    </w:p>
    <w:p>
      <w:pPr>
        <w:pStyle w:val="6"/>
      </w:pPr>
      <w:r>
        <w:t>34、长期借款：企业向银行或其他金融机构借入的期限在 1 年以上（不含 1 年）的各项借款。</w:t>
      </w:r>
    </w:p>
    <w:p>
      <w:pPr>
        <w:pStyle w:val="6"/>
      </w:pPr>
      <w:r>
        <w:t>35、长期应付款：企业除长期借款和应付债券以外的其他各种长期应付款项。</w:t>
      </w:r>
    </w:p>
    <w:p>
      <w:pPr>
        <w:pStyle w:val="6"/>
      </w:pPr>
      <w:r>
        <w:t>36、清算资金往来、货币兑换、衍生工具、套期工具、被套期项目。</w:t>
      </w:r>
    </w:p>
    <w:p>
      <w:pPr>
        <w:pStyle w:val="6"/>
        <w:spacing w:before="68"/>
      </w:pPr>
      <w:r>
        <w:t>37、实收资本：企业接受投资者投入的实收资本。股份有限公司应将本科目改为“股本”科目。</w:t>
      </w:r>
    </w:p>
    <w:p>
      <w:pPr>
        <w:pStyle w:val="6"/>
      </w:pPr>
      <w:r>
        <w:t>38、资本公积：企业收到投资者出资额超出其在注册资本或股本中所占份额的部分。</w:t>
      </w:r>
    </w:p>
    <w:p>
      <w:pPr>
        <w:pStyle w:val="6"/>
      </w:pPr>
      <w:r>
        <w:t>39、盈余公积：企业从净利润中提取的盈余公积。</w:t>
      </w:r>
    </w:p>
    <w:p>
      <w:pPr>
        <w:pStyle w:val="6"/>
        <w:spacing w:before="71"/>
      </w:pPr>
      <w:r>
        <w:t>40、本年利润：企业当期实现的净利润（或发生的净亏损</w:t>
      </w:r>
      <w:r>
        <w:rPr>
          <w:spacing w:val="-99"/>
        </w:rPr>
        <w:t>）</w:t>
      </w:r>
      <w:r>
        <w:t>。</w:t>
      </w:r>
    </w:p>
    <w:p>
      <w:pPr>
        <w:pStyle w:val="6"/>
      </w:pPr>
      <w:r>
        <w:t>41、利润分配：企业利润的分配（或亏损的弥补）和历年分配（或弥补）后的余额。</w:t>
      </w:r>
    </w:p>
    <w:p>
      <w:pPr>
        <w:pStyle w:val="6"/>
      </w:pPr>
      <w:r>
        <w:t>42、生产成本：企业进行工业性生产发生的各项生产成本。</w:t>
      </w:r>
    </w:p>
    <w:p>
      <w:pPr>
        <w:pStyle w:val="6"/>
        <w:spacing w:before="68"/>
      </w:pPr>
      <w:r>
        <w:t>43、制造费用：企业生产车间（部门）为生产产品和提供劳务而发生的各项间接费用。</w:t>
      </w:r>
    </w:p>
    <w:p>
      <w:pPr>
        <w:pStyle w:val="6"/>
      </w:pPr>
      <w:r>
        <mc:AlternateContent>
          <mc:Choice Requires="wps">
            <w:drawing>
              <wp:anchor distT="0" distB="0" distL="114300" distR="114300" simplePos="0" relativeHeight="15750144" behindDoc="0" locked="0" layoutInCell="1" allowOverlap="1">
                <wp:simplePos x="0" y="0"/>
                <wp:positionH relativeFrom="page">
                  <wp:posOffset>1068705</wp:posOffset>
                </wp:positionH>
                <wp:positionV relativeFrom="paragraph">
                  <wp:posOffset>182880</wp:posOffset>
                </wp:positionV>
                <wp:extent cx="251460" cy="5715"/>
                <wp:effectExtent l="0" t="0" r="0" b="0"/>
                <wp:wrapNone/>
                <wp:docPr id="34" name="任意多边形 4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44" o:spid="_x0000_s1026" o:spt="100" style="position:absolute;left:0pt;margin-left:84.15pt;margin-top:14.4pt;height:0.45pt;width:19.8pt;mso-position-horizontal-relative:page;z-index:15750144;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pzTz2QAAAAkBAAAPAAAAAAAAAAEAIAAAACIAAABkcnMvZG93bnJldi54bWxQSwECFAAUAAAACACH&#10;TuJAd9sx6ZUCAABV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】①合同取得成本：核算企业取得合同发生的，预计能够收回的增量成本；如销售人员的佣金。</w:t>
      </w:r>
    </w:p>
    <w:p>
      <w:pPr>
        <w:pStyle w:val="6"/>
        <w:spacing w:line="304" w:lineRule="auto"/>
        <w:ind w:left="322" w:right="722" w:firstLine="400"/>
      </w:pPr>
      <w:r>
        <w:rPr>
          <w:spacing w:val="-5"/>
          <w:w w:val="95"/>
        </w:rPr>
        <w:t xml:space="preserve">②合同履约成本：企业为履行当前或预期取得的合同所发生的，不属于其他企业会计准则规范范围且按照收   </w:t>
      </w:r>
      <w:r>
        <w:rPr>
          <w:spacing w:val="-5"/>
        </w:rPr>
        <w:t>入准则应当确认为一项资产的成本。</w:t>
      </w:r>
    </w:p>
    <w:p>
      <w:pPr>
        <w:pStyle w:val="6"/>
        <w:spacing w:before="2"/>
      </w:pPr>
      <w:r>
        <w:t>44、主营业务收入：企业确认的销售商品、提供劳务等主营业务的收入。</w:t>
      </w:r>
    </w:p>
    <w:p>
      <w:pPr>
        <w:pStyle w:val="6"/>
      </w:pPr>
      <w:r>
        <w:t>45、主营业务成本：企业确认销售商品、提供劳务等主营业务收入时应结转的成本。</w:t>
      </w:r>
    </w:p>
    <w:p>
      <w:pPr>
        <w:pStyle w:val="6"/>
        <w:spacing w:before="68"/>
      </w:pPr>
      <w:r>
        <w:t>46、投资收益：企业确认的投资收益或投资损失。</w:t>
      </w:r>
    </w:p>
    <w:p>
      <w:pPr>
        <w:pStyle w:val="6"/>
      </w:pPr>
      <w:r>
        <w:t>47、营业外收入：企业发生的各项营业外收入。</w:t>
      </w:r>
    </w:p>
    <w:p>
      <w:pPr>
        <w:pStyle w:val="6"/>
      </w:pPr>
      <w:r>
        <w:t>48、其他业务收入：企业确认的除主营业务活动以外的其他经营活动实现的收入。</w:t>
      </w:r>
    </w:p>
    <w:p>
      <w:pPr>
        <w:pStyle w:val="6"/>
      </w:pPr>
      <w:r>
        <w:t>49、其他业务成本：企业确认的除主营业务活动以外的其他经营活动所发生的支出。</w:t>
      </w:r>
    </w:p>
    <w:p>
      <w:pPr>
        <w:pStyle w:val="6"/>
      </w:pPr>
      <w:r>
        <w:t>50、税金及附加：企业经营活动发生的消费税、城市维护建设税、资源税和教育费附加等相关税费。</w:t>
      </w:r>
    </w:p>
    <w:p>
      <w:pPr>
        <w:pStyle w:val="6"/>
      </w:pPr>
      <w:r>
        <w:t>51、销售费用：企业销售商品和材料提供劳务的过程中发生的各种费用。</w:t>
      </w:r>
    </w:p>
    <w:p>
      <w:pPr>
        <w:pStyle w:val="6"/>
        <w:spacing w:before="68"/>
      </w:pPr>
      <w:r>
        <w:rPr>
          <w:w w:val="95"/>
        </w:rPr>
        <w:t>52、管理费用：企业为组织管理企业生产经营所发生的管理费用。</w:t>
      </w:r>
    </w:p>
    <w:p>
      <w:pPr>
        <w:pStyle w:val="6"/>
      </w:pPr>
      <w:r>
        <w:rPr>
          <w:w w:val="95"/>
        </w:rPr>
        <w:t>53、财务费用：企业为筹集生产经营所需资金而发生才筹资费用。</w:t>
      </w:r>
    </w:p>
    <w:p>
      <w:pPr>
        <w:pStyle w:val="6"/>
        <w:spacing w:before="71"/>
      </w:pPr>
      <w:r>
        <w:t>54、资产减值损失：企业计提各项资产减值准备所形成的损失。</w:t>
      </w:r>
    </w:p>
    <w:p>
      <w:pPr>
        <w:spacing w:after="0"/>
        <w:sectPr>
          <w:pgSz w:w="11910" w:h="16160"/>
          <w:pgMar w:top="1680" w:right="360" w:bottom="860" w:left="760" w:header="0" w:footer="584" w:gutter="0"/>
        </w:sectPr>
      </w:pPr>
    </w:p>
    <w:p>
      <w:pPr>
        <w:pStyle w:val="6"/>
        <w:spacing w:before="11"/>
        <w:ind w:left="0"/>
        <w:rPr>
          <w:sz w:val="13"/>
        </w:rPr>
      </w:pPr>
    </w:p>
    <w:p>
      <w:pPr>
        <w:pStyle w:val="6"/>
        <w:spacing w:before="71"/>
      </w:pPr>
      <w:r>
        <w:t>55、信用减值损失：企业计提的各项金融工具减值准备所形成的预期信用损失。</w:t>
      </w:r>
    </w:p>
    <w:p>
      <w:pPr>
        <w:pStyle w:val="6"/>
      </w:pPr>
      <w:r>
        <w:t>56、营业外支出：企业发生的各项营业外支出。</w:t>
      </w:r>
    </w:p>
    <w:p>
      <w:pPr>
        <w:pStyle w:val="6"/>
      </w:pPr>
      <w:r>
        <w:t>57、所得税费用：企业确认的应从当期利润总额中扣除的所得税费用。</w:t>
      </w:r>
    </w:p>
    <w:p>
      <w:pPr>
        <w:spacing w:before="22"/>
        <w:ind w:left="742" w:right="0" w:firstLine="0"/>
        <w:jc w:val="left"/>
        <w:rPr>
          <w:b/>
          <w:sz w:val="21"/>
        </w:rPr>
      </w:pPr>
      <w:bookmarkStart w:id="19" w:name="二、借贷记账法"/>
      <w:bookmarkEnd w:id="19"/>
      <w:r>
        <w:rPr>
          <w:b/>
          <w:sz w:val="21"/>
          <w:shd w:val="clear" w:color="auto" w:fill="C0C0C0"/>
        </w:rPr>
        <w:t>二、借贷记账法</w:t>
      </w:r>
    </w:p>
    <w:p>
      <w:pPr>
        <w:pStyle w:val="6"/>
        <w:spacing w:before="91" w:line="304" w:lineRule="auto"/>
        <w:ind w:left="322" w:right="732" w:firstLine="400"/>
      </w:pPr>
      <w:r>
        <w:rPr>
          <w:w w:val="95"/>
        </w:rPr>
        <w:t>借贷记账法是以“借”和“贷”作为</w:t>
      </w:r>
      <w:r>
        <w:rPr>
          <w:color w:val="FF0000"/>
          <w:w w:val="95"/>
          <w:u w:val="double" w:color="FF0000"/>
        </w:rPr>
        <w:t>记账符号</w:t>
      </w:r>
      <w:r>
        <w:rPr>
          <w:w w:val="95"/>
        </w:rPr>
        <w:t>，对每一笔经济业务都要在</w:t>
      </w:r>
      <w:r>
        <w:rPr>
          <w:color w:val="FF0000"/>
          <w:w w:val="95"/>
          <w:u w:val="double" w:color="FF0000"/>
        </w:rPr>
        <w:t>两个或两个以上相互联系</w:t>
      </w:r>
      <w:r>
        <w:rPr>
          <w:w w:val="95"/>
        </w:rPr>
        <w:t xml:space="preserve">的账户中   </w:t>
      </w:r>
      <w:r>
        <w:t>以</w:t>
      </w:r>
      <w:r>
        <w:rPr>
          <w:color w:val="FF0000"/>
          <w:u w:val="double" w:color="FF0000"/>
        </w:rPr>
        <w:t>借贷相等的金额</w:t>
      </w:r>
      <w:r>
        <w:t>进行登记的一种复式记账方法。</w:t>
      </w:r>
    </w:p>
    <w:p>
      <w:pPr>
        <w:pStyle w:val="5"/>
        <w:spacing w:before="0" w:line="256" w:lineRule="exact"/>
      </w:pPr>
      <w:r>
        <w:t>（一）借贷记账法下账户的基本结构</w:t>
      </w:r>
    </w:p>
    <w:p>
      <w:pPr>
        <w:pStyle w:val="5"/>
        <w:spacing w:line="304" w:lineRule="auto"/>
        <w:ind w:left="322" w:right="725" w:firstLine="400"/>
      </w:pPr>
      <w:r>
        <w:rPr>
          <w:b w:val="0"/>
          <w:spacing w:val="-5"/>
          <w:w w:val="95"/>
        </w:rPr>
        <w:t>借贷记账法下，</w:t>
      </w:r>
      <w:r>
        <w:rPr>
          <w:color w:val="00AFEF"/>
          <w:spacing w:val="-5"/>
          <w:w w:val="95"/>
          <w:u w:val="single" w:color="00AFEF"/>
        </w:rPr>
        <w:t xml:space="preserve">账户的左方称为借方，右方称为贷方。所有账户的借方和贷方按相反方向记录增加数和减少   </w:t>
      </w:r>
      <w:r>
        <w:rPr>
          <w:color w:val="00AFEF"/>
          <w:spacing w:val="-5"/>
          <w:u w:val="single" w:color="00AFEF"/>
        </w:rPr>
        <w:t>数，即一方登记增加额，另一方就登记减少额。</w:t>
      </w:r>
    </w:p>
    <w:p>
      <w:pPr>
        <w:pStyle w:val="6"/>
        <w:spacing w:before="2"/>
      </w:pPr>
      <w:r>
        <w:t>至于“借”表示增加，还是“贷”表示增加，则取决于账户的性质与所记录经济内容的性质。</w:t>
      </w:r>
    </w:p>
    <w:p>
      <w:pPr>
        <w:pStyle w:val="6"/>
        <w:spacing w:before="71" w:line="304" w:lineRule="auto"/>
        <w:ind w:left="322" w:right="720" w:firstLine="400"/>
      </w:pPr>
      <w:r>
        <w:rPr>
          <w:spacing w:val="-7"/>
          <w:w w:val="95"/>
        </w:rPr>
        <w:t xml:space="preserve">通常而言，资产、成本和费用类账户的增加用“借”表示，减少用“贷”表示；负债、所有者权益和收入类   </w:t>
      </w:r>
      <w:r>
        <w:rPr>
          <w:spacing w:val="-7"/>
        </w:rPr>
        <w:t>账户的增加用“贷”表示，减少用“借”表示。</w:t>
      </w:r>
    </w:p>
    <w:p>
      <w:pPr>
        <w:pStyle w:val="6"/>
        <w:spacing w:before="0" w:line="256" w:lineRule="exact"/>
        <w:ind w:left="716"/>
      </w:pPr>
      <w:r>
        <w:rPr>
          <w:color w:val="FF0000"/>
          <w:u w:val="double" w:color="FF0000"/>
        </w:rPr>
        <w:t>借贷记账法的理论依据是：资产=负债+所有者权益</w:t>
      </w:r>
    </w:p>
    <w:p>
      <w:pPr>
        <w:pStyle w:val="6"/>
      </w:pPr>
      <w:r>
        <w:t>【提示】1.资产、费用的方向与负债、所有者权益、收入、利润的方向相反。</w:t>
      </w:r>
    </w:p>
    <w:p>
      <w:pPr>
        <w:pStyle w:val="6"/>
        <w:ind w:left="1522"/>
      </w:pPr>
      <w:r>
        <w:t>2.资产类账户与其备抵账户方向相反。固定资产账面价值=固定资产账面原值-累计折旧-减值准备</w:t>
      </w:r>
    </w:p>
    <w:p>
      <w:pPr>
        <w:pStyle w:val="5"/>
        <w:numPr>
          <w:ilvl w:val="0"/>
          <w:numId w:val="22"/>
        </w:numPr>
        <w:tabs>
          <w:tab w:val="left" w:pos="925"/>
        </w:tabs>
        <w:spacing w:before="70" w:after="0" w:line="240" w:lineRule="auto"/>
        <w:ind w:left="924" w:right="0" w:hanging="202"/>
        <w:jc w:val="left"/>
      </w:pPr>
      <w:r>
        <w:t>资产和成本类账户的结构</w:t>
      </w:r>
    </w:p>
    <w:p>
      <w:pPr>
        <w:pStyle w:val="6"/>
        <w:spacing w:line="304" w:lineRule="auto"/>
        <w:ind w:left="322" w:right="720" w:firstLine="400"/>
      </w:pPr>
      <w:r>
        <w:rPr>
          <w:spacing w:val="-6"/>
          <w:w w:val="95"/>
        </w:rPr>
        <w:t xml:space="preserve">在借贷记账法下，资产类、成本类账户的借方登记增加额；贷方登记减少额；期末余额一般在借方，有些账   </w:t>
      </w:r>
      <w:r>
        <w:rPr>
          <w:spacing w:val="-6"/>
        </w:rPr>
        <w:t>户有时可能无余额。其余额计算公式为：</w:t>
      </w:r>
      <w:r>
        <w:rPr>
          <w:color w:val="FF0000"/>
          <w:spacing w:val="-6"/>
          <w:u w:val="double" w:color="FF0000"/>
        </w:rPr>
        <w:t>期末借方余额=期初借方余额+本期借方发生额-本期贷方发生额</w:t>
      </w:r>
    </w:p>
    <w:p>
      <w:pPr>
        <w:pStyle w:val="6"/>
        <w:spacing w:before="0" w:line="304" w:lineRule="auto"/>
        <w:ind w:left="322" w:right="651" w:firstLine="400"/>
      </w:pPr>
      <w:r>
        <w:rPr>
          <w:w w:val="95"/>
        </w:rPr>
        <w:t xml:space="preserve">【提示】资产类备抵账户如累计折旧、累计摊销、**准备增加在贷方，减少在借方。即资产类备抵账户期末   </w:t>
      </w:r>
      <w:r>
        <w:t>余额公式为：</w:t>
      </w:r>
      <w:r>
        <w:rPr>
          <w:color w:val="FF0000"/>
          <w:u w:val="double" w:color="FF0000"/>
        </w:rPr>
        <w:t>期末贷方余额=期初贷方余额+本期贷方发生额-本期借方发生额</w:t>
      </w:r>
    </w:p>
    <w:p>
      <w:pPr>
        <w:pStyle w:val="5"/>
        <w:numPr>
          <w:ilvl w:val="0"/>
          <w:numId w:val="22"/>
        </w:numPr>
        <w:tabs>
          <w:tab w:val="left" w:pos="925"/>
        </w:tabs>
        <w:spacing w:before="2" w:after="0" w:line="240" w:lineRule="auto"/>
        <w:ind w:left="924" w:right="0" w:hanging="202"/>
        <w:jc w:val="left"/>
      </w:pPr>
      <w:r>
        <w:t>负债和所有者权益类账户的结构</w:t>
      </w:r>
    </w:p>
    <w:p>
      <w:pPr>
        <w:pStyle w:val="6"/>
        <w:spacing w:line="304" w:lineRule="auto"/>
        <w:ind w:left="322" w:right="662" w:firstLine="400"/>
      </w:pPr>
      <w:r>
        <w:rPr>
          <w:w w:val="95"/>
        </w:rPr>
        <w:t xml:space="preserve">在借贷记账法下，负债类、所有者权益类账户的借方登记减少额；贷方登记增加额；期末余额一般在贷方，   </w:t>
      </w:r>
      <w:r>
        <w:t>有些账户有时可能无余额，</w:t>
      </w:r>
    </w:p>
    <w:p>
      <w:pPr>
        <w:spacing w:before="2" w:line="302" w:lineRule="auto"/>
        <w:ind w:left="723" w:right="2886" w:firstLine="0"/>
        <w:jc w:val="left"/>
        <w:rPr>
          <w:b/>
          <w:sz w:val="20"/>
        </w:rPr>
      </w:pPr>
      <w:r>
        <w:rPr>
          <w:w w:val="95"/>
          <w:sz w:val="20"/>
        </w:rPr>
        <w:t>其余额计算公式为：期</w:t>
      </w:r>
      <w:r>
        <w:rPr>
          <w:color w:val="FF0000"/>
          <w:w w:val="95"/>
          <w:sz w:val="20"/>
          <w:u w:val="double" w:color="FF0000"/>
        </w:rPr>
        <w:t>末贷方余额=期初贷方余额+本期贷方发生额-本期借方发生额</w:t>
      </w:r>
      <w:r>
        <w:rPr>
          <w:color w:val="FF0000"/>
          <w:w w:val="95"/>
          <w:sz w:val="20"/>
        </w:rPr>
        <w:t xml:space="preserve"> </w:t>
      </w:r>
      <w:r>
        <w:rPr>
          <w:b/>
          <w:sz w:val="20"/>
        </w:rPr>
        <w:t>3.损益类账户的结构</w:t>
      </w:r>
    </w:p>
    <w:p>
      <w:pPr>
        <w:pStyle w:val="6"/>
        <w:spacing w:before="4" w:line="304" w:lineRule="auto"/>
        <w:ind w:left="322" w:right="725" w:firstLine="400"/>
      </w:pPr>
      <w:r>
        <w:rPr>
          <w:spacing w:val="-2"/>
          <w:w w:val="95"/>
        </w:rPr>
        <w:t>①收入类账户的结构:在借贷记账法下，</w:t>
      </w:r>
      <w:r>
        <w:rPr>
          <w:color w:val="FF0000"/>
          <w:spacing w:val="-2"/>
          <w:w w:val="95"/>
          <w:u w:val="double" w:color="FF0000"/>
        </w:rPr>
        <w:t>收入类账户的借方登记减少额；贷方登记增加额</w:t>
      </w:r>
      <w:r>
        <w:rPr>
          <w:spacing w:val="-5"/>
          <w:w w:val="95"/>
        </w:rPr>
        <w:t xml:space="preserve">。本期收入净额在期  </w:t>
      </w:r>
      <w:r>
        <w:rPr>
          <w:spacing w:val="-5"/>
        </w:rPr>
        <w:t>末转入“</w:t>
      </w:r>
      <w:r>
        <w:rPr>
          <w:color w:val="FF0000"/>
          <w:spacing w:val="-5"/>
          <w:u w:val="double" w:color="FF0000"/>
        </w:rPr>
        <w:t>本年利润</w:t>
      </w:r>
      <w:r>
        <w:rPr>
          <w:spacing w:val="-5"/>
        </w:rPr>
        <w:t>”账户，用以计算当期损益，</w:t>
      </w:r>
      <w:r>
        <w:rPr>
          <w:color w:val="FF0000"/>
          <w:spacing w:val="-5"/>
          <w:u w:val="double" w:color="FF0000"/>
        </w:rPr>
        <w:t>结转后无余额</w:t>
      </w:r>
      <w:r>
        <w:rPr>
          <w:spacing w:val="-5"/>
        </w:rPr>
        <w:t>。</w:t>
      </w:r>
    </w:p>
    <w:p>
      <w:pPr>
        <w:pStyle w:val="6"/>
        <w:spacing w:before="2" w:line="304" w:lineRule="auto"/>
        <w:ind w:left="322" w:right="725" w:firstLine="400"/>
      </w:pPr>
      <w:r>
        <w:rPr>
          <w:spacing w:val="-2"/>
          <w:w w:val="95"/>
        </w:rPr>
        <w:t>②费用类账户的结构:在借贷记账法下，</w:t>
      </w:r>
      <w:r>
        <w:rPr>
          <w:color w:val="FF0000"/>
          <w:spacing w:val="-2"/>
          <w:w w:val="95"/>
          <w:u w:val="double" w:color="FF0000"/>
        </w:rPr>
        <w:t>费用类账户的借方登记增加额；贷方登记减少额</w:t>
      </w:r>
      <w:r>
        <w:rPr>
          <w:spacing w:val="-5"/>
          <w:w w:val="95"/>
        </w:rPr>
        <w:t xml:space="preserve">。本期费用净额在期  </w:t>
      </w:r>
      <w:r>
        <w:rPr>
          <w:spacing w:val="-5"/>
        </w:rPr>
        <w:t>末转入“本年利润”账户，用以计算当期损益，</w:t>
      </w:r>
      <w:r>
        <w:rPr>
          <w:color w:val="FF0000"/>
          <w:spacing w:val="-5"/>
          <w:u w:val="double" w:color="FF0000"/>
        </w:rPr>
        <w:t>结转后无余额</w:t>
      </w:r>
      <w:r>
        <w:rPr>
          <w:spacing w:val="-5"/>
        </w:rPr>
        <w:t>。</w:t>
      </w:r>
    </w:p>
    <w:p>
      <w:pPr>
        <w:pStyle w:val="6"/>
        <w:spacing w:before="2"/>
      </w:pPr>
      <w:r>
        <w:t>【提示】损益类账户期末结账后无余额！</w:t>
      </w:r>
    </w:p>
    <w:p>
      <w:pPr>
        <w:pStyle w:val="5"/>
        <w:spacing w:before="68"/>
      </w:pPr>
      <w:r>
        <w:t>（二）借贷记账法的记账规则</w:t>
      </w:r>
    </w:p>
    <w:p>
      <w:pPr>
        <w:spacing w:before="70" w:line="304" w:lineRule="auto"/>
        <w:ind w:left="322" w:right="624" w:firstLine="400"/>
        <w:jc w:val="left"/>
        <w:rPr>
          <w:b/>
          <w:sz w:val="20"/>
        </w:rPr>
      </w:pPr>
      <w:r>
        <w:rPr>
          <w:w w:val="95"/>
          <w:sz w:val="20"/>
        </w:rPr>
        <w:t>记账规则是指采用某种记账方法登记具体经济业务时应当遵循的规律。借</w:t>
      </w:r>
      <w:r>
        <w:rPr>
          <w:color w:val="FF0000"/>
          <w:w w:val="95"/>
          <w:sz w:val="20"/>
          <w:u w:val="double" w:color="FF0000"/>
        </w:rPr>
        <w:t xml:space="preserve">贷记账法的记账规则是“有借必有    </w:t>
      </w:r>
      <w:r>
        <w:rPr>
          <w:color w:val="FF0000"/>
          <w:spacing w:val="-17"/>
          <w:w w:val="95"/>
          <w:sz w:val="20"/>
          <w:u w:val="double" w:color="FF0000"/>
        </w:rPr>
        <w:t>贷，借贷必相等”</w:t>
      </w:r>
      <w:r>
        <w:rPr>
          <w:spacing w:val="-5"/>
          <w:w w:val="95"/>
          <w:sz w:val="20"/>
        </w:rPr>
        <w:t>。即对于每笔交易或事项都要在</w:t>
      </w:r>
      <w:r>
        <w:rPr>
          <w:b/>
          <w:color w:val="00AFEF"/>
          <w:w w:val="95"/>
          <w:sz w:val="20"/>
          <w:u w:val="single" w:color="00AFEF"/>
        </w:rPr>
        <w:t>两个或两个以上相互联系的账户中以借贷相等的金额进行登记。</w:t>
      </w:r>
    </w:p>
    <w:p>
      <w:pPr>
        <w:pStyle w:val="5"/>
        <w:spacing w:before="2" w:line="304" w:lineRule="auto"/>
        <w:ind w:right="5846"/>
      </w:pPr>
      <w:r>
        <w:rPr>
          <w:w w:val="95"/>
        </w:rPr>
        <w:t xml:space="preserve">（三）借贷记账法下的账户对应关系与会计分录 </w:t>
      </w:r>
      <w:r>
        <w:t>1.账户的对应关系</w:t>
      </w:r>
    </w:p>
    <w:p>
      <w:pPr>
        <w:spacing w:before="2" w:line="302" w:lineRule="auto"/>
        <w:ind w:left="322" w:right="722" w:firstLine="400"/>
        <w:jc w:val="left"/>
        <w:rPr>
          <w:sz w:val="20"/>
        </w:rPr>
      </w:pPr>
      <w:r>
        <mc:AlternateContent>
          <mc:Choice Requires="wps">
            <w:drawing>
              <wp:anchor distT="0" distB="0" distL="114300" distR="114300" simplePos="0" relativeHeight="482384896" behindDoc="1" locked="0" layoutInCell="1" allowOverlap="1">
                <wp:simplePos x="0" y="0"/>
                <wp:positionH relativeFrom="page">
                  <wp:posOffset>687705</wp:posOffset>
                </wp:positionH>
                <wp:positionV relativeFrom="paragraph">
                  <wp:posOffset>345440</wp:posOffset>
                </wp:positionV>
                <wp:extent cx="251460" cy="5715"/>
                <wp:effectExtent l="0" t="0" r="0" b="0"/>
                <wp:wrapNone/>
                <wp:docPr id="228" name="任意多边形 4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45" o:spid="_x0000_s1026" o:spt="100" style="position:absolute;left:0pt;margin-left:54.15pt;margin-top:27.2pt;height:0.45pt;width:19.8pt;mso-position-horizontal-relative:page;z-index:-20931584;mso-width-relative:page;mso-height-relative:page;" filled="f" stroked="t" coordsize="396,9" o:gfxdata="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2ObbhNkA&#10;AAAJAQAADwAAAAAAAAABACAAAAAiAAAAZHJzL2Rvd25yZXYueG1sUEsBAhQAFAAAAAgAh07iQAGp&#10;YqOQAgAAVgcAAA4AAAAAAAAAAQAgAAAAKAEAAGRycy9lMm9Eb2MueG1sUEsFBgAAAAAGAAYAWQEA&#10;ACo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sz w:val="20"/>
        </w:rPr>
        <w:t>账户的对应关系是</w:t>
      </w:r>
      <w:r>
        <w:rPr>
          <w:b/>
          <w:color w:val="00AFEF"/>
          <w:spacing w:val="-4"/>
          <w:w w:val="95"/>
          <w:sz w:val="20"/>
          <w:u w:val="single" w:color="00AFEF"/>
        </w:rPr>
        <w:t xml:space="preserve">指采用借贷记账法对每笔交易或事项进行记录时，相关账户之间形成的应借、应贷的相互   </w:t>
      </w:r>
      <w:r>
        <w:rPr>
          <w:b/>
          <w:color w:val="00AFEF"/>
          <w:spacing w:val="-4"/>
          <w:sz w:val="20"/>
        </w:rPr>
        <w:t>关系</w:t>
      </w:r>
      <w:r>
        <w:rPr>
          <w:spacing w:val="-4"/>
          <w:sz w:val="20"/>
        </w:rPr>
        <w:t>。</w:t>
      </w:r>
      <w:r>
        <w:rPr>
          <w:color w:val="FF0000"/>
          <w:spacing w:val="-4"/>
          <w:sz w:val="20"/>
          <w:u w:val="double" w:color="FF0000"/>
        </w:rPr>
        <w:t>存在对应关系的账户称为对应账户</w:t>
      </w:r>
      <w:r>
        <w:rPr>
          <w:spacing w:val="-4"/>
          <w:sz w:val="20"/>
        </w:rPr>
        <w:t>。</w:t>
      </w:r>
    </w:p>
    <w:p>
      <w:pPr>
        <w:pStyle w:val="6"/>
        <w:spacing w:before="5"/>
      </w:pPr>
      <w:r>
        <w:t>2.会计分录</w:t>
      </w:r>
    </w:p>
    <w:p>
      <w:pPr>
        <w:spacing w:after="0"/>
        <w:sectPr>
          <w:pgSz w:w="11910" w:h="16160"/>
          <w:pgMar w:top="1680" w:right="360" w:bottom="860" w:left="760" w:header="0" w:footer="584" w:gutter="0"/>
        </w:sectPr>
      </w:pPr>
    </w:p>
    <w:p>
      <w:pPr>
        <w:pStyle w:val="6"/>
        <w:spacing w:before="11"/>
        <w:ind w:left="0"/>
        <w:rPr>
          <w:sz w:val="13"/>
        </w:rPr>
      </w:pPr>
    </w:p>
    <w:p>
      <w:pPr>
        <w:pStyle w:val="6"/>
        <w:spacing w:before="71"/>
      </w:pPr>
      <w:r>
        <w:t>①会计分录的含义</w:t>
      </w:r>
    </w:p>
    <w:p>
      <w:pPr>
        <w:pStyle w:val="6"/>
        <w:spacing w:line="304" w:lineRule="auto"/>
        <w:ind w:left="322" w:right="721" w:firstLine="400"/>
      </w:pPr>
      <w:r>
        <mc:AlternateContent>
          <mc:Choice Requires="wps">
            <w:drawing>
              <wp:anchor distT="0" distB="0" distL="114300" distR="114300" simplePos="0" relativeHeight="482386944" behindDoc="1" locked="0" layoutInCell="1" allowOverlap="1">
                <wp:simplePos x="0" y="0"/>
                <wp:positionH relativeFrom="page">
                  <wp:posOffset>1567180</wp:posOffset>
                </wp:positionH>
                <wp:positionV relativeFrom="paragraph">
                  <wp:posOffset>182880</wp:posOffset>
                </wp:positionV>
                <wp:extent cx="502920" cy="5715"/>
                <wp:effectExtent l="0" t="0" r="0" b="0"/>
                <wp:wrapNone/>
                <wp:docPr id="229" name="任意多边形 4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46" o:spid="_x0000_s1026" o:spt="100" style="position:absolute;left:0pt;margin-left:123.4pt;margin-top:14.4pt;height:0.45pt;width:39.6pt;mso-position-horizontal-relative:page;z-index:-20929536;mso-width-relative:page;mso-height-relative:page;" filled="f" stroked="t" coordsize="792,9" o:gfxdata="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&#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CrbHlG1gAAAAkBAAAPAAAAAAAAAAEAIAAAACIAAABk&#10;cnMvZG93bnJldi54bWxQSwECFAAUAAAACACHTuJA7i+QmewCAACaCgAADgAAAAAAAAABACAAAAAl&#10;AQAAZHJzL2Uyb0RvYy54bWxQSwUGAAAAAAYABgBZAQAAgw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pacing w:val="-3"/>
          <w:w w:val="95"/>
        </w:rPr>
        <w:t>会计分录，</w:t>
      </w:r>
      <w:r>
        <w:rPr>
          <w:b/>
          <w:color w:val="00AFEF"/>
          <w:w w:val="95"/>
        </w:rPr>
        <w:t>简称分录</w:t>
      </w:r>
      <w:r>
        <w:rPr>
          <w:spacing w:val="-6"/>
          <w:w w:val="95"/>
        </w:rPr>
        <w:t>，是对每项经济业务列示出应借、应贷的账户名称及其金额的一种记录。会计分录由</w:t>
      </w:r>
      <w:r>
        <w:rPr>
          <w:color w:val="FF0000"/>
          <w:w w:val="95"/>
          <w:u w:val="double" w:color="FF0000"/>
        </w:rPr>
        <w:t xml:space="preserve">应   </w:t>
      </w:r>
      <w:r>
        <w:rPr>
          <w:color w:val="FF0000"/>
          <w:u w:val="double" w:color="FF0000"/>
        </w:rPr>
        <w:t>借应贷方向、相互对应的科目及其金额</w:t>
      </w:r>
      <w:r>
        <w:t>三个要素构成。</w:t>
      </w:r>
    </w:p>
    <w:p>
      <w:pPr>
        <w:pStyle w:val="6"/>
        <w:spacing w:before="2" w:line="304" w:lineRule="auto"/>
        <w:ind w:right="6662"/>
      </w:pPr>
      <w:r>
        <mc:AlternateContent>
          <mc:Choice Requires="wpg">
            <w:drawing>
              <wp:anchor distT="0" distB="0" distL="114300" distR="114300" simplePos="0" relativeHeight="15751168" behindDoc="0" locked="0" layoutInCell="1" allowOverlap="1">
                <wp:simplePos x="0" y="0"/>
                <wp:positionH relativeFrom="page">
                  <wp:posOffset>3274695</wp:posOffset>
                </wp:positionH>
                <wp:positionV relativeFrom="paragraph">
                  <wp:posOffset>33020</wp:posOffset>
                </wp:positionV>
                <wp:extent cx="1484630" cy="641985"/>
                <wp:effectExtent l="635" t="0" r="635" b="5715"/>
                <wp:wrapNone/>
                <wp:docPr id="40" name="组合 47"/>
                <wp:cNvGraphicFramePr/>
                <a:graphic xmlns:a="http://schemas.openxmlformats.org/drawingml/2006/main">
                  <a:graphicData uri="http://schemas.microsoft.com/office/word/2010/wordprocessingGroup">
                    <wpg:wgp>
                      <wpg:cNvGrpSpPr/>
                      <wpg:grpSpPr>
                        <a:xfrm>
                          <a:off x="0" y="0"/>
                          <a:ext cx="1484630" cy="641985"/>
                          <a:chOff x="5158" y="52"/>
                          <a:chExt cx="2338" cy="1011"/>
                        </a:xfrm>
                      </wpg:grpSpPr>
                      <wps:wsp>
                        <wps:cNvPr id="36" name="任意多边形 48"/>
                        <wps:cNvSpPr/>
                        <wps:spPr>
                          <a:xfrm>
                            <a:off x="5157" y="52"/>
                            <a:ext cx="2338" cy="1011"/>
                          </a:xfrm>
                          <a:custGeom>
                            <a:avLst/>
                            <a:gdLst/>
                            <a:ahLst/>
                            <a:cxnLst/>
                            <a:pathLst>
                              <a:path w="2338" h="1011">
                                <a:moveTo>
                                  <a:pt x="2337" y="1011"/>
                                </a:moveTo>
                                <a:lnTo>
                                  <a:pt x="189" y="1011"/>
                                </a:lnTo>
                                <a:lnTo>
                                  <a:pt x="189" y="423"/>
                                </a:lnTo>
                                <a:lnTo>
                                  <a:pt x="0" y="307"/>
                                </a:lnTo>
                                <a:lnTo>
                                  <a:pt x="189" y="168"/>
                                </a:lnTo>
                                <a:lnTo>
                                  <a:pt x="189" y="0"/>
                                </a:lnTo>
                                <a:lnTo>
                                  <a:pt x="2337" y="0"/>
                                </a:lnTo>
                                <a:lnTo>
                                  <a:pt x="2337" y="1011"/>
                                </a:lnTo>
                                <a:close/>
                              </a:path>
                            </a:pathLst>
                          </a:custGeom>
                          <a:solidFill>
                            <a:srgbClr val="D9D9D9"/>
                          </a:solidFill>
                          <a:ln>
                            <a:noFill/>
                          </a:ln>
                        </wps:spPr>
                        <wps:bodyPr upright="1"/>
                      </wps:wsp>
                      <wps:wsp>
                        <wps:cNvPr id="38" name="文本框 49"/>
                        <wps:cNvSpPr txBox="1"/>
                        <wps:spPr>
                          <a:xfrm>
                            <a:off x="5157" y="52"/>
                            <a:ext cx="2338" cy="1011"/>
                          </a:xfrm>
                          <a:prstGeom prst="rect">
                            <a:avLst/>
                          </a:prstGeom>
                          <a:noFill/>
                          <a:ln>
                            <a:noFill/>
                          </a:ln>
                        </wps:spPr>
                        <wps:txbx>
                          <w:txbxContent>
                            <w:p>
                              <w:pPr>
                                <w:numPr>
                                  <w:ilvl w:val="0"/>
                                  <w:numId w:val="23"/>
                                </w:numPr>
                                <w:tabs>
                                  <w:tab w:val="left" w:pos="449"/>
                                </w:tabs>
                                <w:spacing w:before="41"/>
                                <w:ind w:left="448" w:right="0" w:hanging="183"/>
                                <w:jc w:val="left"/>
                                <w:rPr>
                                  <w:sz w:val="18"/>
                                </w:rPr>
                              </w:pPr>
                              <w:r>
                                <w:rPr>
                                  <w:sz w:val="18"/>
                                </w:rPr>
                                <w:t>先借后贷、上借下贷</w:t>
                              </w:r>
                            </w:p>
                            <w:p>
                              <w:pPr>
                                <w:numPr>
                                  <w:ilvl w:val="0"/>
                                  <w:numId w:val="23"/>
                                </w:numPr>
                                <w:tabs>
                                  <w:tab w:val="left" w:pos="449"/>
                                </w:tabs>
                                <w:spacing w:before="82"/>
                                <w:ind w:left="448" w:right="0" w:hanging="183"/>
                                <w:jc w:val="left"/>
                                <w:rPr>
                                  <w:sz w:val="18"/>
                                </w:rPr>
                              </w:pPr>
                              <w:r>
                                <w:rPr>
                                  <w:sz w:val="18"/>
                                </w:rPr>
                                <w:t>贷前空一格</w:t>
                              </w:r>
                            </w:p>
                            <w:p>
                              <w:pPr>
                                <w:numPr>
                                  <w:ilvl w:val="0"/>
                                  <w:numId w:val="23"/>
                                </w:numPr>
                                <w:tabs>
                                  <w:tab w:val="left" w:pos="449"/>
                                </w:tabs>
                                <w:spacing w:before="81"/>
                                <w:ind w:left="448" w:right="0" w:hanging="183"/>
                                <w:jc w:val="left"/>
                                <w:rPr>
                                  <w:sz w:val="18"/>
                                </w:rPr>
                              </w:pPr>
                              <w:r>
                                <w:rPr>
                                  <w:sz w:val="18"/>
                                </w:rPr>
                                <w:t>借贷相等</w:t>
                              </w:r>
                            </w:p>
                          </w:txbxContent>
                        </wps:txbx>
                        <wps:bodyPr lIns="0" tIns="0" rIns="0" bIns="0" upright="1"/>
                      </wps:wsp>
                    </wpg:wgp>
                  </a:graphicData>
                </a:graphic>
              </wp:anchor>
            </w:drawing>
          </mc:Choice>
          <mc:Fallback>
            <w:pict>
              <v:group id="组合 47" o:spid="_x0000_s1026" o:spt="203" style="position:absolute;left:0pt;margin-left:257.85pt;margin-top:2.6pt;height:50.55pt;width:116.9pt;mso-position-horizontal-relative:page;z-index:15751168;mso-width-relative:page;mso-height-relative:page;" coordorigin="5158,52" coordsize="2338,1011" o:gfxdata="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CnkQ8v2gAAAAkBAAAPAAAAAAAAAAEAIAAAACIAAABkcnMvZG93bnJl&#10;di54bWxQSwECFAAUAAAACACHTuJALDRMq98CAAB7BwAADgAAAAAAAAABACAAAAApAQAAZHJzL2Uy&#10;b0RvYy54bWxQSwUGAAAAAAYABgBZAQAAegYAAAAA&#10;">
                <o:lock v:ext="edit" aspectratio="f"/>
                <v:shape id="任意多边形 48" o:spid="_x0000_s1026" o:spt="100" style="position:absolute;left:5157;top:52;height:1011;width:2338;" fillcolor="#D9D9D9" filled="t" stroked="f" coordsize="2338,1011" o:gfxdata="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4ioK8AAAA&#10;2wAAAA8AAAAAAAAAAQAgAAAAIgAAAGRycy9kb3ducmV2LnhtbFBLAQIUABQAAAAIAIdO4kAzLwWe&#10;OwAAADkAAAAQAAAAAAAAAAEAIAAAAAsBAABkcnMvc2hhcGV4bWwueG1sUEsFBgAAAAAGAAYAWwEA&#10;ALUDAAAAAA==&#10;" path="m2337,1011l189,1011,189,423,0,307,189,168,189,0,2337,0,2337,1011xe">
                  <v:fill on="t" focussize="0,0"/>
                  <v:stroke on="f"/>
                  <v:imagedata o:title=""/>
                  <o:lock v:ext="edit" aspectratio="f"/>
                </v:shape>
                <v:shape id="文本框 49" o:spid="_x0000_s1026" o:spt="202" type="#_x0000_t202" style="position:absolute;left:5157;top:52;height:1011;width:2338;" filled="f" stroked="f" coordsize="21600,21600" o:gfxdata="UEsDBAoAAAAAAIdO4kAAAAAAAAAAAAAAAAAEAAAAZHJzL1BLAwQUAAAACACHTuJAv8mh3roAAADb&#10;AAAADwAAAGRycy9kb3ducmV2LnhtbEVPy2oCMRTdF/yHcAvd1UQL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aHe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numPr>
                            <w:ilvl w:val="0"/>
                            <w:numId w:val="23"/>
                          </w:numPr>
                          <w:tabs>
                            <w:tab w:val="left" w:pos="449"/>
                          </w:tabs>
                          <w:spacing w:before="41"/>
                          <w:ind w:left="448" w:right="0" w:hanging="183"/>
                          <w:jc w:val="left"/>
                          <w:rPr>
                            <w:sz w:val="18"/>
                          </w:rPr>
                        </w:pPr>
                        <w:r>
                          <w:rPr>
                            <w:sz w:val="18"/>
                          </w:rPr>
                          <w:t>先借后贷、上借下贷</w:t>
                        </w:r>
                      </w:p>
                      <w:p>
                        <w:pPr>
                          <w:numPr>
                            <w:ilvl w:val="0"/>
                            <w:numId w:val="23"/>
                          </w:numPr>
                          <w:tabs>
                            <w:tab w:val="left" w:pos="449"/>
                          </w:tabs>
                          <w:spacing w:before="82"/>
                          <w:ind w:left="448" w:right="0" w:hanging="183"/>
                          <w:jc w:val="left"/>
                          <w:rPr>
                            <w:sz w:val="18"/>
                          </w:rPr>
                        </w:pPr>
                        <w:r>
                          <w:rPr>
                            <w:sz w:val="18"/>
                          </w:rPr>
                          <w:t>贷前空一格</w:t>
                        </w:r>
                      </w:p>
                      <w:p>
                        <w:pPr>
                          <w:numPr>
                            <w:ilvl w:val="0"/>
                            <w:numId w:val="23"/>
                          </w:numPr>
                          <w:tabs>
                            <w:tab w:val="left" w:pos="449"/>
                          </w:tabs>
                          <w:spacing w:before="81"/>
                          <w:ind w:left="448" w:right="0" w:hanging="183"/>
                          <w:jc w:val="left"/>
                          <w:rPr>
                            <w:sz w:val="18"/>
                          </w:rPr>
                        </w:pPr>
                        <w:r>
                          <w:rPr>
                            <w:sz w:val="18"/>
                          </w:rPr>
                          <w:t>借贷相等</w:t>
                        </w:r>
                      </w:p>
                    </w:txbxContent>
                  </v:textbox>
                </v:shape>
              </v:group>
            </w:pict>
          </mc:Fallback>
        </mc:AlternateContent>
      </w:r>
      <w:r>
        <w:t>在我国，会计分录记载于记账凭证中。借：库存现金 2000</w:t>
      </w:r>
    </w:p>
    <w:p>
      <w:pPr>
        <w:pStyle w:val="6"/>
        <w:spacing w:before="0" w:line="256" w:lineRule="exact"/>
        <w:ind w:left="1123"/>
      </w:pPr>
      <w:r>
        <w:t>贷：银行存款 2000</w:t>
      </w:r>
    </w:p>
    <w:p>
      <w:pPr>
        <w:pStyle w:val="6"/>
        <w:spacing w:before="0"/>
        <w:ind w:left="0"/>
      </w:pPr>
    </w:p>
    <w:p>
      <w:pPr>
        <w:pStyle w:val="6"/>
        <w:spacing w:before="140"/>
      </w:pPr>
      <w:r>
        <w:drawing>
          <wp:anchor distT="0" distB="0" distL="0" distR="0" simplePos="0" relativeHeight="482385920" behindDoc="1" locked="0" layoutInCell="1" allowOverlap="1">
            <wp:simplePos x="0" y="0"/>
            <wp:positionH relativeFrom="page">
              <wp:posOffset>3329940</wp:posOffset>
            </wp:positionH>
            <wp:positionV relativeFrom="paragraph">
              <wp:posOffset>143510</wp:posOffset>
            </wp:positionV>
            <wp:extent cx="2776220" cy="165481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2" cstate="print"/>
                    <a:stretch>
                      <a:fillRect/>
                    </a:stretch>
                  </pic:blipFill>
                  <pic:spPr>
                    <a:xfrm>
                      <a:off x="0" y="0"/>
                      <a:ext cx="2776354" cy="1654700"/>
                    </a:xfrm>
                    <a:prstGeom prst="rect">
                      <a:avLst/>
                    </a:prstGeom>
                  </pic:spPr>
                </pic:pic>
              </a:graphicData>
            </a:graphic>
          </wp:anchor>
        </w:drawing>
      </w:r>
      <w:r>
        <w:t>②会计分录的分类</w:t>
      </w:r>
    </w:p>
    <w:p>
      <w:pPr>
        <w:pStyle w:val="6"/>
      </w:pPr>
      <w:r>
        <w:t>按照所涉及账户的多少，会计分录分为简单会计分录和复合会计分录。</w:t>
      </w:r>
    </w:p>
    <w:p>
      <w:pPr>
        <w:pStyle w:val="6"/>
        <w:spacing w:before="71"/>
      </w:pPr>
      <w:r>
        <w:t>简单会计分录指只涉及一个账户借方和另一个账户贷方的会计分录，即</w:t>
      </w:r>
      <w:r>
        <w:rPr>
          <w:color w:val="FF0000"/>
          <w:u w:val="double" w:color="FF0000"/>
        </w:rPr>
        <w:t>一借一贷的会计分录</w:t>
      </w:r>
      <w:r>
        <w:t>。</w:t>
      </w:r>
    </w:p>
    <w:p>
      <w:pPr>
        <w:pStyle w:val="6"/>
        <w:spacing w:line="302" w:lineRule="auto"/>
        <w:ind w:left="322" w:right="736" w:firstLine="400"/>
      </w:pPr>
      <w:r>
        <w:rPr>
          <w:w w:val="95"/>
        </w:rPr>
        <w:t>复合会计分录指由两个以上（不含两个）对应账户组成的会计分录，即</w:t>
      </w:r>
      <w:r>
        <w:rPr>
          <w:color w:val="FF0000"/>
          <w:w w:val="95"/>
          <w:u w:val="double" w:color="FF0000"/>
        </w:rPr>
        <w:t xml:space="preserve">一借多贷、多借一贷或多借多贷的会   </w:t>
      </w:r>
      <w:r>
        <w:rPr>
          <w:color w:val="FF0000"/>
          <w:u w:val="double" w:color="FF0000"/>
        </w:rPr>
        <w:t>计分录</w:t>
      </w:r>
      <w:r>
        <w:t>。</w:t>
      </w:r>
    </w:p>
    <w:p>
      <w:pPr>
        <w:pStyle w:val="6"/>
        <w:spacing w:before="4"/>
        <w:ind w:left="322"/>
      </w:pPr>
      <w:r>
        <mc:AlternateContent>
          <mc:Choice Requires="wps">
            <w:drawing>
              <wp:anchor distT="0" distB="0" distL="114300" distR="114300" simplePos="0" relativeHeight="15753216" behindDoc="0" locked="0" layoutInCell="1" allowOverlap="1">
                <wp:simplePos x="0" y="0"/>
                <wp:positionH relativeFrom="page">
                  <wp:posOffset>814705</wp:posOffset>
                </wp:positionH>
                <wp:positionV relativeFrom="paragraph">
                  <wp:posOffset>140970</wp:posOffset>
                </wp:positionV>
                <wp:extent cx="251460" cy="5715"/>
                <wp:effectExtent l="0" t="0" r="0" b="0"/>
                <wp:wrapNone/>
                <wp:docPr id="44" name="任意多边形 50"/>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50" o:spid="_x0000_s1026" o:spt="100" style="position:absolute;left:0pt;margin-left:64.15pt;margin-top:11.1pt;height:0.45pt;width:19.8pt;mso-position-horizontal-relative:page;z-index:15753216;mso-width-relative:page;mso-height-relative:page;" filled="f" stroked="t" coordsize="396,9" o:gfxdata="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2gpt&#10;T9gAAAAJAQAADwAAAAAAAAABACAAAAAiAAAAZHJzL2Rvd25yZXYueG1sUEsBAhQAFAAAAAgAh07i&#10;QOVLWL6UAgAAVQcAAA4AAAAAAAAAAQAgAAAAJw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】1、一般来讲，复合分录可以分解为若干简单会计分录，</w:t>
      </w:r>
    </w:p>
    <w:p>
      <w:pPr>
        <w:pStyle w:val="6"/>
        <w:spacing w:before="71" w:line="304" w:lineRule="auto"/>
        <w:ind w:left="322" w:right="763" w:firstLine="801"/>
      </w:pPr>
      <w:r>
        <w:rPr>
          <w:w w:val="95"/>
        </w:rPr>
        <w:t xml:space="preserve">2、多借多贷会计分录只有在某一项经济业务比较复杂，确实需要编制时才可编制，一般不允许将不同   </w:t>
      </w:r>
      <w:r>
        <w:t>的经济业务合并编制多借多贷会计分录。</w:t>
      </w:r>
    </w:p>
    <w:p>
      <w:pPr>
        <w:pStyle w:val="5"/>
        <w:spacing w:before="2"/>
      </w:pPr>
      <w:r>
        <w:t>（四）借贷记账法下的试算平衡</w:t>
      </w:r>
    </w:p>
    <w:p>
      <w:pPr>
        <w:pStyle w:val="6"/>
        <w:spacing w:line="302" w:lineRule="auto"/>
        <w:ind w:left="322" w:right="770" w:firstLine="400"/>
      </w:pPr>
      <w:r>
        <w:rPr>
          <w:w w:val="95"/>
        </w:rPr>
        <w:t>试算平衡，是指</w:t>
      </w:r>
      <w:r>
        <w:rPr>
          <w:color w:val="FF0000"/>
          <w:w w:val="95"/>
          <w:u w:val="double" w:color="FF0000"/>
        </w:rPr>
        <w:t>根据借贷记账法的记账规则和资产与权益的恒等关系</w:t>
      </w:r>
      <w:r>
        <w:rPr>
          <w:w w:val="95"/>
        </w:rPr>
        <w:t xml:space="preserve">，通过对所有账户的发生额和余额的汇  </w:t>
      </w:r>
      <w:r>
        <w:t>总计算和比较，来检查记录是否正确的一种方法。</w:t>
      </w:r>
    </w:p>
    <w:p>
      <w:pPr>
        <w:pStyle w:val="13"/>
        <w:numPr>
          <w:ilvl w:val="0"/>
          <w:numId w:val="24"/>
        </w:numPr>
        <w:tabs>
          <w:tab w:val="left" w:pos="944"/>
        </w:tabs>
        <w:spacing w:before="4" w:after="0" w:line="240" w:lineRule="auto"/>
        <w:ind w:left="944" w:right="0" w:hanging="202"/>
        <w:jc w:val="left"/>
        <w:rPr>
          <w:sz w:val="18"/>
        </w:rPr>
      </w:pPr>
      <w:r>
        <w:rPr>
          <w:spacing w:val="14"/>
          <w:sz w:val="20"/>
        </w:rPr>
        <w:t xml:space="preserve">借：库存现金 </w:t>
      </w:r>
      <w:r>
        <w:rPr>
          <w:sz w:val="20"/>
        </w:rPr>
        <w:t>2000</w:t>
      </w:r>
    </w:p>
    <w:p>
      <w:pPr>
        <w:pStyle w:val="6"/>
        <w:ind w:left="0" w:right="7861"/>
        <w:jc w:val="right"/>
      </w:pPr>
      <w:r>
        <w:t>贷：银行存款 2000</w:t>
      </w:r>
    </w:p>
    <w:p>
      <w:pPr>
        <w:pStyle w:val="6"/>
        <w:tabs>
          <w:tab w:val="left" w:pos="1600"/>
        </w:tabs>
        <w:spacing w:before="71"/>
        <w:ind w:left="0" w:right="7959"/>
        <w:jc w:val="right"/>
      </w:pPr>
      <w:r>
        <w:t>2.借：应付账款</w:t>
      </w:r>
      <w:r>
        <w:tab/>
      </w:r>
      <w:r>
        <w:rPr>
          <w:w w:val="95"/>
        </w:rPr>
        <w:t>20000</w:t>
      </w:r>
    </w:p>
    <w:p>
      <w:pPr>
        <w:pStyle w:val="6"/>
        <w:ind w:left="1124"/>
      </w:pPr>
      <w:r>
        <w:t>贷：银行存款 20000</w:t>
      </w:r>
    </w:p>
    <w:p>
      <w:pPr>
        <w:pStyle w:val="6"/>
        <w:tabs>
          <w:tab w:val="left" w:pos="2323"/>
        </w:tabs>
      </w:pPr>
      <w:r>
        <w:t>3.借：银行存款</w:t>
      </w:r>
      <w:r>
        <w:tab/>
      </w:r>
      <w:r>
        <w:t>50000</w:t>
      </w:r>
    </w:p>
    <w:p>
      <w:pPr>
        <w:pStyle w:val="6"/>
        <w:spacing w:before="68"/>
        <w:ind w:left="1124"/>
      </w:pPr>
      <w:r>
        <w:t>贷：实收资本 50000</w:t>
      </w:r>
    </w:p>
    <w:p>
      <w:pPr>
        <w:pStyle w:val="6"/>
        <w:tabs>
          <w:tab w:val="left" w:pos="2122"/>
        </w:tabs>
      </w:pPr>
      <w:r>
        <w:t>4.借：原材料</w:t>
      </w:r>
      <w:r>
        <w:tab/>
      </w:r>
      <w:r>
        <w:t>60000</w:t>
      </w:r>
    </w:p>
    <w:p>
      <w:pPr>
        <w:spacing w:before="70" w:line="304" w:lineRule="auto"/>
        <w:ind w:left="723" w:right="7760" w:firstLine="400"/>
        <w:jc w:val="left"/>
        <w:rPr>
          <w:b/>
          <w:sz w:val="20"/>
        </w:rPr>
      </w:pPr>
      <w:r>
        <w:rPr>
          <w:sz w:val="20"/>
        </w:rPr>
        <w:t xml:space="preserve">贷：银行存款 60000 </w:t>
      </w:r>
      <w:r>
        <w:rPr>
          <w:b/>
          <w:sz w:val="20"/>
        </w:rPr>
        <w:t>1.试算平衡的分类</w:t>
      </w:r>
    </w:p>
    <w:p>
      <w:pPr>
        <w:pStyle w:val="6"/>
        <w:spacing w:before="2" w:line="304" w:lineRule="auto"/>
        <w:ind w:left="322" w:right="763" w:firstLine="400"/>
      </w:pPr>
      <w:r>
        <w:rPr>
          <w:w w:val="95"/>
        </w:rPr>
        <w:t xml:space="preserve">①发生额试算平衡:发生额试算平衡是指全部账户本期借方发生额合计与全部账户本期贷方发生额合计保持   </w:t>
      </w:r>
      <w:r>
        <w:t>平衡，即：</w:t>
      </w:r>
      <w:r>
        <w:rPr>
          <w:color w:val="FF0000"/>
          <w:u w:val="double" w:color="FF0000"/>
        </w:rPr>
        <w:t>全部账户本期借方发生额合计=全部账户本期贷方发生额合计</w:t>
      </w:r>
    </w:p>
    <w:p>
      <w:pPr>
        <w:pStyle w:val="5"/>
        <w:spacing w:before="0" w:line="256" w:lineRule="exact"/>
      </w:pPr>
      <w:r>
        <w:rPr>
          <w:color w:val="00AFEF"/>
          <w:u w:val="single" w:color="00AFEF"/>
        </w:rPr>
        <w:t>发生额试算平衡的直接依据是借贷记账法的记账规则。</w:t>
      </w:r>
    </w:p>
    <w:p>
      <w:pPr>
        <w:pStyle w:val="6"/>
        <w:spacing w:line="304" w:lineRule="auto"/>
        <w:ind w:left="322" w:right="761" w:firstLine="400"/>
      </w:pPr>
      <w:r>
        <w:rPr>
          <w:w w:val="95"/>
        </w:rPr>
        <w:t xml:space="preserve">②余额试算平衡:余额试算平衡是指全部账户借方期末（初）余额合计与全部账户贷方期末（初）余额合计   </w:t>
      </w:r>
      <w:r>
        <w:t>保持平衡，即：</w:t>
      </w:r>
      <w:r>
        <w:rPr>
          <w:color w:val="FF0000"/>
          <w:u w:val="double" w:color="FF0000"/>
        </w:rPr>
        <w:t>全部账户借方期末（初）余额合计=全部账户贷方期末（初）余额合计</w:t>
      </w:r>
    </w:p>
    <w:p>
      <w:pPr>
        <w:pStyle w:val="5"/>
        <w:spacing w:before="2"/>
      </w:pPr>
      <w:r>
        <w:rPr>
          <w:color w:val="00AFEF"/>
          <w:u w:val="single" w:color="00AFEF"/>
        </w:rPr>
        <w:t>余额试算平衡的直接依据是财务状况等式。</w:t>
      </w:r>
    </w:p>
    <w:p>
      <w:pPr>
        <w:pStyle w:val="13"/>
        <w:numPr>
          <w:ilvl w:val="0"/>
          <w:numId w:val="24"/>
        </w:numPr>
        <w:tabs>
          <w:tab w:val="left" w:pos="925"/>
        </w:tabs>
        <w:spacing w:before="70" w:after="0" w:line="240" w:lineRule="auto"/>
        <w:ind w:left="924" w:right="0" w:hanging="202"/>
        <w:jc w:val="left"/>
        <w:rPr>
          <w:sz w:val="18"/>
        </w:rPr>
      </w:pPr>
      <w:r>
        <w:rPr>
          <w:b/>
          <w:sz w:val="20"/>
        </w:rPr>
        <w:t>试算平衡表的编制:</w:t>
      </w:r>
      <w:r>
        <w:rPr>
          <w:sz w:val="20"/>
        </w:rPr>
        <w:t>试算平衡是通过编制</w:t>
      </w:r>
      <w:r>
        <w:rPr>
          <w:color w:val="FF0000"/>
          <w:sz w:val="20"/>
          <w:u w:val="double" w:color="FF0000"/>
        </w:rPr>
        <w:t>试算平衡表</w:t>
      </w:r>
      <w:r>
        <w:rPr>
          <w:sz w:val="20"/>
        </w:rPr>
        <w:t>进行的。</w:t>
      </w:r>
    </w:p>
    <w:p>
      <w:pPr>
        <w:pStyle w:val="6"/>
        <w:spacing w:line="304" w:lineRule="auto"/>
        <w:ind w:left="322" w:right="722" w:firstLine="400"/>
        <w:jc w:val="both"/>
      </w:pPr>
      <w:r>
        <w:rPr>
          <w:spacing w:val="-2"/>
          <w:w w:val="95"/>
        </w:rPr>
        <w:t xml:space="preserve">试算平衡表通常是在期末结出各账户的本期发生额合计和期末余额后编制的，试算平衡表中一般应设置“期   </w:t>
      </w:r>
      <w:r>
        <w:rPr>
          <w:spacing w:val="-16"/>
          <w:w w:val="95"/>
        </w:rPr>
        <w:t xml:space="preserve">初余额”、“本期发生额”和“期末余额”三大栏目，其下分设“借方”和“贷方”两个小栏。各大栏中的借方合    </w:t>
      </w:r>
      <w:r>
        <w:rPr>
          <w:spacing w:val="-16"/>
        </w:rPr>
        <w:t>计与贷方合计应该平衡相等，否则，便存在记账错误。</w:t>
      </w:r>
    </w:p>
    <w:p>
      <w:pPr>
        <w:pStyle w:val="6"/>
        <w:spacing w:before="1"/>
      </w:pPr>
      <w:r>
        <w:t>为了简化表格，试算平衡表也可只根据各个账户的本期发生额编制，不填列各账户的期初余额和期末余额。</w:t>
      </w:r>
    </w:p>
    <w:p>
      <w:pPr>
        <w:spacing w:after="0"/>
        <w:sectPr>
          <w:pgSz w:w="11910" w:h="16160"/>
          <w:pgMar w:top="1680" w:right="360" w:bottom="860" w:left="760" w:header="0" w:footer="584" w:gutter="0"/>
        </w:sectPr>
      </w:pPr>
    </w:p>
    <w:p>
      <w:pPr>
        <w:pStyle w:val="6"/>
        <w:spacing w:before="1"/>
        <w:ind w:left="0"/>
        <w:rPr>
          <w:sz w:val="14"/>
        </w:rPr>
      </w:pPr>
    </w:p>
    <w:tbl>
      <w:tblPr>
        <w:tblStyle w:val="10"/>
        <w:tblW w:w="0" w:type="auto"/>
        <w:tblInd w:w="9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6"/>
        <w:gridCol w:w="1216"/>
        <w:gridCol w:w="1218"/>
        <w:gridCol w:w="1217"/>
        <w:gridCol w:w="1217"/>
        <w:gridCol w:w="1217"/>
        <w:gridCol w:w="12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vMerge w:val="restart"/>
          </w:tcPr>
          <w:p>
            <w:pPr>
              <w:pStyle w:val="14"/>
              <w:spacing w:before="8"/>
              <w:rPr>
                <w:sz w:val="14"/>
              </w:rPr>
            </w:pPr>
          </w:p>
          <w:p>
            <w:pPr>
              <w:pStyle w:val="14"/>
              <w:spacing w:before="1"/>
              <w:ind w:left="207"/>
              <w:rPr>
                <w:sz w:val="20"/>
              </w:rPr>
            </w:pPr>
            <w:r>
              <w:rPr>
                <w:sz w:val="20"/>
              </w:rPr>
              <w:t>会计科目</w:t>
            </w:r>
          </w:p>
        </w:tc>
        <w:tc>
          <w:tcPr>
            <w:tcW w:w="2434" w:type="dxa"/>
            <w:gridSpan w:val="2"/>
          </w:tcPr>
          <w:p>
            <w:pPr>
              <w:pStyle w:val="14"/>
              <w:spacing w:before="27"/>
              <w:ind w:left="795" w:right="789"/>
              <w:jc w:val="center"/>
              <w:rPr>
                <w:sz w:val="20"/>
              </w:rPr>
            </w:pPr>
            <w:r>
              <w:rPr>
                <w:sz w:val="20"/>
              </w:rPr>
              <w:t>期初余额</w:t>
            </w:r>
          </w:p>
        </w:tc>
        <w:tc>
          <w:tcPr>
            <w:tcW w:w="2434" w:type="dxa"/>
            <w:gridSpan w:val="2"/>
          </w:tcPr>
          <w:p>
            <w:pPr>
              <w:pStyle w:val="14"/>
              <w:spacing w:before="27"/>
              <w:ind w:left="716"/>
              <w:rPr>
                <w:sz w:val="20"/>
              </w:rPr>
            </w:pPr>
            <w:r>
              <w:rPr>
                <w:sz w:val="20"/>
              </w:rPr>
              <w:t>本期发生额</w:t>
            </w:r>
          </w:p>
        </w:tc>
        <w:tc>
          <w:tcPr>
            <w:tcW w:w="2436" w:type="dxa"/>
            <w:gridSpan w:val="2"/>
          </w:tcPr>
          <w:p>
            <w:pPr>
              <w:pStyle w:val="14"/>
              <w:spacing w:before="27"/>
              <w:ind w:left="796" w:right="789"/>
              <w:jc w:val="center"/>
              <w:rPr>
                <w:sz w:val="20"/>
              </w:rPr>
            </w:pPr>
            <w:r>
              <w:rPr>
                <w:sz w:val="20"/>
              </w:rPr>
              <w:t>期末余额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vMerge w:val="continue"/>
            <w:tcBorders>
              <w:top w:val="nil"/>
            </w:tcBorders>
          </w:tcPr>
          <w:p>
            <w:pPr>
              <w:rPr>
                <w:sz w:val="2"/>
                <w:szCs w:val="2"/>
              </w:rPr>
            </w:pPr>
          </w:p>
        </w:tc>
        <w:tc>
          <w:tcPr>
            <w:tcW w:w="1216" w:type="dxa"/>
          </w:tcPr>
          <w:p>
            <w:pPr>
              <w:pStyle w:val="14"/>
              <w:spacing w:before="27"/>
              <w:ind w:left="186" w:right="179"/>
              <w:jc w:val="center"/>
              <w:rPr>
                <w:sz w:val="20"/>
              </w:rPr>
            </w:pPr>
            <w:r>
              <w:rPr>
                <w:sz w:val="20"/>
              </w:rPr>
              <w:t>借方</w:t>
            </w:r>
          </w:p>
        </w:tc>
        <w:tc>
          <w:tcPr>
            <w:tcW w:w="1218" w:type="dxa"/>
          </w:tcPr>
          <w:p>
            <w:pPr>
              <w:pStyle w:val="14"/>
              <w:spacing w:before="27"/>
              <w:ind w:left="286" w:right="280"/>
              <w:jc w:val="center"/>
              <w:rPr>
                <w:sz w:val="20"/>
              </w:rPr>
            </w:pPr>
            <w:r>
              <w:rPr>
                <w:sz w:val="20"/>
              </w:rPr>
              <w:t>贷方</w:t>
            </w:r>
          </w:p>
        </w:tc>
        <w:tc>
          <w:tcPr>
            <w:tcW w:w="1217" w:type="dxa"/>
          </w:tcPr>
          <w:p>
            <w:pPr>
              <w:pStyle w:val="14"/>
              <w:spacing w:before="27"/>
              <w:ind w:left="284" w:right="279"/>
              <w:jc w:val="center"/>
              <w:rPr>
                <w:sz w:val="20"/>
              </w:rPr>
            </w:pPr>
            <w:r>
              <w:rPr>
                <w:sz w:val="20"/>
              </w:rPr>
              <w:t>借方</w:t>
            </w:r>
          </w:p>
        </w:tc>
        <w:tc>
          <w:tcPr>
            <w:tcW w:w="1217" w:type="dxa"/>
          </w:tcPr>
          <w:p>
            <w:pPr>
              <w:pStyle w:val="14"/>
              <w:spacing w:before="27"/>
              <w:ind w:left="284" w:right="279"/>
              <w:jc w:val="center"/>
              <w:rPr>
                <w:sz w:val="20"/>
              </w:rPr>
            </w:pPr>
            <w:r>
              <w:rPr>
                <w:sz w:val="20"/>
              </w:rPr>
              <w:t>贷方</w:t>
            </w:r>
          </w:p>
        </w:tc>
        <w:tc>
          <w:tcPr>
            <w:tcW w:w="1217" w:type="dxa"/>
          </w:tcPr>
          <w:p>
            <w:pPr>
              <w:pStyle w:val="14"/>
              <w:spacing w:before="27"/>
              <w:ind w:left="406"/>
              <w:rPr>
                <w:sz w:val="20"/>
              </w:rPr>
            </w:pPr>
            <w:r>
              <w:rPr>
                <w:sz w:val="20"/>
              </w:rPr>
              <w:t>借方</w:t>
            </w:r>
          </w:p>
        </w:tc>
        <w:tc>
          <w:tcPr>
            <w:tcW w:w="1219" w:type="dxa"/>
          </w:tcPr>
          <w:p>
            <w:pPr>
              <w:pStyle w:val="14"/>
              <w:spacing w:before="27"/>
              <w:ind w:right="399"/>
              <w:jc w:val="right"/>
              <w:rPr>
                <w:sz w:val="20"/>
              </w:rPr>
            </w:pPr>
            <w:r>
              <w:rPr>
                <w:w w:val="95"/>
                <w:sz w:val="20"/>
              </w:rPr>
              <w:t>贷方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216" w:type="dxa"/>
            <w:tcBorders>
              <w:bottom w:val="nil"/>
            </w:tcBorders>
          </w:tcPr>
          <w:p>
            <w:pPr>
              <w:pStyle w:val="14"/>
              <w:spacing w:before="29"/>
              <w:ind w:left="187" w:right="177"/>
              <w:jc w:val="center"/>
              <w:rPr>
                <w:sz w:val="20"/>
              </w:rPr>
            </w:pPr>
            <w:r>
              <w:rPr>
                <w:sz w:val="20"/>
              </w:rPr>
              <w:t>原材料</w:t>
            </w:r>
          </w:p>
        </w:tc>
        <w:tc>
          <w:tcPr>
            <w:tcW w:w="1216" w:type="dxa"/>
            <w:tcBorders>
              <w:bottom w:val="nil"/>
            </w:tcBorders>
          </w:tcPr>
          <w:p>
            <w:pPr>
              <w:pStyle w:val="14"/>
              <w:spacing w:before="29"/>
              <w:ind w:left="187" w:right="179"/>
              <w:jc w:val="center"/>
              <w:rPr>
                <w:sz w:val="20"/>
              </w:rPr>
            </w:pPr>
            <w:r>
              <w:rPr>
                <w:sz w:val="20"/>
              </w:rPr>
              <w:t>100000</w:t>
            </w:r>
          </w:p>
        </w:tc>
        <w:tc>
          <w:tcPr>
            <w:tcW w:w="1218" w:type="dxa"/>
            <w:tcBorders>
              <w:bottom w:val="nil"/>
            </w:tcBorders>
          </w:tcPr>
          <w:p>
            <w:pPr>
              <w:pStyle w:val="14"/>
              <w:rPr>
                <w:rFonts w:ascii="Times New Roman"/>
                <w:sz w:val="18"/>
              </w:rPr>
            </w:pPr>
          </w:p>
        </w:tc>
        <w:tc>
          <w:tcPr>
            <w:tcW w:w="1217" w:type="dxa"/>
            <w:tcBorders>
              <w:bottom w:val="nil"/>
            </w:tcBorders>
          </w:tcPr>
          <w:p>
            <w:pPr>
              <w:pStyle w:val="14"/>
              <w:spacing w:before="29"/>
              <w:ind w:left="285" w:right="279"/>
              <w:jc w:val="center"/>
              <w:rPr>
                <w:sz w:val="20"/>
              </w:rPr>
            </w:pPr>
            <w:r>
              <w:rPr>
                <w:sz w:val="20"/>
              </w:rPr>
              <w:t>40000</w:t>
            </w:r>
          </w:p>
        </w:tc>
        <w:tc>
          <w:tcPr>
            <w:tcW w:w="1217" w:type="dxa"/>
            <w:tcBorders>
              <w:bottom w:val="nil"/>
            </w:tcBorders>
          </w:tcPr>
          <w:p>
            <w:pPr>
              <w:pStyle w:val="14"/>
              <w:rPr>
                <w:rFonts w:ascii="Times New Roman"/>
                <w:sz w:val="18"/>
              </w:rPr>
            </w:pPr>
          </w:p>
        </w:tc>
        <w:tc>
          <w:tcPr>
            <w:tcW w:w="1217" w:type="dxa"/>
            <w:tcBorders>
              <w:bottom w:val="nil"/>
            </w:tcBorders>
          </w:tcPr>
          <w:p>
            <w:pPr>
              <w:pStyle w:val="14"/>
              <w:spacing w:before="29"/>
              <w:ind w:left="308"/>
              <w:rPr>
                <w:sz w:val="20"/>
              </w:rPr>
            </w:pPr>
            <w:r>
              <w:rPr>
                <w:sz w:val="20"/>
              </w:rPr>
              <w:t>140000</w:t>
            </w:r>
          </w:p>
        </w:tc>
        <w:tc>
          <w:tcPr>
            <w:tcW w:w="1219" w:type="dxa"/>
            <w:tcBorders>
              <w:bottom w:val="nil"/>
            </w:tcBorders>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216" w:type="dxa"/>
            <w:tcBorders>
              <w:top w:val="nil"/>
              <w:bottom w:val="nil"/>
            </w:tcBorders>
          </w:tcPr>
          <w:p>
            <w:pPr>
              <w:pStyle w:val="14"/>
              <w:spacing w:before="27"/>
              <w:ind w:left="187" w:right="179"/>
              <w:jc w:val="center"/>
              <w:rPr>
                <w:sz w:val="20"/>
              </w:rPr>
            </w:pPr>
            <w:r>
              <w:rPr>
                <w:sz w:val="20"/>
              </w:rPr>
              <w:t>银行存款</w:t>
            </w:r>
          </w:p>
        </w:tc>
        <w:tc>
          <w:tcPr>
            <w:tcW w:w="1216" w:type="dxa"/>
            <w:tcBorders>
              <w:top w:val="nil"/>
              <w:bottom w:val="nil"/>
            </w:tcBorders>
          </w:tcPr>
          <w:p>
            <w:pPr>
              <w:pStyle w:val="14"/>
              <w:spacing w:before="27"/>
              <w:ind w:left="187" w:right="179"/>
              <w:jc w:val="center"/>
              <w:rPr>
                <w:sz w:val="20"/>
              </w:rPr>
            </w:pPr>
            <w:r>
              <w:rPr>
                <w:sz w:val="20"/>
              </w:rPr>
              <w:t>500000</w:t>
            </w:r>
          </w:p>
        </w:tc>
        <w:tc>
          <w:tcPr>
            <w:tcW w:w="1218" w:type="dxa"/>
            <w:tcBorders>
              <w:top w:val="nil"/>
              <w:bottom w:val="nil"/>
            </w:tcBorders>
          </w:tcPr>
          <w:p>
            <w:pPr>
              <w:pStyle w:val="14"/>
              <w:rPr>
                <w:rFonts w:ascii="Times New Roman"/>
                <w:sz w:val="18"/>
              </w:rPr>
            </w:pPr>
          </w:p>
        </w:tc>
        <w:tc>
          <w:tcPr>
            <w:tcW w:w="1217" w:type="dxa"/>
            <w:tcBorders>
              <w:top w:val="nil"/>
              <w:bottom w:val="nil"/>
            </w:tcBorders>
          </w:tcPr>
          <w:p>
            <w:pPr>
              <w:pStyle w:val="14"/>
              <w:spacing w:before="27"/>
              <w:ind w:left="287" w:right="278"/>
              <w:jc w:val="center"/>
              <w:rPr>
                <w:sz w:val="20"/>
              </w:rPr>
            </w:pPr>
            <w:r>
              <w:rPr>
                <w:sz w:val="20"/>
              </w:rPr>
              <w:t>240000</w:t>
            </w:r>
          </w:p>
        </w:tc>
        <w:tc>
          <w:tcPr>
            <w:tcW w:w="1217" w:type="dxa"/>
            <w:tcBorders>
              <w:top w:val="nil"/>
              <w:bottom w:val="nil"/>
            </w:tcBorders>
          </w:tcPr>
          <w:p>
            <w:pPr>
              <w:pStyle w:val="14"/>
              <w:spacing w:before="27"/>
              <w:ind w:left="287" w:right="279"/>
              <w:jc w:val="center"/>
              <w:rPr>
                <w:sz w:val="20"/>
              </w:rPr>
            </w:pPr>
            <w:r>
              <w:rPr>
                <w:sz w:val="20"/>
              </w:rPr>
              <w:t>110000</w:t>
            </w:r>
          </w:p>
        </w:tc>
        <w:tc>
          <w:tcPr>
            <w:tcW w:w="1217" w:type="dxa"/>
            <w:tcBorders>
              <w:top w:val="nil"/>
              <w:bottom w:val="nil"/>
            </w:tcBorders>
          </w:tcPr>
          <w:p>
            <w:pPr>
              <w:pStyle w:val="14"/>
              <w:spacing w:before="27"/>
              <w:ind w:left="308"/>
              <w:rPr>
                <w:sz w:val="20"/>
              </w:rPr>
            </w:pPr>
            <w:r>
              <w:rPr>
                <w:sz w:val="20"/>
              </w:rPr>
              <w:t>630000</w:t>
            </w:r>
          </w:p>
        </w:tc>
        <w:tc>
          <w:tcPr>
            <w:tcW w:w="1219" w:type="dxa"/>
            <w:tcBorders>
              <w:top w:val="nil"/>
              <w:bottom w:val="nil"/>
            </w:tcBorders>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tcBorders>
              <w:top w:val="nil"/>
              <w:bottom w:val="nil"/>
            </w:tcBorders>
          </w:tcPr>
          <w:p>
            <w:pPr>
              <w:pStyle w:val="14"/>
              <w:spacing w:before="27"/>
              <w:ind w:left="187" w:right="179"/>
              <w:jc w:val="center"/>
              <w:rPr>
                <w:sz w:val="20"/>
              </w:rPr>
            </w:pPr>
            <w:r>
              <w:rPr>
                <w:sz w:val="20"/>
              </w:rPr>
              <w:t>应收账款</w:t>
            </w:r>
          </w:p>
        </w:tc>
        <w:tc>
          <w:tcPr>
            <w:tcW w:w="1216" w:type="dxa"/>
            <w:tcBorders>
              <w:top w:val="nil"/>
              <w:bottom w:val="nil"/>
            </w:tcBorders>
          </w:tcPr>
          <w:p>
            <w:pPr>
              <w:pStyle w:val="14"/>
              <w:spacing w:before="27"/>
              <w:ind w:left="187" w:right="179"/>
              <w:jc w:val="center"/>
              <w:rPr>
                <w:sz w:val="20"/>
              </w:rPr>
            </w:pPr>
            <w:r>
              <w:rPr>
                <w:sz w:val="20"/>
              </w:rPr>
              <w:t>60000</w:t>
            </w:r>
          </w:p>
        </w:tc>
        <w:tc>
          <w:tcPr>
            <w:tcW w:w="1218" w:type="dxa"/>
            <w:tcBorders>
              <w:top w:val="nil"/>
              <w:bottom w:val="nil"/>
            </w:tcBorders>
          </w:tcPr>
          <w:p>
            <w:pPr>
              <w:pStyle w:val="14"/>
              <w:rPr>
                <w:rFonts w:ascii="Times New Roman"/>
                <w:sz w:val="18"/>
              </w:rPr>
            </w:pPr>
          </w:p>
        </w:tc>
        <w:tc>
          <w:tcPr>
            <w:tcW w:w="1217" w:type="dxa"/>
            <w:tcBorders>
              <w:top w:val="nil"/>
              <w:bottom w:val="nil"/>
            </w:tcBorders>
          </w:tcPr>
          <w:p>
            <w:pPr>
              <w:pStyle w:val="14"/>
              <w:rPr>
                <w:rFonts w:ascii="Times New Roman"/>
                <w:sz w:val="18"/>
              </w:rPr>
            </w:pPr>
          </w:p>
        </w:tc>
        <w:tc>
          <w:tcPr>
            <w:tcW w:w="1217" w:type="dxa"/>
            <w:tcBorders>
              <w:top w:val="nil"/>
              <w:bottom w:val="nil"/>
            </w:tcBorders>
          </w:tcPr>
          <w:p>
            <w:pPr>
              <w:pStyle w:val="14"/>
              <w:spacing w:before="27"/>
              <w:ind w:left="285" w:right="279"/>
              <w:jc w:val="center"/>
              <w:rPr>
                <w:sz w:val="20"/>
              </w:rPr>
            </w:pPr>
            <w:r>
              <w:rPr>
                <w:sz w:val="20"/>
              </w:rPr>
              <w:t>40000</w:t>
            </w:r>
          </w:p>
        </w:tc>
        <w:tc>
          <w:tcPr>
            <w:tcW w:w="1217" w:type="dxa"/>
            <w:tcBorders>
              <w:top w:val="nil"/>
              <w:bottom w:val="nil"/>
            </w:tcBorders>
          </w:tcPr>
          <w:p>
            <w:pPr>
              <w:pStyle w:val="14"/>
              <w:spacing w:before="27"/>
              <w:ind w:left="358"/>
              <w:rPr>
                <w:sz w:val="20"/>
              </w:rPr>
            </w:pPr>
            <w:r>
              <w:rPr>
                <w:sz w:val="20"/>
              </w:rPr>
              <w:t>20000</w:t>
            </w:r>
          </w:p>
        </w:tc>
        <w:tc>
          <w:tcPr>
            <w:tcW w:w="1219" w:type="dxa"/>
            <w:tcBorders>
              <w:top w:val="nil"/>
              <w:bottom w:val="nil"/>
            </w:tcBorders>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tcBorders>
              <w:top w:val="nil"/>
              <w:bottom w:val="nil"/>
            </w:tcBorders>
          </w:tcPr>
          <w:p>
            <w:pPr>
              <w:pStyle w:val="14"/>
              <w:spacing w:before="27"/>
              <w:ind w:left="187" w:right="179"/>
              <w:jc w:val="center"/>
              <w:rPr>
                <w:sz w:val="20"/>
              </w:rPr>
            </w:pPr>
            <w:r>
              <w:rPr>
                <w:sz w:val="20"/>
              </w:rPr>
              <w:t>应付账款</w:t>
            </w:r>
          </w:p>
        </w:tc>
        <w:tc>
          <w:tcPr>
            <w:tcW w:w="1216" w:type="dxa"/>
            <w:tcBorders>
              <w:top w:val="nil"/>
              <w:bottom w:val="nil"/>
            </w:tcBorders>
          </w:tcPr>
          <w:p>
            <w:pPr>
              <w:pStyle w:val="14"/>
              <w:rPr>
                <w:rFonts w:ascii="Times New Roman"/>
                <w:sz w:val="18"/>
              </w:rPr>
            </w:pPr>
          </w:p>
        </w:tc>
        <w:tc>
          <w:tcPr>
            <w:tcW w:w="1218" w:type="dxa"/>
            <w:tcBorders>
              <w:top w:val="nil"/>
              <w:bottom w:val="nil"/>
            </w:tcBorders>
          </w:tcPr>
          <w:p>
            <w:pPr>
              <w:pStyle w:val="14"/>
              <w:spacing w:before="27"/>
              <w:ind w:left="288" w:right="280"/>
              <w:jc w:val="center"/>
              <w:rPr>
                <w:sz w:val="20"/>
              </w:rPr>
            </w:pPr>
            <w:r>
              <w:rPr>
                <w:sz w:val="20"/>
              </w:rPr>
              <w:t>160000</w:t>
            </w:r>
          </w:p>
        </w:tc>
        <w:tc>
          <w:tcPr>
            <w:tcW w:w="1217" w:type="dxa"/>
            <w:tcBorders>
              <w:top w:val="nil"/>
              <w:bottom w:val="nil"/>
            </w:tcBorders>
          </w:tcPr>
          <w:p>
            <w:pPr>
              <w:pStyle w:val="14"/>
              <w:spacing w:before="27"/>
              <w:ind w:left="287" w:right="278"/>
              <w:jc w:val="center"/>
              <w:rPr>
                <w:sz w:val="20"/>
              </w:rPr>
            </w:pPr>
            <w:r>
              <w:rPr>
                <w:sz w:val="20"/>
              </w:rPr>
              <w:t>150000</w:t>
            </w:r>
          </w:p>
        </w:tc>
        <w:tc>
          <w:tcPr>
            <w:tcW w:w="1217" w:type="dxa"/>
            <w:tcBorders>
              <w:top w:val="nil"/>
              <w:bottom w:val="nil"/>
            </w:tcBorders>
          </w:tcPr>
          <w:p>
            <w:pPr>
              <w:pStyle w:val="14"/>
              <w:spacing w:before="27"/>
              <w:ind w:left="285" w:right="279"/>
              <w:jc w:val="center"/>
              <w:rPr>
                <w:sz w:val="20"/>
              </w:rPr>
            </w:pPr>
            <w:r>
              <w:rPr>
                <w:sz w:val="20"/>
              </w:rPr>
              <w:t>40000</w:t>
            </w:r>
          </w:p>
        </w:tc>
        <w:tc>
          <w:tcPr>
            <w:tcW w:w="1217" w:type="dxa"/>
            <w:tcBorders>
              <w:top w:val="nil"/>
              <w:bottom w:val="nil"/>
            </w:tcBorders>
          </w:tcPr>
          <w:p>
            <w:pPr>
              <w:pStyle w:val="14"/>
              <w:rPr>
                <w:rFonts w:ascii="Times New Roman"/>
                <w:sz w:val="18"/>
              </w:rPr>
            </w:pPr>
          </w:p>
        </w:tc>
        <w:tc>
          <w:tcPr>
            <w:tcW w:w="1219" w:type="dxa"/>
            <w:tcBorders>
              <w:top w:val="nil"/>
              <w:bottom w:val="nil"/>
            </w:tcBorders>
          </w:tcPr>
          <w:p>
            <w:pPr>
              <w:pStyle w:val="14"/>
              <w:spacing w:before="27"/>
              <w:ind w:right="348"/>
              <w:jc w:val="right"/>
              <w:rPr>
                <w:sz w:val="20"/>
              </w:rPr>
            </w:pPr>
            <w:r>
              <w:rPr>
                <w:w w:val="95"/>
                <w:sz w:val="20"/>
              </w:rPr>
              <w:t>50000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tcBorders>
              <w:top w:val="nil"/>
              <w:bottom w:val="nil"/>
            </w:tcBorders>
          </w:tcPr>
          <w:p>
            <w:pPr>
              <w:pStyle w:val="14"/>
              <w:spacing w:before="27"/>
              <w:ind w:left="187" w:right="179"/>
              <w:jc w:val="center"/>
              <w:rPr>
                <w:sz w:val="20"/>
              </w:rPr>
            </w:pPr>
            <w:r>
              <w:rPr>
                <w:sz w:val="20"/>
              </w:rPr>
              <w:t>短期借款</w:t>
            </w:r>
          </w:p>
        </w:tc>
        <w:tc>
          <w:tcPr>
            <w:tcW w:w="1216" w:type="dxa"/>
            <w:tcBorders>
              <w:top w:val="nil"/>
              <w:bottom w:val="nil"/>
            </w:tcBorders>
          </w:tcPr>
          <w:p>
            <w:pPr>
              <w:pStyle w:val="14"/>
              <w:rPr>
                <w:rFonts w:ascii="Times New Roman"/>
                <w:sz w:val="18"/>
              </w:rPr>
            </w:pPr>
          </w:p>
        </w:tc>
        <w:tc>
          <w:tcPr>
            <w:tcW w:w="1218" w:type="dxa"/>
            <w:tcBorders>
              <w:top w:val="nil"/>
              <w:bottom w:val="nil"/>
            </w:tcBorders>
          </w:tcPr>
          <w:p>
            <w:pPr>
              <w:pStyle w:val="14"/>
              <w:rPr>
                <w:rFonts w:ascii="Times New Roman"/>
                <w:sz w:val="18"/>
              </w:rPr>
            </w:pPr>
          </w:p>
        </w:tc>
        <w:tc>
          <w:tcPr>
            <w:tcW w:w="1217" w:type="dxa"/>
            <w:tcBorders>
              <w:top w:val="nil"/>
              <w:bottom w:val="nil"/>
            </w:tcBorders>
          </w:tcPr>
          <w:p>
            <w:pPr>
              <w:pStyle w:val="14"/>
              <w:rPr>
                <w:rFonts w:ascii="Times New Roman"/>
                <w:sz w:val="18"/>
              </w:rPr>
            </w:pPr>
          </w:p>
        </w:tc>
        <w:tc>
          <w:tcPr>
            <w:tcW w:w="1217" w:type="dxa"/>
            <w:tcBorders>
              <w:top w:val="nil"/>
              <w:bottom w:val="nil"/>
            </w:tcBorders>
          </w:tcPr>
          <w:p>
            <w:pPr>
              <w:pStyle w:val="14"/>
              <w:spacing w:before="27"/>
              <w:ind w:left="285" w:right="279"/>
              <w:jc w:val="center"/>
              <w:rPr>
                <w:sz w:val="20"/>
              </w:rPr>
            </w:pPr>
            <w:r>
              <w:rPr>
                <w:sz w:val="20"/>
              </w:rPr>
              <w:t>20000</w:t>
            </w:r>
          </w:p>
        </w:tc>
        <w:tc>
          <w:tcPr>
            <w:tcW w:w="1217" w:type="dxa"/>
            <w:tcBorders>
              <w:top w:val="nil"/>
              <w:bottom w:val="nil"/>
            </w:tcBorders>
          </w:tcPr>
          <w:p>
            <w:pPr>
              <w:pStyle w:val="14"/>
              <w:rPr>
                <w:rFonts w:ascii="Times New Roman"/>
                <w:sz w:val="18"/>
              </w:rPr>
            </w:pPr>
          </w:p>
        </w:tc>
        <w:tc>
          <w:tcPr>
            <w:tcW w:w="1219" w:type="dxa"/>
            <w:tcBorders>
              <w:top w:val="nil"/>
              <w:bottom w:val="nil"/>
            </w:tcBorders>
          </w:tcPr>
          <w:p>
            <w:pPr>
              <w:pStyle w:val="14"/>
              <w:spacing w:before="27"/>
              <w:ind w:right="348"/>
              <w:jc w:val="right"/>
              <w:rPr>
                <w:sz w:val="20"/>
              </w:rPr>
            </w:pPr>
            <w:r>
              <w:rPr>
                <w:w w:val="95"/>
                <w:sz w:val="20"/>
              </w:rPr>
              <w:t>20000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tcBorders>
              <w:top w:val="nil"/>
              <w:bottom w:val="nil"/>
            </w:tcBorders>
          </w:tcPr>
          <w:p>
            <w:pPr>
              <w:pStyle w:val="14"/>
              <w:spacing w:before="27"/>
              <w:ind w:left="187" w:right="179"/>
              <w:jc w:val="center"/>
              <w:rPr>
                <w:sz w:val="20"/>
              </w:rPr>
            </w:pPr>
            <w:r>
              <w:rPr>
                <w:sz w:val="20"/>
              </w:rPr>
              <w:t>应付股利</w:t>
            </w:r>
          </w:p>
        </w:tc>
        <w:tc>
          <w:tcPr>
            <w:tcW w:w="1216" w:type="dxa"/>
            <w:tcBorders>
              <w:top w:val="nil"/>
              <w:bottom w:val="nil"/>
            </w:tcBorders>
          </w:tcPr>
          <w:p>
            <w:pPr>
              <w:pStyle w:val="14"/>
              <w:rPr>
                <w:rFonts w:ascii="Times New Roman"/>
                <w:sz w:val="18"/>
              </w:rPr>
            </w:pPr>
          </w:p>
        </w:tc>
        <w:tc>
          <w:tcPr>
            <w:tcW w:w="1218" w:type="dxa"/>
            <w:tcBorders>
              <w:top w:val="nil"/>
              <w:bottom w:val="nil"/>
            </w:tcBorders>
          </w:tcPr>
          <w:p>
            <w:pPr>
              <w:pStyle w:val="14"/>
              <w:rPr>
                <w:rFonts w:ascii="Times New Roman"/>
                <w:sz w:val="18"/>
              </w:rPr>
            </w:pPr>
          </w:p>
        </w:tc>
        <w:tc>
          <w:tcPr>
            <w:tcW w:w="1217" w:type="dxa"/>
            <w:tcBorders>
              <w:top w:val="nil"/>
              <w:bottom w:val="nil"/>
            </w:tcBorders>
          </w:tcPr>
          <w:p>
            <w:pPr>
              <w:pStyle w:val="14"/>
              <w:rPr>
                <w:rFonts w:ascii="Times New Roman"/>
                <w:sz w:val="18"/>
              </w:rPr>
            </w:pPr>
          </w:p>
        </w:tc>
        <w:tc>
          <w:tcPr>
            <w:tcW w:w="1217" w:type="dxa"/>
            <w:tcBorders>
              <w:top w:val="nil"/>
              <w:bottom w:val="nil"/>
            </w:tcBorders>
          </w:tcPr>
          <w:p>
            <w:pPr>
              <w:pStyle w:val="14"/>
              <w:spacing w:before="27"/>
              <w:ind w:left="285" w:right="279"/>
              <w:jc w:val="center"/>
              <w:rPr>
                <w:sz w:val="20"/>
              </w:rPr>
            </w:pPr>
            <w:r>
              <w:rPr>
                <w:sz w:val="20"/>
              </w:rPr>
              <w:t>90000</w:t>
            </w:r>
          </w:p>
        </w:tc>
        <w:tc>
          <w:tcPr>
            <w:tcW w:w="1217" w:type="dxa"/>
            <w:tcBorders>
              <w:top w:val="nil"/>
              <w:bottom w:val="nil"/>
            </w:tcBorders>
          </w:tcPr>
          <w:p>
            <w:pPr>
              <w:pStyle w:val="14"/>
              <w:rPr>
                <w:rFonts w:ascii="Times New Roman"/>
                <w:sz w:val="18"/>
              </w:rPr>
            </w:pPr>
          </w:p>
        </w:tc>
        <w:tc>
          <w:tcPr>
            <w:tcW w:w="1219" w:type="dxa"/>
            <w:tcBorders>
              <w:top w:val="nil"/>
              <w:bottom w:val="nil"/>
            </w:tcBorders>
          </w:tcPr>
          <w:p>
            <w:pPr>
              <w:pStyle w:val="14"/>
              <w:spacing w:before="27"/>
              <w:ind w:right="348"/>
              <w:jc w:val="right"/>
              <w:rPr>
                <w:sz w:val="20"/>
              </w:rPr>
            </w:pPr>
            <w:r>
              <w:rPr>
                <w:w w:val="95"/>
                <w:sz w:val="20"/>
              </w:rPr>
              <w:t>90000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216" w:type="dxa"/>
            <w:tcBorders>
              <w:top w:val="nil"/>
              <w:bottom w:val="nil"/>
            </w:tcBorders>
          </w:tcPr>
          <w:p>
            <w:pPr>
              <w:pStyle w:val="14"/>
              <w:spacing w:before="27"/>
              <w:ind w:left="187" w:right="179"/>
              <w:jc w:val="center"/>
              <w:rPr>
                <w:sz w:val="20"/>
              </w:rPr>
            </w:pPr>
            <w:r>
              <w:rPr>
                <w:sz w:val="20"/>
              </w:rPr>
              <w:t>实收资本</w:t>
            </w:r>
          </w:p>
        </w:tc>
        <w:tc>
          <w:tcPr>
            <w:tcW w:w="1216" w:type="dxa"/>
            <w:tcBorders>
              <w:top w:val="nil"/>
              <w:bottom w:val="nil"/>
            </w:tcBorders>
          </w:tcPr>
          <w:p>
            <w:pPr>
              <w:pStyle w:val="14"/>
              <w:rPr>
                <w:rFonts w:ascii="Times New Roman"/>
                <w:sz w:val="18"/>
              </w:rPr>
            </w:pPr>
          </w:p>
        </w:tc>
        <w:tc>
          <w:tcPr>
            <w:tcW w:w="1218" w:type="dxa"/>
            <w:tcBorders>
              <w:top w:val="nil"/>
              <w:bottom w:val="nil"/>
            </w:tcBorders>
          </w:tcPr>
          <w:p>
            <w:pPr>
              <w:pStyle w:val="14"/>
              <w:spacing w:before="27"/>
              <w:ind w:left="288" w:right="280"/>
              <w:jc w:val="center"/>
              <w:rPr>
                <w:sz w:val="20"/>
              </w:rPr>
            </w:pPr>
            <w:r>
              <w:rPr>
                <w:sz w:val="20"/>
              </w:rPr>
              <w:t>300000</w:t>
            </w:r>
          </w:p>
        </w:tc>
        <w:tc>
          <w:tcPr>
            <w:tcW w:w="1217" w:type="dxa"/>
            <w:tcBorders>
              <w:top w:val="nil"/>
              <w:bottom w:val="nil"/>
            </w:tcBorders>
          </w:tcPr>
          <w:p>
            <w:pPr>
              <w:pStyle w:val="14"/>
              <w:spacing w:before="27"/>
              <w:ind w:left="285" w:right="279"/>
              <w:jc w:val="center"/>
              <w:rPr>
                <w:sz w:val="20"/>
              </w:rPr>
            </w:pPr>
            <w:r>
              <w:rPr>
                <w:sz w:val="20"/>
              </w:rPr>
              <w:t>50000</w:t>
            </w:r>
          </w:p>
        </w:tc>
        <w:tc>
          <w:tcPr>
            <w:tcW w:w="1217" w:type="dxa"/>
            <w:tcBorders>
              <w:top w:val="nil"/>
              <w:bottom w:val="nil"/>
            </w:tcBorders>
          </w:tcPr>
          <w:p>
            <w:pPr>
              <w:pStyle w:val="14"/>
              <w:spacing w:before="27"/>
              <w:ind w:left="287" w:right="279"/>
              <w:jc w:val="center"/>
              <w:rPr>
                <w:sz w:val="20"/>
              </w:rPr>
            </w:pPr>
            <w:r>
              <w:rPr>
                <w:sz w:val="20"/>
              </w:rPr>
              <w:t>370000</w:t>
            </w:r>
          </w:p>
        </w:tc>
        <w:tc>
          <w:tcPr>
            <w:tcW w:w="1217" w:type="dxa"/>
            <w:tcBorders>
              <w:top w:val="nil"/>
              <w:bottom w:val="nil"/>
            </w:tcBorders>
          </w:tcPr>
          <w:p>
            <w:pPr>
              <w:pStyle w:val="14"/>
              <w:rPr>
                <w:rFonts w:ascii="Times New Roman"/>
                <w:sz w:val="18"/>
              </w:rPr>
            </w:pPr>
          </w:p>
        </w:tc>
        <w:tc>
          <w:tcPr>
            <w:tcW w:w="1219" w:type="dxa"/>
            <w:tcBorders>
              <w:top w:val="nil"/>
              <w:bottom w:val="nil"/>
            </w:tcBorders>
          </w:tcPr>
          <w:p>
            <w:pPr>
              <w:pStyle w:val="14"/>
              <w:spacing w:before="27"/>
              <w:ind w:right="297"/>
              <w:jc w:val="right"/>
              <w:rPr>
                <w:sz w:val="20"/>
              </w:rPr>
            </w:pPr>
            <w:r>
              <w:rPr>
                <w:w w:val="95"/>
                <w:sz w:val="20"/>
              </w:rPr>
              <w:t>620000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tcBorders>
              <w:top w:val="nil"/>
              <w:bottom w:val="nil"/>
            </w:tcBorders>
          </w:tcPr>
          <w:p>
            <w:pPr>
              <w:pStyle w:val="14"/>
              <w:spacing w:before="27"/>
              <w:ind w:left="187" w:right="179"/>
              <w:jc w:val="center"/>
              <w:rPr>
                <w:sz w:val="20"/>
              </w:rPr>
            </w:pPr>
            <w:r>
              <w:rPr>
                <w:sz w:val="20"/>
              </w:rPr>
              <w:t>资本公积</w:t>
            </w:r>
          </w:p>
        </w:tc>
        <w:tc>
          <w:tcPr>
            <w:tcW w:w="1216" w:type="dxa"/>
            <w:tcBorders>
              <w:top w:val="nil"/>
              <w:bottom w:val="nil"/>
            </w:tcBorders>
          </w:tcPr>
          <w:p>
            <w:pPr>
              <w:pStyle w:val="14"/>
              <w:rPr>
                <w:rFonts w:ascii="Times New Roman"/>
                <w:sz w:val="18"/>
              </w:rPr>
            </w:pPr>
          </w:p>
        </w:tc>
        <w:tc>
          <w:tcPr>
            <w:tcW w:w="1218" w:type="dxa"/>
            <w:tcBorders>
              <w:top w:val="nil"/>
              <w:bottom w:val="nil"/>
            </w:tcBorders>
          </w:tcPr>
          <w:p>
            <w:pPr>
              <w:pStyle w:val="14"/>
              <w:spacing w:before="27"/>
              <w:ind w:left="288" w:right="280"/>
              <w:jc w:val="center"/>
              <w:rPr>
                <w:sz w:val="20"/>
              </w:rPr>
            </w:pPr>
            <w:r>
              <w:rPr>
                <w:sz w:val="20"/>
              </w:rPr>
              <w:t>100000</w:t>
            </w:r>
          </w:p>
        </w:tc>
        <w:tc>
          <w:tcPr>
            <w:tcW w:w="1217" w:type="dxa"/>
            <w:tcBorders>
              <w:top w:val="nil"/>
              <w:bottom w:val="nil"/>
            </w:tcBorders>
          </w:tcPr>
          <w:p>
            <w:pPr>
              <w:pStyle w:val="14"/>
              <w:spacing w:before="27"/>
              <w:ind w:left="287" w:right="278"/>
              <w:jc w:val="center"/>
              <w:rPr>
                <w:sz w:val="20"/>
              </w:rPr>
            </w:pPr>
            <w:r>
              <w:rPr>
                <w:sz w:val="20"/>
              </w:rPr>
              <w:t>100000</w:t>
            </w:r>
          </w:p>
        </w:tc>
        <w:tc>
          <w:tcPr>
            <w:tcW w:w="1217" w:type="dxa"/>
            <w:tcBorders>
              <w:top w:val="nil"/>
              <w:bottom w:val="nil"/>
            </w:tcBorders>
          </w:tcPr>
          <w:p>
            <w:pPr>
              <w:pStyle w:val="14"/>
              <w:rPr>
                <w:rFonts w:ascii="Times New Roman"/>
                <w:sz w:val="18"/>
              </w:rPr>
            </w:pPr>
          </w:p>
        </w:tc>
        <w:tc>
          <w:tcPr>
            <w:tcW w:w="1217" w:type="dxa"/>
            <w:tcBorders>
              <w:top w:val="nil"/>
              <w:bottom w:val="nil"/>
            </w:tcBorders>
          </w:tcPr>
          <w:p>
            <w:pPr>
              <w:pStyle w:val="14"/>
              <w:rPr>
                <w:rFonts w:ascii="Times New Roman"/>
                <w:sz w:val="18"/>
              </w:rPr>
            </w:pPr>
          </w:p>
        </w:tc>
        <w:tc>
          <w:tcPr>
            <w:tcW w:w="1219" w:type="dxa"/>
            <w:tcBorders>
              <w:top w:val="nil"/>
              <w:bottom w:val="nil"/>
            </w:tcBorders>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216" w:type="dxa"/>
            <w:tcBorders>
              <w:top w:val="nil"/>
            </w:tcBorders>
          </w:tcPr>
          <w:p>
            <w:pPr>
              <w:pStyle w:val="14"/>
              <w:spacing w:before="27"/>
              <w:ind w:left="187" w:right="179"/>
              <w:jc w:val="center"/>
              <w:rPr>
                <w:sz w:val="20"/>
              </w:rPr>
            </w:pPr>
            <w:r>
              <w:rPr>
                <w:sz w:val="20"/>
              </w:rPr>
              <w:t>利润分配</w:t>
            </w:r>
          </w:p>
        </w:tc>
        <w:tc>
          <w:tcPr>
            <w:tcW w:w="1216" w:type="dxa"/>
            <w:tcBorders>
              <w:top w:val="nil"/>
            </w:tcBorders>
          </w:tcPr>
          <w:p>
            <w:pPr>
              <w:pStyle w:val="14"/>
              <w:rPr>
                <w:rFonts w:ascii="Times New Roman"/>
                <w:sz w:val="18"/>
              </w:rPr>
            </w:pPr>
          </w:p>
        </w:tc>
        <w:tc>
          <w:tcPr>
            <w:tcW w:w="1218" w:type="dxa"/>
            <w:tcBorders>
              <w:top w:val="nil"/>
            </w:tcBorders>
          </w:tcPr>
          <w:p>
            <w:pPr>
              <w:pStyle w:val="14"/>
              <w:spacing w:before="27"/>
              <w:ind w:left="288" w:right="280"/>
              <w:jc w:val="center"/>
              <w:rPr>
                <w:sz w:val="20"/>
              </w:rPr>
            </w:pPr>
            <w:r>
              <w:rPr>
                <w:sz w:val="20"/>
              </w:rPr>
              <w:t>100000</w:t>
            </w:r>
          </w:p>
        </w:tc>
        <w:tc>
          <w:tcPr>
            <w:tcW w:w="1217" w:type="dxa"/>
            <w:tcBorders>
              <w:top w:val="nil"/>
            </w:tcBorders>
          </w:tcPr>
          <w:p>
            <w:pPr>
              <w:pStyle w:val="14"/>
              <w:spacing w:before="27"/>
              <w:ind w:left="285" w:right="279"/>
              <w:jc w:val="center"/>
              <w:rPr>
                <w:sz w:val="20"/>
              </w:rPr>
            </w:pPr>
            <w:r>
              <w:rPr>
                <w:sz w:val="20"/>
              </w:rPr>
              <w:t>90000</w:t>
            </w:r>
          </w:p>
        </w:tc>
        <w:tc>
          <w:tcPr>
            <w:tcW w:w="1217" w:type="dxa"/>
            <w:tcBorders>
              <w:top w:val="nil"/>
            </w:tcBorders>
          </w:tcPr>
          <w:p>
            <w:pPr>
              <w:pStyle w:val="14"/>
              <w:rPr>
                <w:rFonts w:ascii="Times New Roman"/>
                <w:sz w:val="18"/>
              </w:rPr>
            </w:pPr>
          </w:p>
        </w:tc>
        <w:tc>
          <w:tcPr>
            <w:tcW w:w="1217" w:type="dxa"/>
            <w:tcBorders>
              <w:top w:val="nil"/>
            </w:tcBorders>
          </w:tcPr>
          <w:p>
            <w:pPr>
              <w:pStyle w:val="14"/>
              <w:rPr>
                <w:rFonts w:ascii="Times New Roman"/>
                <w:sz w:val="18"/>
              </w:rPr>
            </w:pPr>
          </w:p>
        </w:tc>
        <w:tc>
          <w:tcPr>
            <w:tcW w:w="1219" w:type="dxa"/>
            <w:tcBorders>
              <w:top w:val="nil"/>
            </w:tcBorders>
          </w:tcPr>
          <w:p>
            <w:pPr>
              <w:pStyle w:val="14"/>
              <w:spacing w:before="27"/>
              <w:ind w:right="348"/>
              <w:jc w:val="right"/>
              <w:rPr>
                <w:sz w:val="20"/>
              </w:rPr>
            </w:pPr>
            <w:r>
              <w:rPr>
                <w:w w:val="95"/>
                <w:sz w:val="20"/>
              </w:rPr>
              <w:t>10000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216" w:type="dxa"/>
          </w:tcPr>
          <w:p>
            <w:pPr>
              <w:pStyle w:val="14"/>
              <w:spacing w:before="28"/>
              <w:ind w:left="184" w:right="179"/>
              <w:jc w:val="center"/>
              <w:rPr>
                <w:sz w:val="20"/>
              </w:rPr>
            </w:pPr>
            <w:r>
              <w:rPr>
                <w:sz w:val="20"/>
              </w:rPr>
              <w:t>合计</w:t>
            </w:r>
          </w:p>
        </w:tc>
        <w:tc>
          <w:tcPr>
            <w:tcW w:w="1216" w:type="dxa"/>
          </w:tcPr>
          <w:p>
            <w:pPr>
              <w:pStyle w:val="14"/>
              <w:spacing w:before="28"/>
              <w:ind w:left="187" w:right="179"/>
              <w:jc w:val="center"/>
              <w:rPr>
                <w:sz w:val="20"/>
              </w:rPr>
            </w:pPr>
            <w:r>
              <w:rPr>
                <w:sz w:val="20"/>
              </w:rPr>
              <w:t>660000</w:t>
            </w:r>
          </w:p>
        </w:tc>
        <w:tc>
          <w:tcPr>
            <w:tcW w:w="1218" w:type="dxa"/>
          </w:tcPr>
          <w:p>
            <w:pPr>
              <w:pStyle w:val="14"/>
              <w:spacing w:before="28"/>
              <w:ind w:left="288" w:right="280"/>
              <w:jc w:val="center"/>
              <w:rPr>
                <w:sz w:val="20"/>
              </w:rPr>
            </w:pPr>
            <w:r>
              <w:rPr>
                <w:sz w:val="20"/>
              </w:rPr>
              <w:t>660000</w:t>
            </w:r>
          </w:p>
        </w:tc>
        <w:tc>
          <w:tcPr>
            <w:tcW w:w="1217" w:type="dxa"/>
          </w:tcPr>
          <w:p>
            <w:pPr>
              <w:pStyle w:val="14"/>
              <w:spacing w:before="28"/>
              <w:ind w:left="287" w:right="278"/>
              <w:jc w:val="center"/>
              <w:rPr>
                <w:sz w:val="20"/>
              </w:rPr>
            </w:pPr>
            <w:r>
              <w:rPr>
                <w:sz w:val="20"/>
              </w:rPr>
              <w:t>670000</w:t>
            </w:r>
          </w:p>
        </w:tc>
        <w:tc>
          <w:tcPr>
            <w:tcW w:w="1217" w:type="dxa"/>
          </w:tcPr>
          <w:p>
            <w:pPr>
              <w:pStyle w:val="14"/>
              <w:spacing w:before="28"/>
              <w:ind w:left="287" w:right="279"/>
              <w:jc w:val="center"/>
              <w:rPr>
                <w:sz w:val="20"/>
              </w:rPr>
            </w:pPr>
            <w:r>
              <w:rPr>
                <w:sz w:val="20"/>
              </w:rPr>
              <w:t>670000</w:t>
            </w:r>
          </w:p>
        </w:tc>
        <w:tc>
          <w:tcPr>
            <w:tcW w:w="1217" w:type="dxa"/>
          </w:tcPr>
          <w:p>
            <w:pPr>
              <w:pStyle w:val="14"/>
              <w:spacing w:before="28"/>
              <w:ind w:left="308"/>
              <w:rPr>
                <w:sz w:val="20"/>
              </w:rPr>
            </w:pPr>
            <w:r>
              <w:rPr>
                <w:sz w:val="20"/>
              </w:rPr>
              <w:t>790000</w:t>
            </w:r>
          </w:p>
        </w:tc>
        <w:tc>
          <w:tcPr>
            <w:tcW w:w="1219" w:type="dxa"/>
          </w:tcPr>
          <w:p>
            <w:pPr>
              <w:pStyle w:val="14"/>
              <w:spacing w:before="28"/>
              <w:ind w:right="297"/>
              <w:jc w:val="right"/>
              <w:rPr>
                <w:sz w:val="20"/>
              </w:rPr>
            </w:pPr>
            <w:r>
              <w:rPr>
                <w:w w:val="95"/>
                <w:sz w:val="20"/>
              </w:rPr>
              <w:t>790000</w:t>
            </w:r>
          </w:p>
        </w:tc>
      </w:tr>
    </w:tbl>
    <w:p>
      <w:pPr>
        <w:pStyle w:val="6"/>
        <w:spacing w:before="69"/>
      </w:pPr>
      <w:r>
        <mc:AlternateContent>
          <mc:Choice Requires="wps">
            <w:drawing>
              <wp:anchor distT="0" distB="0" distL="114300" distR="114300" simplePos="0" relativeHeight="15753216" behindDoc="0" locked="0" layoutInCell="1" allowOverlap="1">
                <wp:simplePos x="0" y="0"/>
                <wp:positionH relativeFrom="page">
                  <wp:posOffset>1068705</wp:posOffset>
                </wp:positionH>
                <wp:positionV relativeFrom="paragraph">
                  <wp:posOffset>182245</wp:posOffset>
                </wp:positionV>
                <wp:extent cx="251460" cy="5715"/>
                <wp:effectExtent l="0" t="0" r="0" b="0"/>
                <wp:wrapNone/>
                <wp:docPr id="42" name="任意多边形 51"/>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51" o:spid="_x0000_s1026" o:spt="100" style="position:absolute;left:0pt;margin-left:84.15pt;margin-top:14.35pt;height:0.45pt;width:19.8pt;mso-position-horizontal-relative:page;z-index:15753216;mso-width-relative:page;mso-height-relative:page;" filled="f" stroked="t" coordsize="396,9" o:gfxdata="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g&#10;tcYI2QAAAAkBAAAPAAAAAAAAAAEAIAAAACIAAABkcnMvZG93bnJldi54bWxQSwECFAAUAAAACACH&#10;TuJAOYFAXJUCAABV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】本表中体现出三种平衡关系：</w:t>
      </w:r>
    </w:p>
    <w:p>
      <w:pPr>
        <w:pStyle w:val="13"/>
        <w:numPr>
          <w:ilvl w:val="1"/>
          <w:numId w:val="24"/>
        </w:numPr>
        <w:tabs>
          <w:tab w:val="left" w:pos="1326"/>
        </w:tabs>
        <w:spacing w:before="70" w:after="0" w:line="240" w:lineRule="auto"/>
        <w:ind w:left="1325" w:right="0" w:hanging="202"/>
        <w:jc w:val="left"/>
        <w:rPr>
          <w:sz w:val="20"/>
        </w:rPr>
      </w:pPr>
      <w:r>
        <w:rPr>
          <w:sz w:val="20"/>
        </w:rPr>
        <w:t>期初期末余额：资产=负债+所有者权益</w:t>
      </w:r>
    </w:p>
    <w:p>
      <w:pPr>
        <w:pStyle w:val="5"/>
        <w:numPr>
          <w:ilvl w:val="1"/>
          <w:numId w:val="24"/>
        </w:numPr>
        <w:tabs>
          <w:tab w:val="left" w:pos="1326"/>
        </w:tabs>
        <w:spacing w:before="70" w:after="0" w:line="304" w:lineRule="auto"/>
        <w:ind w:left="1323" w:right="3139" w:hanging="200"/>
        <w:jc w:val="left"/>
      </w:pPr>
      <w:r>
        <w:rPr>
          <w:b w:val="0"/>
          <w:w w:val="95"/>
        </w:rPr>
        <w:t>资产类：</w:t>
      </w:r>
      <w:r>
        <w:rPr>
          <w:color w:val="00AFEF"/>
          <w:w w:val="95"/>
          <w:u w:val="single" w:color="00AFEF"/>
        </w:rPr>
        <w:t xml:space="preserve">期末借方余额=期初借方余额+本期借方发生额-本期贷方发生额  </w:t>
      </w:r>
      <w:r>
        <w:rPr>
          <w:b w:val="0"/>
          <w:w w:val="95"/>
        </w:rPr>
        <w:t>权益类：</w:t>
      </w:r>
      <w:r>
        <w:rPr>
          <w:color w:val="00AFEF"/>
          <w:w w:val="95"/>
          <w:u w:val="single" w:color="00AFEF"/>
        </w:rPr>
        <w:t>期末贷方余额=期初贷方余额+本期贷方发生额-本期借方发生额</w:t>
      </w:r>
    </w:p>
    <w:p>
      <w:pPr>
        <w:pStyle w:val="13"/>
        <w:numPr>
          <w:ilvl w:val="1"/>
          <w:numId w:val="24"/>
        </w:numPr>
        <w:tabs>
          <w:tab w:val="left" w:pos="1326"/>
        </w:tabs>
        <w:spacing w:before="0" w:after="0" w:line="256" w:lineRule="exact"/>
        <w:ind w:left="1325" w:right="0" w:hanging="202"/>
        <w:jc w:val="left"/>
        <w:rPr>
          <w:b/>
          <w:sz w:val="20"/>
        </w:rPr>
      </w:pPr>
      <w:r>
        <w:rPr>
          <w:sz w:val="20"/>
        </w:rPr>
        <w:t>试算平衡：</w:t>
      </w:r>
      <w:r>
        <w:rPr>
          <w:b/>
          <w:color w:val="00AFEF"/>
          <w:sz w:val="20"/>
          <w:u w:val="single" w:color="00AFEF"/>
        </w:rPr>
        <w:t>借方合计=贷方合计（发生额和余额）</w:t>
      </w:r>
    </w:p>
    <w:p>
      <w:pPr>
        <w:pStyle w:val="5"/>
        <w:numPr>
          <w:ilvl w:val="0"/>
          <w:numId w:val="24"/>
        </w:numPr>
        <w:tabs>
          <w:tab w:val="left" w:pos="925"/>
        </w:tabs>
        <w:spacing w:before="70" w:after="0" w:line="240" w:lineRule="auto"/>
        <w:ind w:left="924" w:right="0" w:hanging="202"/>
        <w:jc w:val="left"/>
        <w:rPr>
          <w:sz w:val="18"/>
        </w:rPr>
      </w:pPr>
      <w:r>
        <w:t>试算平衡表的注意事项</w:t>
      </w:r>
    </w:p>
    <w:p>
      <w:pPr>
        <w:pStyle w:val="6"/>
        <w:spacing w:before="71"/>
      </w:pPr>
      <w:r>
        <w:t>在编制试算平衡表时，应注意以下几点：</w:t>
      </w:r>
    </w:p>
    <w:p>
      <w:pPr>
        <w:pStyle w:val="6"/>
      </w:pPr>
      <w:r>
        <w:t>①必须保证所有账户均已计入试算表；</w:t>
      </w:r>
    </w:p>
    <w:p>
      <w:pPr>
        <w:pStyle w:val="6"/>
      </w:pPr>
      <w:r>
        <w:t>②</w:t>
      </w:r>
      <w:r>
        <w:rPr>
          <w:color w:val="FF0000"/>
          <w:u w:val="double" w:color="FF0000"/>
        </w:rPr>
        <w:t>如果试算平衡表借贷不相等，肯定账户记录有错误</w:t>
      </w:r>
      <w:r>
        <w:t>；</w:t>
      </w:r>
    </w:p>
    <w:p>
      <w:pPr>
        <w:pStyle w:val="6"/>
        <w:spacing w:line="302" w:lineRule="auto"/>
        <w:ind w:right="678"/>
      </w:pPr>
      <w:r>
        <w:rPr>
          <w:w w:val="95"/>
        </w:rPr>
        <w:t>③</w:t>
      </w:r>
      <w:r>
        <w:rPr>
          <w:color w:val="FF0000"/>
          <w:w w:val="95"/>
          <w:u w:val="double" w:color="FF0000"/>
        </w:rPr>
        <w:t>即使发生额和余额试算平衡，也不代表账户记录绝对正确，因为有些错误并不会影响借贷双方的平衡关系</w:t>
      </w:r>
      <w:r>
        <w:rPr>
          <w:w w:val="95"/>
        </w:rPr>
        <w:t xml:space="preserve">； </w:t>
      </w:r>
      <w:r>
        <w:t>如：a.</w:t>
      </w:r>
      <w:r>
        <w:rPr>
          <w:color w:val="FF0000"/>
          <w:u w:val="double" w:color="FF0000"/>
        </w:rPr>
        <w:t>重记、漏记</w:t>
      </w:r>
      <w:r>
        <w:t>某项经济业务,使本期借贷双方的发生额等额增加或减少，借贷依然平衡；</w:t>
      </w:r>
    </w:p>
    <w:p>
      <w:pPr>
        <w:pStyle w:val="13"/>
        <w:numPr>
          <w:ilvl w:val="0"/>
          <w:numId w:val="21"/>
        </w:numPr>
        <w:tabs>
          <w:tab w:val="left" w:pos="925"/>
        </w:tabs>
        <w:spacing w:before="5" w:after="0" w:line="304" w:lineRule="auto"/>
        <w:ind w:left="723" w:right="621" w:firstLine="0"/>
        <w:jc w:val="left"/>
        <w:rPr>
          <w:sz w:val="20"/>
        </w:rPr>
      </w:pPr>
      <w:r>
        <w:rPr>
          <w:w w:val="95"/>
          <w:sz w:val="20"/>
        </w:rPr>
        <w:t>某项经济业务记录的</w:t>
      </w:r>
      <w:r>
        <w:rPr>
          <w:color w:val="FF0000"/>
          <w:spacing w:val="-5"/>
          <w:w w:val="95"/>
          <w:sz w:val="20"/>
          <w:u w:val="double" w:color="FF0000"/>
        </w:rPr>
        <w:t>应借、应贷科目正确</w:t>
      </w:r>
      <w:r>
        <w:rPr>
          <w:spacing w:val="-5"/>
          <w:w w:val="95"/>
          <w:sz w:val="20"/>
        </w:rPr>
        <w:t>，但借贷双方</w:t>
      </w:r>
      <w:r>
        <w:rPr>
          <w:color w:val="FF0000"/>
          <w:w w:val="95"/>
          <w:sz w:val="20"/>
          <w:u w:val="double" w:color="FF0000"/>
        </w:rPr>
        <w:t>金额同时多记或少记</w:t>
      </w:r>
      <w:r>
        <w:rPr>
          <w:spacing w:val="-6"/>
          <w:w w:val="95"/>
          <w:sz w:val="20"/>
        </w:rPr>
        <w:t xml:space="preserve">，且金额一致，借贷仍然平衡；  </w:t>
      </w:r>
      <w:r>
        <w:rPr>
          <w:spacing w:val="-6"/>
          <w:sz w:val="20"/>
        </w:rPr>
        <w:t>c.某项经济业务</w:t>
      </w:r>
      <w:r>
        <w:rPr>
          <w:color w:val="FF0000"/>
          <w:spacing w:val="-6"/>
          <w:sz w:val="20"/>
          <w:u w:val="double" w:color="FF0000"/>
        </w:rPr>
        <w:t>记错有关账户</w:t>
      </w:r>
      <w:r>
        <w:rPr>
          <w:spacing w:val="-6"/>
          <w:sz w:val="20"/>
        </w:rPr>
        <w:t>，借贷仍然平衡；</w:t>
      </w:r>
    </w:p>
    <w:p>
      <w:pPr>
        <w:pStyle w:val="6"/>
        <w:spacing w:before="2"/>
      </w:pPr>
      <w:r>
        <w:t>d.某项经济业务在账户记录中，</w:t>
      </w:r>
      <w:r>
        <w:rPr>
          <w:color w:val="FF0000"/>
          <w:u w:val="double" w:color="FF0000"/>
        </w:rPr>
        <w:t>颠倒了记账方向</w:t>
      </w:r>
      <w:r>
        <w:t>，借贷仍然平衡；</w:t>
      </w:r>
    </w:p>
    <w:p>
      <w:pPr>
        <w:pStyle w:val="6"/>
      </w:pPr>
      <w:r>
        <w:t>e.某借方或贷方发生额中，</w:t>
      </w:r>
      <w:r>
        <w:rPr>
          <w:color w:val="FF0000"/>
          <w:u w:val="double" w:color="FF0000"/>
        </w:rPr>
        <w:t>偶然发生多记或少记</w:t>
      </w:r>
      <w:r>
        <w:t>并相互抵销，借贷仍然平衡。</w:t>
      </w:r>
    </w:p>
    <w:p>
      <w:pPr>
        <w:pStyle w:val="6"/>
        <w:spacing w:before="0"/>
        <w:ind w:left="0"/>
      </w:pPr>
    </w:p>
    <w:p>
      <w:pPr>
        <w:pStyle w:val="3"/>
        <w:tabs>
          <w:tab w:val="left" w:pos="839"/>
        </w:tabs>
        <w:spacing w:before="188"/>
        <w:ind w:left="0" w:right="402"/>
        <w:jc w:val="center"/>
        <w:rPr>
          <w:rFonts w:hint="eastAsia" w:ascii="微软雅黑" w:eastAsia="微软雅黑"/>
        </w:rPr>
      </w:pPr>
      <w:bookmarkStart w:id="20" w:name="第五节  会计凭证、会计账簿与账务处理程序"/>
      <w:bookmarkEnd w:id="20"/>
      <w:bookmarkStart w:id="21" w:name="_bookmark5"/>
      <w:bookmarkEnd w:id="21"/>
      <w:r>
        <w:rPr>
          <w:rFonts w:hint="eastAsia" w:ascii="微软雅黑" w:eastAsia="微软雅黑"/>
          <w:shd w:val="clear" w:color="auto" w:fill="FFFF00"/>
        </w:rPr>
        <w:t>第五节</w:t>
      </w:r>
      <w:r>
        <w:rPr>
          <w:rFonts w:hint="eastAsia" w:ascii="微软雅黑" w:eastAsia="微软雅黑"/>
          <w:shd w:val="clear" w:color="auto" w:fill="FFFF00"/>
        </w:rPr>
        <w:tab/>
      </w:r>
      <w:r>
        <w:rPr>
          <w:rFonts w:hint="eastAsia" w:ascii="微软雅黑" w:eastAsia="微软雅黑"/>
          <w:shd w:val="clear" w:color="auto" w:fill="FFFF00"/>
        </w:rPr>
        <w:t>会计凭证、会计账簿与账务处理程序</w:t>
      </w:r>
    </w:p>
    <w:p>
      <w:pPr>
        <w:spacing w:before="140"/>
        <w:ind w:left="742" w:right="0" w:firstLine="0"/>
        <w:jc w:val="left"/>
        <w:rPr>
          <w:b/>
          <w:sz w:val="21"/>
        </w:rPr>
      </w:pPr>
      <w:bookmarkStart w:id="22" w:name="一、会计凭证"/>
      <w:bookmarkEnd w:id="22"/>
      <w:r>
        <w:rPr>
          <w:b/>
          <w:sz w:val="21"/>
          <w:shd w:val="clear" w:color="auto" w:fill="C0C0C0"/>
        </w:rPr>
        <w:t>一、会计凭证</w:t>
      </w:r>
    </w:p>
    <w:p>
      <w:pPr>
        <w:pStyle w:val="5"/>
        <w:spacing w:before="89"/>
      </w:pPr>
      <w:r>
        <w:t>（一）会计凭证概述</w:t>
      </w:r>
    </w:p>
    <w:p>
      <w:pPr>
        <w:spacing w:before="71" w:line="304" w:lineRule="auto"/>
        <w:ind w:left="322" w:right="720" w:firstLine="400"/>
        <w:jc w:val="left"/>
        <w:rPr>
          <w:sz w:val="20"/>
        </w:rPr>
      </w:pPr>
      <w:r>
        <w:rPr>
          <w:w w:val="95"/>
          <w:sz w:val="20"/>
        </w:rPr>
        <w:t>会计凭证是</w:t>
      </w:r>
      <w:r>
        <w:rPr>
          <w:b/>
          <w:color w:val="00AFEF"/>
          <w:spacing w:val="-3"/>
          <w:w w:val="95"/>
          <w:sz w:val="20"/>
          <w:u w:val="single" w:color="00AFEF"/>
        </w:rPr>
        <w:t>指记录经济业务发生或者完成情况的书面证明，是登记账簿的依据</w:t>
      </w:r>
      <w:r>
        <w:rPr>
          <w:spacing w:val="-7"/>
          <w:w w:val="95"/>
          <w:sz w:val="20"/>
        </w:rPr>
        <w:t xml:space="preserve">。包括纸质会计凭证和电子会   </w:t>
      </w:r>
      <w:r>
        <w:rPr>
          <w:spacing w:val="-7"/>
          <w:sz w:val="20"/>
        </w:rPr>
        <w:t>计凭证两种形式。</w:t>
      </w:r>
    </w:p>
    <w:p>
      <w:pPr>
        <w:pStyle w:val="6"/>
        <w:spacing w:before="1"/>
      </w:pPr>
      <w:r>
        <w:t>会计凭证按照</w:t>
      </w:r>
      <w:r>
        <w:rPr>
          <w:color w:val="FF0000"/>
          <w:u w:val="double" w:color="FF0000"/>
        </w:rPr>
        <w:t>填制程序和用途</w:t>
      </w:r>
      <w:r>
        <w:t>可分为</w:t>
      </w:r>
      <w:r>
        <w:rPr>
          <w:color w:val="FF0000"/>
          <w:u w:val="double" w:color="FF0000"/>
        </w:rPr>
        <w:t>原始凭证和记账凭证</w:t>
      </w:r>
      <w:r>
        <w:t>。</w:t>
      </w:r>
    </w:p>
    <w:p>
      <w:pPr>
        <w:pStyle w:val="13"/>
        <w:numPr>
          <w:ilvl w:val="0"/>
          <w:numId w:val="25"/>
        </w:numPr>
        <w:tabs>
          <w:tab w:val="left" w:pos="925"/>
        </w:tabs>
        <w:spacing w:before="71" w:after="0" w:line="304" w:lineRule="auto"/>
        <w:ind w:left="322" w:right="725" w:firstLine="400"/>
        <w:jc w:val="left"/>
        <w:rPr>
          <w:sz w:val="20"/>
        </w:rPr>
      </w:pPr>
      <w:r>
        <mc:AlternateContent>
          <mc:Choice Requires="wps">
            <w:drawing>
              <wp:anchor distT="0" distB="0" distL="114300" distR="114300" simplePos="0" relativeHeight="482387968" behindDoc="1" locked="0" layoutInCell="1" allowOverlap="1">
                <wp:simplePos x="0" y="0"/>
                <wp:positionH relativeFrom="page">
                  <wp:posOffset>687705</wp:posOffset>
                </wp:positionH>
                <wp:positionV relativeFrom="paragraph">
                  <wp:posOffset>389255</wp:posOffset>
                </wp:positionV>
                <wp:extent cx="377190" cy="5715"/>
                <wp:effectExtent l="0" t="0" r="0" b="0"/>
                <wp:wrapNone/>
                <wp:docPr id="230" name="任意多边形 52"/>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52" o:spid="_x0000_s1026" o:spt="100" style="position:absolute;left:0pt;margin-left:54.15pt;margin-top:30.65pt;height:0.45pt;width:29.7pt;mso-position-horizontal-relative:page;z-index:-20928512;mso-width-relative:page;mso-height-relative:page;" filled="f" stroked="t" coordsize="594,9" o:gfxdata="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ClENlL1AAAAAkBAAAPAAAAAAAA&#10;AAEAIAAAACIAAABkcnMvZG93bnJldi54bWxQSwECFAAUAAAACACHTuJAmQp2LsECAAD4CAAADgAA&#10;AAAAAAABACAAAAAjAQAAZHJzL2Uyb0RvYy54bWxQSwUGAAAAAAYABgBZAQAAVgY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b/>
          <w:w w:val="95"/>
          <w:sz w:val="20"/>
        </w:rPr>
        <w:t>原始凭证</w:t>
      </w:r>
      <w:r>
        <w:rPr>
          <w:spacing w:val="-2"/>
          <w:w w:val="95"/>
          <w:sz w:val="20"/>
        </w:rPr>
        <w:t>，是指在</w:t>
      </w:r>
      <w:r>
        <w:rPr>
          <w:color w:val="FF0000"/>
          <w:w w:val="95"/>
          <w:sz w:val="20"/>
          <w:u w:val="double" w:color="FF0000"/>
        </w:rPr>
        <w:t>经济业务发生或完成时取得或填制</w:t>
      </w:r>
      <w:r>
        <w:rPr>
          <w:spacing w:val="-3"/>
          <w:w w:val="95"/>
          <w:sz w:val="20"/>
        </w:rPr>
        <w:t>的，</w:t>
      </w:r>
      <w:r>
        <w:rPr>
          <w:b/>
          <w:color w:val="00AFEF"/>
          <w:w w:val="95"/>
          <w:sz w:val="20"/>
          <w:u w:val="single" w:color="00AFEF"/>
        </w:rPr>
        <w:t xml:space="preserve">用以记录或证明经济业务的发生或完成情况的原   </w:t>
      </w:r>
      <w:r>
        <w:rPr>
          <w:b/>
          <w:color w:val="00AFEF"/>
          <w:sz w:val="20"/>
        </w:rPr>
        <w:t>始凭据</w:t>
      </w:r>
      <w:r>
        <w:rPr>
          <w:sz w:val="20"/>
        </w:rPr>
        <w:t>。</w:t>
      </w:r>
    </w:p>
    <w:p>
      <w:pPr>
        <w:spacing w:before="0" w:line="256" w:lineRule="exact"/>
        <w:ind w:left="723" w:right="0" w:firstLine="0"/>
        <w:jc w:val="left"/>
        <w:rPr>
          <w:sz w:val="20"/>
        </w:rPr>
      </w:pPr>
      <w:r>
        <w:rPr>
          <w:sz w:val="20"/>
        </w:rPr>
        <w:t>常用的原始凭证有</w:t>
      </w:r>
      <w:r>
        <w:rPr>
          <w:b/>
          <w:color w:val="00AFEF"/>
          <w:sz w:val="20"/>
          <w:u w:val="single" w:color="00AFEF"/>
        </w:rPr>
        <w:t>现金收据、发货票、增值税专用（或普通）发票、差旅费报销单、产品入库单、领料单</w:t>
      </w:r>
      <w:r>
        <w:rPr>
          <w:sz w:val="20"/>
        </w:rPr>
        <w:t>等。</w:t>
      </w:r>
    </w:p>
    <w:p>
      <w:pPr>
        <w:pStyle w:val="6"/>
      </w:pPr>
      <w:r>
        <w:t>【提示】原始凭证必须能够表明经济业务已经发生或其完成情况，凡是不能证明经济业务发生或完成情况的</w:t>
      </w:r>
    </w:p>
    <w:p>
      <w:pPr>
        <w:spacing w:after="0"/>
        <w:sectPr>
          <w:pgSz w:w="11910" w:h="16160"/>
          <w:pgMar w:top="1680" w:right="360" w:bottom="860" w:left="760" w:header="0" w:footer="584" w:gutter="0"/>
        </w:sectPr>
      </w:pPr>
    </w:p>
    <w:p>
      <w:pPr>
        <w:pStyle w:val="6"/>
        <w:spacing w:before="11"/>
        <w:ind w:left="0"/>
        <w:rPr>
          <w:sz w:val="13"/>
        </w:rPr>
      </w:pPr>
    </w:p>
    <w:p>
      <w:pPr>
        <w:pStyle w:val="6"/>
        <w:spacing w:before="71"/>
        <w:ind w:left="322"/>
      </w:pPr>
      <w:r>
        <w:t>各种单证，如</w:t>
      </w:r>
      <w:r>
        <w:rPr>
          <w:color w:val="FF0000"/>
          <w:u w:val="double" w:color="FF0000"/>
        </w:rPr>
        <w:t>购货申请单、购销合同、计划、银行对账单、银行存款余额调节表</w:t>
      </w:r>
      <w:r>
        <w:t>等，不能作为原始凭证；</w:t>
      </w:r>
    </w:p>
    <w:p>
      <w:pPr>
        <w:pStyle w:val="13"/>
        <w:numPr>
          <w:ilvl w:val="0"/>
          <w:numId w:val="25"/>
        </w:numPr>
        <w:tabs>
          <w:tab w:val="left" w:pos="925"/>
        </w:tabs>
        <w:spacing w:before="70" w:after="0" w:line="304" w:lineRule="auto"/>
        <w:ind w:left="322" w:right="722" w:firstLine="400"/>
        <w:jc w:val="left"/>
        <w:rPr>
          <w:sz w:val="20"/>
        </w:rPr>
      </w:pPr>
      <w:r>
        <w:rPr>
          <w:b/>
          <w:w w:val="95"/>
          <w:sz w:val="20"/>
        </w:rPr>
        <w:t>记账凭证</w:t>
      </w:r>
      <w:r>
        <w:rPr>
          <w:spacing w:val="-8"/>
          <w:w w:val="95"/>
          <w:sz w:val="20"/>
        </w:rPr>
        <w:t xml:space="preserve">，又称记账凭单，是指会计人员根据审核无误的原始凭证，按照经济业务的内容加以归类，并据   </w:t>
      </w:r>
      <w:r>
        <w:rPr>
          <w:spacing w:val="-8"/>
          <w:sz w:val="20"/>
        </w:rPr>
        <w:t>以确定会计分录后填制的会计凭证，作为</w:t>
      </w:r>
      <w:r>
        <w:rPr>
          <w:b/>
          <w:color w:val="00AFEF"/>
          <w:spacing w:val="-8"/>
          <w:sz w:val="20"/>
          <w:u w:val="single" w:color="00AFEF"/>
        </w:rPr>
        <w:t>登记账簿的直接依据</w:t>
      </w:r>
      <w:r>
        <w:rPr>
          <w:spacing w:val="-8"/>
          <w:sz w:val="20"/>
        </w:rPr>
        <w:t>。</w:t>
      </w:r>
    </w:p>
    <w:p>
      <w:pPr>
        <w:pStyle w:val="6"/>
        <w:spacing w:before="2"/>
      </w:pPr>
      <w:r>
        <mc:AlternateContent>
          <mc:Choice Requires="wps">
            <w:drawing>
              <wp:anchor distT="0" distB="0" distL="114300" distR="114300" simplePos="0" relativeHeight="15755264" behindDoc="0" locked="0" layoutInCell="1" allowOverlap="1">
                <wp:simplePos x="0" y="0"/>
                <wp:positionH relativeFrom="page">
                  <wp:posOffset>1068705</wp:posOffset>
                </wp:positionH>
                <wp:positionV relativeFrom="paragraph">
                  <wp:posOffset>139700</wp:posOffset>
                </wp:positionV>
                <wp:extent cx="251460" cy="5715"/>
                <wp:effectExtent l="0" t="0" r="0" b="0"/>
                <wp:wrapNone/>
                <wp:docPr id="46" name="任意多边形 5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53" o:spid="_x0000_s1026" o:spt="100" style="position:absolute;left:0pt;margin-left:84.15pt;margin-top:11pt;height:0.45pt;width:19.8pt;mso-position-horizontal-relative:page;z-index:15755264;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Hqwj&#10;2AAAAAkBAAAPAAAAAAAAAAEAIAAAACIAAABkcnMvZG93bnJldi54bWxQSwECFAAUAAAACACHTuJA&#10;RG3u1ZMCAABVBwAADgAAAAAAAAABACAAAAAn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】（1）填制审核会计凭证是会计核算的专门方法之一，也是会计核算工作的</w:t>
      </w:r>
      <w:r>
        <w:rPr>
          <w:color w:val="FF0000"/>
          <w:u w:val="double" w:color="FF0000"/>
        </w:rPr>
        <w:t>起点</w:t>
      </w:r>
      <w:r>
        <w:t>。</w:t>
      </w:r>
    </w:p>
    <w:p>
      <w:pPr>
        <w:pStyle w:val="6"/>
        <w:ind w:left="1522"/>
      </w:pPr>
      <w:r>
        <w:t>（2）一切会计凭证必须经过有关人员的审核，只有</w:t>
      </w:r>
      <w:r>
        <w:rPr>
          <w:color w:val="FF0000"/>
          <w:u w:val="double" w:color="FF0000"/>
        </w:rPr>
        <w:t>经过审核的会计凭证才能作为登记账簿的依据</w:t>
      </w:r>
      <w:r>
        <w:t>。</w:t>
      </w:r>
    </w:p>
    <w:p>
      <w:pPr>
        <w:pStyle w:val="5"/>
        <w:spacing w:before="68" w:line="304" w:lineRule="auto"/>
        <w:ind w:right="8455"/>
      </w:pPr>
      <w:r>
        <w:t>（二）原始凭证 1.</w:t>
      </w:r>
      <w:r>
        <w:rPr>
          <w:spacing w:val="-2"/>
        </w:rPr>
        <w:t>原始凭证的种类</w:t>
      </w:r>
    </w:p>
    <w:p>
      <w:pPr>
        <w:pStyle w:val="13"/>
        <w:numPr>
          <w:ilvl w:val="0"/>
          <w:numId w:val="26"/>
        </w:numPr>
        <w:tabs>
          <w:tab w:val="left" w:pos="1224"/>
        </w:tabs>
        <w:spacing w:before="2" w:after="0" w:line="240" w:lineRule="auto"/>
        <w:ind w:left="1223" w:right="0" w:hanging="501"/>
        <w:jc w:val="left"/>
        <w:rPr>
          <w:sz w:val="20"/>
        </w:rPr>
      </w:pPr>
      <w:r>
        <w:rPr>
          <w:color w:val="FF0000"/>
          <w:sz w:val="20"/>
          <w:u w:val="double" w:color="FF0000"/>
        </w:rPr>
        <w:t>按照来源分类</w:t>
      </w:r>
    </w:p>
    <w:p>
      <w:pPr>
        <w:spacing w:before="70" w:line="304" w:lineRule="auto"/>
        <w:ind w:left="322" w:right="551" w:firstLine="393"/>
        <w:jc w:val="left"/>
        <w:rPr>
          <w:sz w:val="20"/>
        </w:rPr>
      </w:pPr>
      <w:r>
        <w:rPr>
          <w:color w:val="FF0000"/>
          <w:w w:val="95"/>
          <w:sz w:val="20"/>
          <w:u w:val="double" w:color="FF0000"/>
        </w:rPr>
        <w:t>①自制原始凭证</w:t>
      </w:r>
      <w:r>
        <w:rPr>
          <w:w w:val="95"/>
          <w:sz w:val="20"/>
        </w:rPr>
        <w:t>:是指由本单位有关部门和人员，在执行或完成某项经济业务时填制的原始凭证，</w:t>
      </w:r>
      <w:r>
        <w:rPr>
          <w:b/>
          <w:color w:val="00AFEF"/>
          <w:w w:val="95"/>
          <w:sz w:val="20"/>
          <w:u w:val="single" w:color="00AFEF"/>
        </w:rPr>
        <w:t xml:space="preserve">如领料单、   </w:t>
      </w:r>
      <w:r>
        <w:rPr>
          <w:b/>
          <w:color w:val="00AFEF"/>
          <w:sz w:val="20"/>
          <w:u w:val="single" w:color="00AFEF"/>
        </w:rPr>
        <w:t>产品入库单、借款单</w:t>
      </w:r>
      <w:r>
        <w:rPr>
          <w:sz w:val="20"/>
        </w:rPr>
        <w:t>等。单位内部使用的领料单</w:t>
      </w:r>
    </w:p>
    <w:p>
      <w:pPr>
        <w:pStyle w:val="6"/>
        <w:spacing w:before="2" w:line="302" w:lineRule="auto"/>
        <w:ind w:left="322" w:right="802" w:firstLine="393"/>
      </w:pPr>
      <w:r>
        <w:rPr>
          <w:color w:val="FF0000"/>
          <w:w w:val="95"/>
          <w:u w:val="double" w:color="FF0000"/>
        </w:rPr>
        <w:t>②外来原始凭证</w:t>
      </w:r>
      <w:r>
        <w:rPr>
          <w:w w:val="95"/>
        </w:rPr>
        <w:t xml:space="preserve">:外来原始凭证是指在经济业务发生或完成时，从其他单位或个人直接取得的原始凭证。如   </w:t>
      </w:r>
      <w:r>
        <w:t>购买原材料取得的增值税专用发票、职工出差报销的飞机票、火车票和餐饮费发票等。</w:t>
      </w:r>
    </w:p>
    <w:p>
      <w:pPr>
        <w:pStyle w:val="5"/>
        <w:spacing w:before="5" w:line="304" w:lineRule="auto"/>
        <w:ind w:left="322" w:right="722" w:firstLine="400"/>
      </w:pPr>
      <w:r>
        <mc:AlternateContent>
          <mc:Choice Requires="wpg">
            <w:drawing>
              <wp:anchor distT="0" distB="0" distL="114300" distR="114300" simplePos="0" relativeHeight="482390016" behindDoc="1" locked="0" layoutInCell="1" allowOverlap="1">
                <wp:simplePos x="0" y="0"/>
                <wp:positionH relativeFrom="page">
                  <wp:posOffset>2854325</wp:posOffset>
                </wp:positionH>
                <wp:positionV relativeFrom="paragraph">
                  <wp:posOffset>346710</wp:posOffset>
                </wp:positionV>
                <wp:extent cx="2402205" cy="9525"/>
                <wp:effectExtent l="0" t="0" r="0" b="0"/>
                <wp:wrapNone/>
                <wp:docPr id="241" name="组合 54"/>
                <wp:cNvGraphicFramePr/>
                <a:graphic xmlns:a="http://schemas.openxmlformats.org/drawingml/2006/main">
                  <a:graphicData uri="http://schemas.microsoft.com/office/word/2010/wordprocessingGroup">
                    <wpg:wgp>
                      <wpg:cNvGrpSpPr/>
                      <wpg:grpSpPr>
                        <a:xfrm>
                          <a:off x="0" y="0"/>
                          <a:ext cx="2402205" cy="9525"/>
                          <a:chOff x="4495" y="547"/>
                          <a:chExt cx="3783" cy="15"/>
                        </a:xfrm>
                      </wpg:grpSpPr>
                      <wps:wsp>
                        <wps:cNvPr id="237" name="直线 55"/>
                        <wps:cNvCnPr/>
                        <wps:spPr>
                          <a:xfrm>
                            <a:off x="4495" y="554"/>
                            <a:ext cx="391" cy="0"/>
                          </a:xfrm>
                          <a:prstGeom prst="line">
                            <a:avLst/>
                          </a:prstGeom>
                          <a:ln w="6096" cap="flat" cmpd="sng">
                            <a:solidFill>
                              <a:srgbClr val="FF0000"/>
                            </a:solidFill>
                            <a:prstDash val="solid"/>
                            <a:headEnd type="none" w="med" len="med"/>
                            <a:tailEnd type="none" w="med" len="med"/>
                          </a:ln>
                        </wps:spPr>
                        <wps:bodyPr upright="1"/>
                      </wps:wsp>
                      <wps:wsp>
                        <wps:cNvPr id="238" name="直线 56"/>
                        <wps:cNvCnPr/>
                        <wps:spPr>
                          <a:xfrm>
                            <a:off x="4883" y="554"/>
                            <a:ext cx="2004" cy="0"/>
                          </a:xfrm>
                          <a:prstGeom prst="line">
                            <a:avLst/>
                          </a:prstGeom>
                          <a:ln w="9335" cap="flat" cmpd="sng">
                            <a:solidFill>
                              <a:srgbClr val="00AFEF"/>
                            </a:solidFill>
                            <a:prstDash val="solid"/>
                            <a:headEnd type="none" w="med" len="med"/>
                            <a:tailEnd type="none" w="med" len="med"/>
                          </a:ln>
                        </wps:spPr>
                        <wps:bodyPr upright="1"/>
                      </wps:wsp>
                      <wps:wsp>
                        <wps:cNvPr id="239" name="直线 57"/>
                        <wps:cNvCnPr/>
                        <wps:spPr>
                          <a:xfrm>
                            <a:off x="6892" y="554"/>
                            <a:ext cx="392" cy="0"/>
                          </a:xfrm>
                          <a:prstGeom prst="line">
                            <a:avLst/>
                          </a:prstGeom>
                          <a:ln w="6096" cap="flat" cmpd="sng">
                            <a:solidFill>
                              <a:srgbClr val="FF0000"/>
                            </a:solidFill>
                            <a:prstDash val="solid"/>
                            <a:headEnd type="none" w="med" len="med"/>
                            <a:tailEnd type="none" w="med" len="med"/>
                          </a:ln>
                        </wps:spPr>
                        <wps:bodyPr upright="1"/>
                      </wps:wsp>
                      <wps:wsp>
                        <wps:cNvPr id="240" name="直线 58"/>
                        <wps:cNvCnPr/>
                        <wps:spPr>
                          <a:xfrm>
                            <a:off x="7282" y="554"/>
                            <a:ext cx="996" cy="0"/>
                          </a:xfrm>
                          <a:prstGeom prst="line">
                            <a:avLst/>
                          </a:prstGeom>
                          <a:ln w="9335" cap="flat" cmpd="sng">
                            <a:solidFill>
                              <a:srgbClr val="00AFEF"/>
                            </a:solidFill>
                            <a:prstDash val="solid"/>
                            <a:headEnd type="none" w="med" len="med"/>
                            <a:tailEnd type="none" w="med" len="med"/>
                          </a:ln>
                        </wps:spPr>
                        <wps:bodyPr upright="1"/>
                      </wps:wsp>
                    </wpg:wgp>
                  </a:graphicData>
                </a:graphic>
              </wp:anchor>
            </w:drawing>
          </mc:Choice>
          <mc:Fallback>
            <w:pict>
              <v:group id="组合 54" o:spid="_x0000_s1026" o:spt="203" style="position:absolute;left:0pt;margin-left:224.75pt;margin-top:27.3pt;height:0.75pt;width:189.15pt;mso-position-horizontal-relative:page;z-index:-20926464;mso-width-relative:page;mso-height-relative:page;" coordorigin="4495,547" coordsize="3783,15" o:gfxdata="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ChYiTf2gAAAAkBAAAPAAAAAAAA&#10;AAEAIAAAACIAAABkcnMvZG93bnJldi54bWxQSwECFAAUAAAACACHTuJAAI8qe7sCAADDCgAADgAA&#10;AAAAAAABACAAAAApAQAAZHJzL2Uyb0RvYy54bWxQSwUGAAAAAAYABgBZAQAAVgYAAAAA&#10;">
                <o:lock v:ext="edit" aspectratio="f"/>
                <v:line id="直线 55" o:spid="_x0000_s1026" o:spt="20" style="position:absolute;left:4495;top:554;height:0;width:391;" filled="f" stroked="t" coordsize="21600,21600" o:gfxdata="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9VChO/&#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56" o:spid="_x0000_s1026" o:spt="20" style="position:absolute;left:4883;top:554;height:0;width:2004;" filled="f" stroked="t" coordsize="21600,21600" o:gfxdata="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JULK8AAAA&#10;3AAAAA8AAAAAAAAAAQAgAAAAIgAAAGRycy9kb3ducmV2LnhtbFBLAQIUABQAAAAIAIdO4kAzLwWe&#10;OwAAADkAAAAQAAAAAAAAAAEAIAAAAAsBAABkcnMvc2hhcGV4bWwueG1sUEsFBgAAAAAGAAYAWwEA&#10;ALUDAAAAAA==&#10;">
                  <v:fill on="f" focussize="0,0"/>
                  <v:stroke weight="0.73503937007874pt" color="#00AFEF" joinstyle="round"/>
                  <v:imagedata o:title=""/>
                  <o:lock v:ext="edit" aspectratio="f"/>
                </v:line>
                <v:line id="直线 57" o:spid="_x0000_s1026" o:spt="20" style="position:absolute;left:6892;top:554;height:0;width:392;" filled="f" stroked="t" coordsize="21600,21600" o:gfxdata="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GO/q/&#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58" o:spid="_x0000_s1026" o:spt="20" style="position:absolute;left:7282;top:554;height:0;width:996;" filled="f" stroked="t" coordsize="21600,21600" o:gfxdata="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5L8m8AAAA&#10;3AAAAA8AAAAAAAAAAQAgAAAAIgAAAGRycy9kb3ducmV2LnhtbFBLAQIUABQAAAAIAIdO4kAzLwWe&#10;OwAAADkAAAAQAAAAAAAAAAEAIAAAAAsBAABkcnMvc2hhcGV4bWwueG1sUEsFBgAAAAAGAAYAWwEA&#10;ALUDAAAAAA==&#10;">
                  <v:fill on="f" focussize="0,0"/>
                  <v:stroke weight="0.73503937007874pt" color="#00AFEF" joinstyle="round"/>
                  <v:imagedata o:title=""/>
                  <o:lock v:ext="edit" aspectratio="f"/>
                </v:line>
              </v:group>
            </w:pict>
          </mc:Fallback>
        </mc:AlternateContent>
      </w:r>
      <w:r>
        <w:rPr>
          <w:b w:val="0"/>
          <w:spacing w:val="-3"/>
          <w:w w:val="95"/>
        </w:rPr>
        <w:t>【提示】</w:t>
      </w:r>
      <w:r>
        <w:rPr>
          <w:color w:val="00AFEF"/>
          <w:spacing w:val="-4"/>
          <w:w w:val="95"/>
          <w:u w:val="single" w:color="00AFEF"/>
        </w:rPr>
        <w:t>发票有记账联、发票联、抵扣联</w:t>
      </w:r>
      <w:r>
        <w:rPr>
          <w:color w:val="00AFEF"/>
          <w:w w:val="95"/>
          <w:u w:val="single" w:color="00AFEF"/>
        </w:rPr>
        <w:t>（增</w:t>
      </w:r>
      <w:r>
        <w:rPr>
          <w:color w:val="00AFEF"/>
          <w:spacing w:val="-99"/>
          <w:w w:val="95"/>
          <w:u w:val="single" w:color="00AFEF"/>
        </w:rPr>
        <w:t>）</w:t>
      </w:r>
      <w:r>
        <w:rPr>
          <w:color w:val="00AFEF"/>
          <w:spacing w:val="-5"/>
          <w:w w:val="95"/>
          <w:u w:val="single" w:color="00AFEF"/>
        </w:rPr>
        <w:t>、存根联</w:t>
      </w:r>
      <w:r>
        <w:rPr>
          <w:color w:val="00AFEF"/>
          <w:w w:val="95"/>
          <w:u w:val="single" w:color="00AFEF"/>
        </w:rPr>
        <w:t>（手开</w:t>
      </w:r>
      <w:r>
        <w:rPr>
          <w:color w:val="00AFEF"/>
          <w:spacing w:val="-5"/>
          <w:w w:val="95"/>
          <w:u w:val="single" w:color="00AFEF"/>
        </w:rPr>
        <w:t>）</w:t>
      </w:r>
      <w:r>
        <w:rPr>
          <w:color w:val="00AFEF"/>
          <w:spacing w:val="-3"/>
          <w:w w:val="95"/>
          <w:u w:val="single" w:color="00AFEF"/>
        </w:rPr>
        <w:t xml:space="preserve">;购货发票属于外来原始凭证，销货发票属   </w:t>
      </w:r>
      <w:r>
        <w:rPr>
          <w:color w:val="00AFEF"/>
          <w:spacing w:val="-3"/>
          <w:u w:val="single" w:color="00AFEF"/>
        </w:rPr>
        <w:t>于自制原始凭证；发票联、抵扣联属于</w:t>
      </w:r>
      <w:r>
        <w:rPr>
          <w:b w:val="0"/>
          <w:color w:val="FF0000"/>
          <w:spacing w:val="-3"/>
          <w:u w:val="single" w:color="00AFEF"/>
        </w:rPr>
        <w:t>外来</w:t>
      </w:r>
      <w:r>
        <w:rPr>
          <w:color w:val="00AFEF"/>
          <w:spacing w:val="-3"/>
        </w:rPr>
        <w:t>原始凭证，记账联属于</w:t>
      </w:r>
      <w:r>
        <w:rPr>
          <w:b w:val="0"/>
          <w:color w:val="FF0000"/>
          <w:spacing w:val="-3"/>
          <w:u w:val="single" w:color="FF0000"/>
        </w:rPr>
        <w:t>自制</w:t>
      </w:r>
      <w:r>
        <w:rPr>
          <w:color w:val="00AFEF"/>
          <w:spacing w:val="-3"/>
        </w:rPr>
        <w:t>原始凭证。</w:t>
      </w:r>
    </w:p>
    <w:p>
      <w:pPr>
        <w:pStyle w:val="13"/>
        <w:numPr>
          <w:ilvl w:val="0"/>
          <w:numId w:val="26"/>
        </w:numPr>
        <w:tabs>
          <w:tab w:val="left" w:pos="1224"/>
        </w:tabs>
        <w:spacing w:before="1" w:after="0" w:line="240" w:lineRule="auto"/>
        <w:ind w:left="1223" w:right="0" w:hanging="501"/>
        <w:jc w:val="left"/>
        <w:rPr>
          <w:sz w:val="20"/>
        </w:rPr>
      </w:pPr>
      <w:r>
        <w:rPr>
          <w:color w:val="FF0000"/>
          <w:sz w:val="20"/>
          <w:u w:val="double" w:color="FF0000"/>
        </w:rPr>
        <w:t>按照格式分类</w:t>
      </w:r>
    </w:p>
    <w:p>
      <w:pPr>
        <w:pStyle w:val="6"/>
        <w:spacing w:before="71" w:line="304" w:lineRule="auto"/>
        <w:ind w:left="322" w:right="621" w:firstLine="400"/>
        <w:jc w:val="both"/>
      </w:pPr>
      <w:r>
        <w:rPr>
          <w:w w:val="95"/>
        </w:rPr>
        <w:t>①通用凭证:</w:t>
      </w:r>
      <w:r>
        <w:rPr>
          <w:color w:val="FF0000"/>
          <w:w w:val="95"/>
          <w:u w:val="double" w:color="FF0000"/>
        </w:rPr>
        <w:t>通用凭证</w:t>
      </w:r>
      <w:r>
        <w:rPr>
          <w:w w:val="95"/>
        </w:rPr>
        <w:t>是指由有关部门统一印制、在</w:t>
      </w:r>
      <w:r>
        <w:rPr>
          <w:color w:val="FF0000"/>
          <w:w w:val="95"/>
          <w:u w:val="double" w:color="FF0000"/>
        </w:rPr>
        <w:t>一定范围内使用</w:t>
      </w:r>
      <w:r>
        <w:rPr>
          <w:w w:val="95"/>
        </w:rPr>
        <w:t>的具有</w:t>
      </w:r>
      <w:r>
        <w:rPr>
          <w:color w:val="FF0000"/>
          <w:w w:val="95"/>
          <w:u w:val="double" w:color="FF0000"/>
        </w:rPr>
        <w:t>统一格式和使用方法</w:t>
      </w:r>
      <w:r>
        <w:rPr>
          <w:w w:val="95"/>
        </w:rPr>
        <w:t xml:space="preserve">的原始凭证。   </w:t>
      </w:r>
      <w:r>
        <w:rPr>
          <w:spacing w:val="-9"/>
          <w:w w:val="95"/>
        </w:rPr>
        <w:t>如某省</w:t>
      </w:r>
      <w:r>
        <w:rPr>
          <w:w w:val="95"/>
        </w:rPr>
        <w:t>（市</w:t>
      </w:r>
      <w:r>
        <w:rPr>
          <w:spacing w:val="-27"/>
          <w:w w:val="95"/>
        </w:rPr>
        <w:t>）</w:t>
      </w:r>
      <w:r>
        <w:rPr>
          <w:spacing w:val="-5"/>
          <w:w w:val="95"/>
        </w:rPr>
        <w:t>印制的在该省</w:t>
      </w:r>
      <w:r>
        <w:rPr>
          <w:w w:val="95"/>
        </w:rPr>
        <w:t>（市</w:t>
      </w:r>
      <w:r>
        <w:rPr>
          <w:spacing w:val="-27"/>
          <w:w w:val="95"/>
        </w:rPr>
        <w:t>）</w:t>
      </w:r>
      <w:r>
        <w:rPr>
          <w:spacing w:val="-7"/>
          <w:w w:val="95"/>
        </w:rPr>
        <w:t xml:space="preserve">通用的发票、收据等；由中国人民银行制作的在全国通用的银行转账结算凭证、    </w:t>
      </w:r>
      <w:r>
        <w:rPr>
          <w:spacing w:val="-7"/>
        </w:rPr>
        <w:t>由国家税务总局统一印制的全国通用的增值税专用发票等。</w:t>
      </w:r>
    </w:p>
    <w:p>
      <w:pPr>
        <w:pStyle w:val="6"/>
        <w:spacing w:before="0"/>
      </w:pPr>
      <w:r>
        <w:t>②专用凭证:</w:t>
      </w:r>
      <w:r>
        <w:rPr>
          <w:color w:val="FF0000"/>
          <w:u w:val="double" w:color="FF0000"/>
        </w:rPr>
        <w:t>专用凭证</w:t>
      </w:r>
      <w:r>
        <w:t>是指由</w:t>
      </w:r>
      <w:r>
        <w:rPr>
          <w:color w:val="FF0000"/>
          <w:u w:val="double" w:color="FF0000"/>
        </w:rPr>
        <w:t>单位自行印制</w:t>
      </w:r>
      <w:r>
        <w:t>的原始凭证，如领料单、差旅费报销单、工资费用分配表等。</w:t>
      </w:r>
    </w:p>
    <w:p>
      <w:pPr>
        <w:pStyle w:val="13"/>
        <w:numPr>
          <w:ilvl w:val="0"/>
          <w:numId w:val="26"/>
        </w:numPr>
        <w:tabs>
          <w:tab w:val="left" w:pos="1224"/>
        </w:tabs>
        <w:spacing w:before="70" w:after="0" w:line="240" w:lineRule="auto"/>
        <w:ind w:left="1223" w:right="0" w:hanging="501"/>
        <w:jc w:val="left"/>
        <w:rPr>
          <w:sz w:val="20"/>
        </w:rPr>
      </w:pPr>
      <w:r>
        <w:rPr>
          <w:color w:val="FF0000"/>
          <w:sz w:val="20"/>
          <w:u w:val="double" w:color="FF0000"/>
        </w:rPr>
        <w:t>按填制的手续和内容分类</w:t>
      </w:r>
    </w:p>
    <w:p>
      <w:pPr>
        <w:pStyle w:val="6"/>
        <w:spacing w:line="304" w:lineRule="auto"/>
        <w:ind w:left="322" w:right="621" w:firstLine="400"/>
      </w:pPr>
      <w:r>
        <w:rPr>
          <w:w w:val="95"/>
        </w:rPr>
        <w:t>①</w:t>
      </w:r>
      <w:r>
        <w:rPr>
          <w:color w:val="FF0000"/>
          <w:w w:val="95"/>
          <w:u w:val="double" w:color="FF0000"/>
        </w:rPr>
        <w:t>一次凭证</w:t>
      </w:r>
      <w:r>
        <w:rPr>
          <w:spacing w:val="-4"/>
          <w:w w:val="95"/>
        </w:rPr>
        <w:t>:一次凭证是指一次填制完成，只</w:t>
      </w:r>
      <w:r>
        <w:rPr>
          <w:color w:val="FF0000"/>
          <w:w w:val="95"/>
          <w:u w:val="double" w:color="FF0000"/>
        </w:rPr>
        <w:t>记录一笔经济业务且仅一次有效的</w:t>
      </w:r>
      <w:r>
        <w:rPr>
          <w:spacing w:val="-11"/>
          <w:w w:val="95"/>
        </w:rPr>
        <w:t xml:space="preserve">原始凭证。如收料单、领料单、   </w:t>
      </w:r>
      <w:r>
        <w:rPr>
          <w:spacing w:val="-11"/>
        </w:rPr>
        <w:t>发货单、银行结算凭证等。</w:t>
      </w:r>
    </w:p>
    <w:p>
      <w:pPr>
        <w:pStyle w:val="6"/>
        <w:spacing w:before="2"/>
        <w:ind w:left="718"/>
      </w:pPr>
      <w:r>
        <w:rPr>
          <w:spacing w:val="4"/>
          <w:w w:val="95"/>
        </w:rPr>
        <w:t>②</w:t>
      </w:r>
      <w:r>
        <w:rPr>
          <w:color w:val="FF0000"/>
          <w:w w:val="95"/>
          <w:u w:val="double" w:color="FF0000"/>
        </w:rPr>
        <w:t>累计凭证</w:t>
      </w:r>
      <w:r>
        <w:rPr>
          <w:spacing w:val="-1"/>
          <w:w w:val="95"/>
        </w:rPr>
        <w:t>:累计凭证是指在一定时期内多次记录发生的同类型经济业务且多次有效的原始凭证。如</w:t>
      </w:r>
      <w:r>
        <w:rPr>
          <w:color w:val="FF0000"/>
          <w:w w:val="95"/>
          <w:u w:val="double" w:color="FF0000"/>
        </w:rPr>
        <w:t>限额领料</w:t>
      </w:r>
    </w:p>
    <w:p>
      <w:pPr>
        <w:pStyle w:val="6"/>
        <w:spacing w:before="68"/>
        <w:ind w:left="322"/>
      </w:pPr>
      <w:r>
        <w:rPr>
          <w:color w:val="FF0000"/>
          <w:w w:val="97"/>
          <w:u w:val="double" w:color="FF0000"/>
        </w:rPr>
        <w:t>单</w:t>
      </w:r>
    </w:p>
    <w:p>
      <w:pPr>
        <w:pStyle w:val="6"/>
      </w:pPr>
      <w:r>
        <w:rPr>
          <w:spacing w:val="-1"/>
          <w:w w:val="95"/>
        </w:rPr>
        <w:t>③</w:t>
      </w:r>
      <w:r>
        <w:rPr>
          <w:color w:val="FF0000"/>
          <w:spacing w:val="-1"/>
          <w:w w:val="95"/>
          <w:u w:val="double" w:color="FF0000"/>
        </w:rPr>
        <w:t>汇总凭证</w:t>
      </w:r>
      <w:r>
        <w:rPr>
          <w:w w:val="95"/>
        </w:rPr>
        <w:t>:汇总凭证是指</w:t>
      </w:r>
      <w:r>
        <w:rPr>
          <w:color w:val="FF0000"/>
          <w:w w:val="95"/>
          <w:u w:val="double" w:color="FF0000"/>
        </w:rPr>
        <w:t>对一定时期内反映经济业务内容相同的若干张原始凭证，按照一定标准综合填制的</w:t>
      </w:r>
    </w:p>
    <w:p>
      <w:pPr>
        <w:spacing w:before="70" w:line="304" w:lineRule="auto"/>
        <w:ind w:left="723" w:right="3033" w:hanging="401"/>
        <w:jc w:val="left"/>
        <w:rPr>
          <w:b/>
          <w:sz w:val="20"/>
        </w:rPr>
      </w:pPr>
      <w:r>
        <mc:AlternateContent>
          <mc:Choice Requires="wpg">
            <w:drawing>
              <wp:anchor distT="0" distB="0" distL="114300" distR="114300" simplePos="0" relativeHeight="482390016" behindDoc="1" locked="0" layoutInCell="1" allowOverlap="1">
                <wp:simplePos x="0" y="0"/>
                <wp:positionH relativeFrom="page">
                  <wp:posOffset>686435</wp:posOffset>
                </wp:positionH>
                <wp:positionV relativeFrom="paragraph">
                  <wp:posOffset>182245</wp:posOffset>
                </wp:positionV>
                <wp:extent cx="4590415" cy="19050"/>
                <wp:effectExtent l="0" t="1270" r="635" b="8255"/>
                <wp:wrapNone/>
                <wp:docPr id="236" name="组合 59"/>
                <wp:cNvGraphicFramePr/>
                <a:graphic xmlns:a="http://schemas.openxmlformats.org/drawingml/2006/main">
                  <a:graphicData uri="http://schemas.microsoft.com/office/word/2010/wordprocessingGroup">
                    <wpg:wgp>
                      <wpg:cNvGrpSpPr/>
                      <wpg:grpSpPr>
                        <a:xfrm>
                          <a:off x="0" y="0"/>
                          <a:ext cx="4590415" cy="19050"/>
                          <a:chOff x="1082" y="287"/>
                          <a:chExt cx="7229" cy="30"/>
                        </a:xfrm>
                      </wpg:grpSpPr>
                      <wps:wsp>
                        <wps:cNvPr id="234" name="直线 60"/>
                        <wps:cNvCnPr/>
                        <wps:spPr>
                          <a:xfrm>
                            <a:off x="1082" y="292"/>
                            <a:ext cx="7229" cy="0"/>
                          </a:xfrm>
                          <a:prstGeom prst="line">
                            <a:avLst/>
                          </a:prstGeom>
                          <a:ln w="6096" cap="flat" cmpd="sng">
                            <a:solidFill>
                              <a:srgbClr val="FF0000"/>
                            </a:solidFill>
                            <a:prstDash val="solid"/>
                            <a:headEnd type="none" w="med" len="med"/>
                            <a:tailEnd type="none" w="med" len="med"/>
                          </a:ln>
                        </wps:spPr>
                        <wps:bodyPr upright="1"/>
                      </wps:wsp>
                      <wps:wsp>
                        <wps:cNvPr id="235" name="直线 61"/>
                        <wps:cNvCnPr/>
                        <wps:spPr>
                          <a:xfrm>
                            <a:off x="1082" y="312"/>
                            <a:ext cx="7229"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59" o:spid="_x0000_s1026" o:spt="203" style="position:absolute;left:0pt;margin-left:54.05pt;margin-top:14.35pt;height:1.5pt;width:361.45pt;mso-position-horizontal-relative:page;z-index:-20926464;mso-width-relative:page;mso-height-relative:page;" coordorigin="1082,287" coordsize="7229,30" o:gfxdata="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pjo+NgAAAAJAQAADwAAAAAAAAABACAAAAAiAAAAZHJzL2Rvd25yZXYueG1sUEsB&#10;AhQAFAAAAAgAh07iQGkWXA1nAgAAwwYAAA4AAAAAAAAAAQAgAAAAJwEAAGRycy9lMm9Eb2MueG1s&#10;UEsFBgAAAAAGAAYAWQEAAAAGAAAAAA==&#10;">
                <o:lock v:ext="edit" aspectratio="f"/>
                <v:line id="直线 60" o:spid="_x0000_s1026" o:spt="20" style="position:absolute;left:1082;top:292;height:0;width:7229;" filled="f" stroked="t" coordsize="21600,21600" o:gfxdata="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lGS/&#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61" o:spid="_x0000_s1026" o:spt="20" style="position:absolute;left:1082;top:312;height:0;width:7229;" filled="f" stroked="t" coordsize="21600,21600" o:gfxdata="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LMf+/&#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group>
            </w:pict>
          </mc:Fallback>
        </mc:AlternateContent>
      </w:r>
      <w:r>
        <w:rPr>
          <w:color w:val="FF0000"/>
          <w:w w:val="95"/>
          <w:sz w:val="20"/>
        </w:rPr>
        <w:t>原始凭证。如收料凭证汇总表、领料凭证汇总表、工资计算汇总表、差旅费报销单等</w:t>
      </w:r>
      <w:r>
        <w:rPr>
          <w:w w:val="95"/>
          <w:sz w:val="20"/>
        </w:rPr>
        <w:t xml:space="preserve">。 </w:t>
      </w:r>
      <w:r>
        <w:rPr>
          <w:b/>
          <w:sz w:val="20"/>
        </w:rPr>
        <w:t>2.原始凭证的基本内容</w:t>
      </w:r>
    </w:p>
    <w:p>
      <w:pPr>
        <w:pStyle w:val="6"/>
        <w:spacing w:before="2" w:line="304" w:lineRule="auto"/>
        <w:ind w:left="322" w:right="722" w:firstLine="400"/>
      </w:pPr>
      <w:r>
        <w:rPr>
          <w:spacing w:val="-2"/>
          <w:w w:val="95"/>
        </w:rPr>
        <w:t>原始凭证的格式和内容因经济业务和经营管理的要求不同而有所差异，但应当具备以下基本内容</w:t>
      </w:r>
      <w:r>
        <w:rPr>
          <w:w w:val="95"/>
        </w:rPr>
        <w:t>（也称为原</w:t>
      </w:r>
      <w:r>
        <w:rPr>
          <w:spacing w:val="1"/>
          <w:w w:val="99"/>
        </w:rPr>
        <w:t>始凭</w:t>
      </w:r>
      <w:r>
        <w:rPr>
          <w:w w:val="99"/>
        </w:rPr>
        <w:t>证要素</w:t>
      </w:r>
      <w:r>
        <w:rPr>
          <w:spacing w:val="-99"/>
          <w:w w:val="99"/>
        </w:rPr>
        <w:t>）</w:t>
      </w:r>
      <w:r>
        <w:rPr>
          <w:w w:val="99"/>
        </w:rPr>
        <w:t>：</w:t>
      </w:r>
    </w:p>
    <w:p>
      <w:pPr>
        <w:pStyle w:val="6"/>
        <w:spacing w:before="0" w:line="256" w:lineRule="exact"/>
      </w:pPr>
      <w:r>
        <w:rPr>
          <w:w w:val="99"/>
        </w:rPr>
        <w:t>（</w:t>
      </w:r>
      <w:r>
        <w:rPr>
          <w:spacing w:val="1"/>
          <w:w w:val="99"/>
        </w:rPr>
        <w:t>1</w:t>
      </w:r>
      <w:r>
        <w:rPr>
          <w:w w:val="99"/>
        </w:rPr>
        <w:t>）</w:t>
      </w:r>
      <w:r>
        <w:rPr>
          <w:spacing w:val="-17"/>
          <w:w w:val="99"/>
        </w:rPr>
        <w:t>凭证的名称；</w:t>
      </w:r>
      <w:r>
        <w:rPr>
          <w:w w:val="99"/>
        </w:rPr>
        <w:t>（</w:t>
      </w:r>
      <w:r>
        <w:rPr>
          <w:spacing w:val="1"/>
          <w:w w:val="99"/>
        </w:rPr>
        <w:t>2</w:t>
      </w:r>
      <w:r>
        <w:rPr>
          <w:w w:val="99"/>
        </w:rPr>
        <w:t>）</w:t>
      </w:r>
      <w:r>
        <w:rPr>
          <w:spacing w:val="-13"/>
          <w:w w:val="99"/>
        </w:rPr>
        <w:t>填制凭证的日期；</w:t>
      </w:r>
      <w:r>
        <w:rPr>
          <w:w w:val="99"/>
        </w:rPr>
        <w:t>（</w:t>
      </w:r>
      <w:r>
        <w:rPr>
          <w:spacing w:val="1"/>
          <w:w w:val="99"/>
        </w:rPr>
        <w:t>3</w:t>
      </w:r>
      <w:r>
        <w:rPr>
          <w:w w:val="99"/>
        </w:rPr>
        <w:t>）</w:t>
      </w:r>
      <w:r>
        <w:rPr>
          <w:spacing w:val="-7"/>
          <w:w w:val="99"/>
        </w:rPr>
        <w:t>填制凭证单位名称或者填制人姓名；</w:t>
      </w:r>
      <w:r>
        <w:rPr>
          <w:w w:val="99"/>
        </w:rPr>
        <w:t>（</w:t>
      </w:r>
      <w:r>
        <w:rPr>
          <w:spacing w:val="1"/>
          <w:w w:val="99"/>
        </w:rPr>
        <w:t>4</w:t>
      </w:r>
      <w:r>
        <w:rPr>
          <w:w w:val="99"/>
        </w:rPr>
        <w:t>）经办人员的签名或</w:t>
      </w:r>
    </w:p>
    <w:p>
      <w:pPr>
        <w:spacing w:after="0" w:line="256" w:lineRule="exact"/>
        <w:sectPr>
          <w:pgSz w:w="11910" w:h="16160"/>
          <w:pgMar w:top="1680" w:right="360" w:bottom="860" w:left="760" w:header="0" w:footer="584" w:gutter="0"/>
        </w:sectPr>
      </w:pPr>
    </w:p>
    <w:p>
      <w:pPr>
        <w:spacing w:before="70" w:line="304" w:lineRule="auto"/>
        <w:ind w:left="723" w:right="0" w:hanging="401"/>
        <w:jc w:val="left"/>
        <w:rPr>
          <w:b/>
          <w:sz w:val="20"/>
        </w:rPr>
      </w:pPr>
      <w:r>
        <mc:AlternateContent>
          <mc:Choice Requires="wpg">
            <w:drawing>
              <wp:anchor distT="0" distB="0" distL="114300" distR="114300" simplePos="0" relativeHeight="482388992" behindDoc="1" locked="0" layoutInCell="1" allowOverlap="1">
                <wp:simplePos x="0" y="0"/>
                <wp:positionH relativeFrom="page">
                  <wp:posOffset>4969510</wp:posOffset>
                </wp:positionH>
                <wp:positionV relativeFrom="paragraph">
                  <wp:posOffset>59055</wp:posOffset>
                </wp:positionV>
                <wp:extent cx="2100580" cy="497205"/>
                <wp:effectExtent l="0" t="635" r="13970" b="16510"/>
                <wp:wrapNone/>
                <wp:docPr id="233" name="组合 62"/>
                <wp:cNvGraphicFramePr/>
                <a:graphic xmlns:a="http://schemas.openxmlformats.org/drawingml/2006/main">
                  <a:graphicData uri="http://schemas.microsoft.com/office/word/2010/wordprocessingGroup">
                    <wpg:wgp>
                      <wpg:cNvGrpSpPr/>
                      <wpg:grpSpPr>
                        <a:xfrm>
                          <a:off x="0" y="0"/>
                          <a:ext cx="2100580" cy="497205"/>
                          <a:chOff x="7826" y="94"/>
                          <a:chExt cx="3308" cy="783"/>
                        </a:xfrm>
                      </wpg:grpSpPr>
                      <wps:wsp>
                        <wps:cNvPr id="231" name="任意多边形 63"/>
                        <wps:cNvSpPr/>
                        <wps:spPr>
                          <a:xfrm>
                            <a:off x="7826" y="93"/>
                            <a:ext cx="3308" cy="783"/>
                          </a:xfrm>
                          <a:custGeom>
                            <a:avLst/>
                            <a:gdLst/>
                            <a:ahLst/>
                            <a:cxnLst/>
                            <a:pathLst>
                              <a:path w="3308" h="783">
                                <a:moveTo>
                                  <a:pt x="3308" y="782"/>
                                </a:moveTo>
                                <a:lnTo>
                                  <a:pt x="288" y="782"/>
                                </a:lnTo>
                                <a:lnTo>
                                  <a:pt x="288" y="326"/>
                                </a:lnTo>
                                <a:lnTo>
                                  <a:pt x="0" y="201"/>
                                </a:lnTo>
                                <a:lnTo>
                                  <a:pt x="288" y="129"/>
                                </a:lnTo>
                                <a:lnTo>
                                  <a:pt x="288" y="0"/>
                                </a:lnTo>
                                <a:lnTo>
                                  <a:pt x="3308" y="0"/>
                                </a:lnTo>
                                <a:lnTo>
                                  <a:pt x="3308" y="782"/>
                                </a:lnTo>
                                <a:close/>
                              </a:path>
                            </a:pathLst>
                          </a:custGeom>
                          <a:solidFill>
                            <a:srgbClr val="D9D9D9"/>
                          </a:solidFill>
                          <a:ln>
                            <a:noFill/>
                          </a:ln>
                        </wps:spPr>
                        <wps:bodyPr upright="1"/>
                      </wps:wsp>
                      <wps:wsp>
                        <wps:cNvPr id="232" name="直线 64"/>
                        <wps:cNvCnPr/>
                        <wps:spPr>
                          <a:xfrm>
                            <a:off x="8262" y="420"/>
                            <a:ext cx="2706" cy="0"/>
                          </a:xfrm>
                          <a:prstGeom prst="line">
                            <a:avLst/>
                          </a:prstGeom>
                          <a:ln w="9335" cap="flat" cmpd="sng">
                            <a:solidFill>
                              <a:srgbClr val="00AFEF"/>
                            </a:solidFill>
                            <a:prstDash val="solid"/>
                            <a:headEnd type="none" w="med" len="med"/>
                            <a:tailEnd type="none" w="med" len="med"/>
                          </a:ln>
                        </wps:spPr>
                        <wps:bodyPr upright="1"/>
                      </wps:wsp>
                    </wpg:wgp>
                  </a:graphicData>
                </a:graphic>
              </wp:anchor>
            </w:drawing>
          </mc:Choice>
          <mc:Fallback>
            <w:pict>
              <v:group id="组合 62" o:spid="_x0000_s1026" o:spt="203" style="position:absolute;left:0pt;margin-left:391.3pt;margin-top:4.65pt;height:39.15pt;width:165.4pt;mso-position-horizontal-relative:page;z-index:-20927488;mso-width-relative:page;mso-height-relative:page;" coordorigin="7826,94" coordsize="3308,783" o:gfxdata="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&#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FdsLO/ZAAAACQEAAA8AAAAAAAAAAQAgAAAAIgAAAGRy&#10;cy9kb3ducmV2LnhtbFBLAQIUABQAAAAIAIdO4kDryRBEIQMAAOQHAAAOAAAAAAAAAAEAIAAAACgB&#10;AABkcnMvZTJvRG9jLnhtbFBLBQYAAAAABgAGAFkBAAC7BgAAAAA=&#10;">
                <o:lock v:ext="edit" aspectratio="f"/>
                <v:shape id="任意多边形 63" o:spid="_x0000_s1026" o:spt="100" style="position:absolute;left:7826;top:93;height:783;width:3308;" fillcolor="#D9D9D9" filled="t" stroked="f" coordsize="3308,783" o:gfxdata="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GaRS/&#10;AAAA3AAAAA8AAAAAAAAAAQAgAAAAIgAAAGRycy9kb3ducmV2LnhtbFBLAQIUABQAAAAIAIdO4kAz&#10;LwWeOwAAADkAAAAQAAAAAAAAAAEAIAAAAA4BAABkcnMvc2hhcGV4bWwueG1sUEsFBgAAAAAGAAYA&#10;WwEAALgDAAAAAA==&#10;" path="m3308,782l288,782,288,326,0,201,288,129,288,0,3308,0,3308,782xe">
                  <v:fill on="t" focussize="0,0"/>
                  <v:stroke on="f"/>
                  <v:imagedata o:title=""/>
                  <o:lock v:ext="edit" aspectratio="f"/>
                </v:shape>
                <v:line id="直线 64" o:spid="_x0000_s1026" o:spt="20" style="position:absolute;left:8262;top:420;height:0;width:2706;" filled="f" stroked="t" coordsize="21600,21600" o:gfxdata="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hZ1i/&#10;AAAA3AAAAA8AAAAAAAAAAQAgAAAAIgAAAGRycy9kb3ducmV2LnhtbFBLAQIUABQAAAAIAIdO4kAz&#10;LwWeOwAAADkAAAAQAAAAAAAAAAEAIAAAAA4BAABkcnMvc2hhcGV4bWwueG1sUEsFBgAAAAAGAAYA&#10;WwEAALgDAAAAAA==&#10;">
                  <v:fill on="f" focussize="0,0"/>
                  <v:stroke weight="0.73503937007874pt" color="#00AFEF" joinstyle="round"/>
                  <v:imagedata o:title=""/>
                  <o:lock v:ext="edit" aspectratio="f"/>
                </v:line>
              </v:group>
            </w:pict>
          </mc:Fallback>
        </mc:AlternateContent>
      </w:r>
      <w:r>
        <w:rPr>
          <w:spacing w:val="-25"/>
          <w:w w:val="99"/>
          <w:sz w:val="20"/>
        </w:rPr>
        <w:t>者盖章；</w:t>
      </w:r>
      <w:r>
        <w:rPr>
          <w:w w:val="99"/>
          <w:sz w:val="20"/>
        </w:rPr>
        <w:t>（</w:t>
      </w:r>
      <w:r>
        <w:rPr>
          <w:spacing w:val="1"/>
          <w:w w:val="99"/>
          <w:sz w:val="20"/>
        </w:rPr>
        <w:t>5</w:t>
      </w:r>
      <w:r>
        <w:rPr>
          <w:w w:val="99"/>
          <w:sz w:val="20"/>
        </w:rPr>
        <w:t>）</w:t>
      </w:r>
      <w:r>
        <w:rPr>
          <w:spacing w:val="-11"/>
          <w:w w:val="99"/>
          <w:sz w:val="20"/>
        </w:rPr>
        <w:t>接受凭证单位名称；</w:t>
      </w:r>
      <w:r>
        <w:rPr>
          <w:w w:val="99"/>
          <w:sz w:val="20"/>
        </w:rPr>
        <w:t>（</w:t>
      </w:r>
      <w:r>
        <w:rPr>
          <w:spacing w:val="1"/>
          <w:w w:val="99"/>
          <w:sz w:val="20"/>
        </w:rPr>
        <w:t>6</w:t>
      </w:r>
      <w:r>
        <w:rPr>
          <w:w w:val="99"/>
          <w:sz w:val="20"/>
        </w:rPr>
        <w:t>）</w:t>
      </w:r>
      <w:r>
        <w:rPr>
          <w:spacing w:val="-15"/>
          <w:w w:val="99"/>
          <w:sz w:val="20"/>
        </w:rPr>
        <w:t>经济业务内容；</w:t>
      </w:r>
      <w:r>
        <w:rPr>
          <w:w w:val="99"/>
          <w:sz w:val="20"/>
        </w:rPr>
        <w:t>（</w:t>
      </w:r>
      <w:r>
        <w:rPr>
          <w:spacing w:val="1"/>
          <w:w w:val="99"/>
          <w:sz w:val="20"/>
        </w:rPr>
        <w:t>7</w:t>
      </w:r>
      <w:r>
        <w:rPr>
          <w:w w:val="99"/>
          <w:sz w:val="20"/>
        </w:rPr>
        <w:t xml:space="preserve">）数量、单价和金额。 </w:t>
      </w:r>
      <w:r>
        <w:rPr>
          <w:b/>
          <w:sz w:val="20"/>
        </w:rPr>
        <w:t>3.原始凭证的填制要求</w:t>
      </w:r>
    </w:p>
    <w:p>
      <w:pPr>
        <w:pStyle w:val="6"/>
        <w:spacing w:before="2"/>
      </w:pPr>
      <w:r>
        <w:t>（1）原始凭证填制的基本要求</w:t>
      </w:r>
    </w:p>
    <w:p>
      <w:pPr>
        <w:pStyle w:val="6"/>
        <w:spacing w:before="5"/>
        <w:ind w:left="0"/>
        <w:rPr>
          <w:sz w:val="15"/>
        </w:rPr>
      </w:pPr>
      <w:r>
        <w:br w:type="column"/>
      </w:r>
    </w:p>
    <w:p>
      <w:pPr>
        <w:pStyle w:val="5"/>
        <w:spacing w:before="1" w:line="292" w:lineRule="auto"/>
        <w:ind w:left="142" w:right="564"/>
      </w:pPr>
      <w:r>
        <w:rPr>
          <w:color w:val="00AFEF"/>
          <w:spacing w:val="-12"/>
        </w:rPr>
        <w:t>没有会计科目、借贷方向、记账</w:t>
      </w:r>
      <w:r>
        <w:rPr>
          <w:color w:val="00AFEF"/>
          <w:u w:val="single" w:color="00AFEF"/>
        </w:rPr>
        <w:t>标记、会计人员签章</w:t>
      </w:r>
    </w:p>
    <w:p>
      <w:pPr>
        <w:spacing w:after="0" w:line="292" w:lineRule="auto"/>
        <w:sectPr>
          <w:type w:val="continuous"/>
          <w:pgSz w:w="11910" w:h="16160"/>
          <w:pgMar w:top="1680" w:right="360" w:bottom="280" w:left="760" w:header="720" w:footer="720" w:gutter="0"/>
          <w:cols w:equalWidth="0" w:num="2">
            <w:col w:w="7323" w:space="40"/>
            <w:col w:w="3427"/>
          </w:cols>
        </w:sectPr>
      </w:pPr>
    </w:p>
    <w:p>
      <w:pPr>
        <w:pStyle w:val="6"/>
        <w:spacing w:before="71"/>
      </w:pPr>
      <w:r>
        <mc:AlternateContent>
          <mc:Choice Requires="wps">
            <w:drawing>
              <wp:anchor distT="0" distB="0" distL="114300" distR="114300" simplePos="0" relativeHeight="15756288" behindDoc="0" locked="0" layoutInCell="1" allowOverlap="1">
                <wp:simplePos x="0" y="0"/>
                <wp:positionH relativeFrom="page">
                  <wp:posOffset>1068705</wp:posOffset>
                </wp:positionH>
                <wp:positionV relativeFrom="paragraph">
                  <wp:posOffset>183515</wp:posOffset>
                </wp:positionV>
                <wp:extent cx="502920" cy="5715"/>
                <wp:effectExtent l="0" t="0" r="0" b="0"/>
                <wp:wrapNone/>
                <wp:docPr id="48" name="任意多边形 65"/>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65" o:spid="_x0000_s1026" o:spt="100" style="position:absolute;left:0pt;margin-left:84.15pt;margin-top:14.45pt;height:0.45pt;width:39.6pt;mso-position-horizontal-relative:page;z-index:15756288;mso-width-relative:page;mso-height-relative:page;" filled="f" stroked="t" coordsize="792,9" o:gfxdata="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i5vP4NcAAAAJAQAADwAAAAAAAAABACAAAAAiAAAAZHJz&#10;L2Rvd25yZXYueG1sUEsBAhQAFAAAAAgAh07iQDEeQ73pAgAAmQoAAA4AAAAAAAAAAQAgAAAAJgEA&#10;AGRycy9lMm9Eb2MueG1sUEsFBgAAAAAGAAYAWQEAAIE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①</w:t>
      </w:r>
      <w:r>
        <w:rPr>
          <w:b/>
          <w:color w:val="00AFEF"/>
          <w:w w:val="95"/>
        </w:rPr>
        <w:t>记录真实</w:t>
      </w:r>
      <w:r>
        <w:rPr>
          <w:w w:val="95"/>
        </w:rPr>
        <w:t>；原始凭证所列经济内容和数字，必须真实可靠，符合实际情况。</w:t>
      </w:r>
    </w:p>
    <w:p>
      <w:pPr>
        <w:pStyle w:val="6"/>
      </w:pPr>
      <w:r>
        <mc:AlternateContent>
          <mc:Choice Requires="wps">
            <w:drawing>
              <wp:anchor distT="0" distB="0" distL="114300" distR="114300" simplePos="0" relativeHeight="482391040" behindDoc="1" locked="0" layoutInCell="1" allowOverlap="1">
                <wp:simplePos x="0" y="0"/>
                <wp:positionH relativeFrom="page">
                  <wp:posOffset>1068705</wp:posOffset>
                </wp:positionH>
                <wp:positionV relativeFrom="paragraph">
                  <wp:posOffset>181610</wp:posOffset>
                </wp:positionV>
                <wp:extent cx="502920" cy="5715"/>
                <wp:effectExtent l="0" t="0" r="0" b="0"/>
                <wp:wrapNone/>
                <wp:docPr id="242" name="任意多边形 6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66" o:spid="_x0000_s1026" o:spt="100" style="position:absolute;left:0pt;margin-left:84.15pt;margin-top:14.3pt;height:0.45pt;width:39.6pt;mso-position-horizontal-relative:page;z-index:-20925440;mso-width-relative:page;mso-height-relative:page;" filled="f" stroked="t" coordsize="792,9" o:gfxdata="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zmfT72AAAAAkBAAAPAAAAAAAAAAEAIAAA&#10;ACIAAABkcnMvZG93bnJldi54bWxQSwECFAAUAAAACACHTuJAG/EQTvACAACaCgAADgAAAAAAAAAB&#10;ACAAAAAnAQAAZHJzL2Uyb0RvYy54bWxQSwUGAAAAAAYABgBZAQAAiQ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②</w:t>
      </w:r>
      <w:r>
        <w:rPr>
          <w:b/>
          <w:color w:val="00AFEF"/>
          <w:w w:val="95"/>
        </w:rPr>
        <w:t>内容完整</w:t>
      </w:r>
      <w:r>
        <w:rPr>
          <w:w w:val="95"/>
        </w:rPr>
        <w:t>；原始凭证所要求填列的项目必须逐项填列齐全，不得遗漏和省略</w:t>
      </w:r>
    </w:p>
    <w:p>
      <w:pPr>
        <w:pStyle w:val="6"/>
        <w:spacing w:before="67" w:line="304" w:lineRule="auto"/>
        <w:ind w:left="322" w:right="721" w:firstLine="400"/>
      </w:pPr>
      <w:r>
        <mc:AlternateContent>
          <mc:Choice Requires="wps">
            <w:drawing>
              <wp:anchor distT="0" distB="0" distL="114300" distR="114300" simplePos="0" relativeHeight="482392064" behindDoc="1" locked="0" layoutInCell="1" allowOverlap="1">
                <wp:simplePos x="0" y="0"/>
                <wp:positionH relativeFrom="page">
                  <wp:posOffset>1068705</wp:posOffset>
                </wp:positionH>
                <wp:positionV relativeFrom="paragraph">
                  <wp:posOffset>180340</wp:posOffset>
                </wp:positionV>
                <wp:extent cx="502920" cy="5715"/>
                <wp:effectExtent l="0" t="0" r="0" b="0"/>
                <wp:wrapNone/>
                <wp:docPr id="243" name="任意多边形 67"/>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67" o:spid="_x0000_s1026" o:spt="100" style="position:absolute;left:0pt;margin-left:84.15pt;margin-top:14.2pt;height:0.45pt;width:39.6pt;mso-position-horizontal-relative:page;z-index:-20924416;mso-width-relative:page;mso-height-relative:page;" filled="f" stroked="t" coordsize="792,9" o:gfxdata="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Is9uJfYAAAACQEAAA8AAAAAAAAAAQAgAAAAIgAA&#10;AGRycy9kb3ducmV2LnhtbFBLAQIUABQAAAAIAIdO4kDKaJhO7AIAAJoKAAAOAAAAAAAAAAEAIAAA&#10;ACcBAABkcnMvZTJvRG9jLnhtbFBLBQYAAAAABgAGAFkBAACF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③</w:t>
      </w:r>
      <w:r>
        <w:rPr>
          <w:b/>
          <w:color w:val="00AFEF"/>
          <w:w w:val="95"/>
        </w:rPr>
        <w:t>手续完备</w:t>
      </w:r>
      <w:r>
        <w:rPr>
          <w:w w:val="95"/>
        </w:rPr>
        <w:t>；单位自制的原始凭证必须</w:t>
      </w:r>
      <w:r>
        <w:rPr>
          <w:color w:val="FF0000"/>
          <w:w w:val="95"/>
          <w:u w:val="double" w:color="FF0000"/>
        </w:rPr>
        <w:t xml:space="preserve">有经办单位领导人或者其他指定的人员签名盖章，对外开出的原始凭   </w:t>
      </w:r>
      <w:r>
        <w:rPr>
          <w:color w:val="FF0000"/>
          <w:spacing w:val="-4"/>
          <w:w w:val="95"/>
          <w:u w:val="double" w:color="FF0000"/>
        </w:rPr>
        <w:t xml:space="preserve">证必须加盖本单位公章；从外部取得的原始凭证，必须盖有填制单位的公章；从个人取得的原始凭证，必须有填制 </w:t>
      </w:r>
      <w:r>
        <w:rPr>
          <w:color w:val="FF0000"/>
          <w:spacing w:val="-4"/>
          <w:u w:val="double" w:color="FF0000"/>
        </w:rPr>
        <w:t>人员的签名盖章</w:t>
      </w:r>
      <w:r>
        <w:rPr>
          <w:spacing w:val="-4"/>
        </w:rPr>
        <w:t>。</w:t>
      </w:r>
    </w:p>
    <w:p>
      <w:pPr>
        <w:spacing w:after="0" w:line="304" w:lineRule="auto"/>
        <w:sectPr>
          <w:type w:val="continuous"/>
          <w:pgSz w:w="11910" w:h="16160"/>
          <w:pgMar w:top="1680" w:right="360" w:bottom="280" w:left="760" w:header="720" w:footer="720" w:gutter="0"/>
        </w:sectPr>
      </w:pPr>
    </w:p>
    <w:p>
      <w:pPr>
        <w:pStyle w:val="6"/>
        <w:spacing w:before="11"/>
        <w:ind w:left="0"/>
        <w:rPr>
          <w:sz w:val="13"/>
        </w:rPr>
      </w:pPr>
    </w:p>
    <w:p>
      <w:pPr>
        <w:pStyle w:val="6"/>
        <w:spacing w:before="71" w:line="304" w:lineRule="auto"/>
        <w:ind w:left="322" w:right="763" w:firstLine="400"/>
      </w:pPr>
      <w:r>
        <w:rPr>
          <w:spacing w:val="-10"/>
          <w:w w:val="99"/>
        </w:rPr>
        <w:t>这里所说的“公章”，是指具有法律效力和特定用途，能够证明单位身份和性质的印鉴，包括业务公章、财</w:t>
      </w:r>
      <w:r>
        <w:rPr>
          <w:spacing w:val="-10"/>
        </w:rPr>
        <w:t>务专用章、发票专用章、结算专用章等。</w:t>
      </w:r>
    </w:p>
    <w:p>
      <w:pPr>
        <w:spacing w:before="2"/>
        <w:ind w:left="723" w:right="0" w:firstLine="0"/>
        <w:jc w:val="left"/>
        <w:rPr>
          <w:sz w:val="20"/>
        </w:rPr>
      </w:pPr>
      <w:r>
        <w:rPr>
          <w:sz w:val="20"/>
        </w:rPr>
        <w:t>④</w:t>
      </w:r>
      <w:r>
        <w:rPr>
          <w:b/>
          <w:color w:val="00AFEF"/>
          <w:sz w:val="20"/>
          <w:u w:val="single" w:color="00AFEF"/>
        </w:rPr>
        <w:t>书写清楚、规范</w:t>
      </w:r>
      <w:r>
        <w:rPr>
          <w:sz w:val="20"/>
        </w:rPr>
        <w:t>；</w:t>
      </w:r>
    </w:p>
    <w:p>
      <w:pPr>
        <w:pStyle w:val="13"/>
        <w:numPr>
          <w:ilvl w:val="0"/>
          <w:numId w:val="27"/>
        </w:numPr>
        <w:tabs>
          <w:tab w:val="left" w:pos="925"/>
        </w:tabs>
        <w:spacing w:before="70" w:after="0" w:line="240" w:lineRule="auto"/>
        <w:ind w:left="924" w:right="0" w:hanging="202"/>
        <w:jc w:val="left"/>
        <w:rPr>
          <w:sz w:val="20"/>
        </w:rPr>
      </w:pPr>
      <w:r>
        <w:rPr>
          <w:sz w:val="20"/>
        </w:rPr>
        <w:t>不得使用未经国务院公布的简化汉字</w:t>
      </w:r>
    </w:p>
    <w:p>
      <w:pPr>
        <w:pStyle w:val="13"/>
        <w:numPr>
          <w:ilvl w:val="0"/>
          <w:numId w:val="27"/>
        </w:numPr>
        <w:tabs>
          <w:tab w:val="left" w:pos="925"/>
        </w:tabs>
        <w:spacing w:before="70" w:after="0" w:line="302" w:lineRule="auto"/>
        <w:ind w:left="322" w:right="721" w:firstLine="400"/>
        <w:jc w:val="left"/>
        <w:rPr>
          <w:sz w:val="20"/>
        </w:rPr>
      </w:pPr>
      <w:r>
        <w:rPr>
          <w:spacing w:val="-2"/>
          <w:w w:val="95"/>
          <w:sz w:val="20"/>
        </w:rPr>
        <w:t>大小写金额必须相符且填写规范，小写金额用阿拉伯数字逐个书写，</w:t>
      </w:r>
      <w:r>
        <w:rPr>
          <w:color w:val="FF0000"/>
          <w:w w:val="95"/>
          <w:sz w:val="20"/>
          <w:u w:val="double" w:color="FF0000"/>
        </w:rPr>
        <w:t>不得写连笔字</w:t>
      </w:r>
      <w:r>
        <w:rPr>
          <w:spacing w:val="-3"/>
          <w:w w:val="95"/>
          <w:sz w:val="20"/>
        </w:rPr>
        <w:t>，在金额前要填写</w:t>
      </w:r>
      <w:r>
        <w:rPr>
          <w:color w:val="FF0000"/>
          <w:w w:val="95"/>
          <w:sz w:val="20"/>
          <w:u w:val="double" w:color="FF0000"/>
        </w:rPr>
        <w:t>人民</w:t>
      </w:r>
      <w:r>
        <w:rPr>
          <w:color w:val="FF0000"/>
          <w:w w:val="97"/>
          <w:sz w:val="20"/>
          <w:u w:val="double" w:color="FF0000"/>
        </w:rPr>
        <w:t>币符号“</w:t>
      </w:r>
      <w:r>
        <w:rPr>
          <w:color w:val="FF0000"/>
          <w:spacing w:val="-1"/>
          <w:w w:val="97"/>
          <w:sz w:val="20"/>
          <w:u w:val="double" w:color="FF0000"/>
        </w:rPr>
        <w:t>￥</w:t>
      </w:r>
      <w:r>
        <w:rPr>
          <w:color w:val="FF0000"/>
          <w:spacing w:val="-65"/>
          <w:w w:val="97"/>
          <w:sz w:val="20"/>
          <w:u w:val="double" w:color="FF0000"/>
        </w:rPr>
        <w:t>”，“</w:t>
      </w:r>
      <w:r>
        <w:rPr>
          <w:color w:val="FF0000"/>
          <w:spacing w:val="-1"/>
          <w:w w:val="97"/>
          <w:sz w:val="20"/>
          <w:u w:val="double" w:color="FF0000"/>
        </w:rPr>
        <w:t>￥</w:t>
      </w:r>
      <w:r>
        <w:rPr>
          <w:color w:val="FF0000"/>
          <w:spacing w:val="1"/>
          <w:w w:val="97"/>
          <w:sz w:val="20"/>
          <w:u w:val="double" w:color="FF0000"/>
        </w:rPr>
        <w:t>”</w:t>
      </w:r>
      <w:r>
        <w:rPr>
          <w:w w:val="99"/>
          <w:sz w:val="20"/>
        </w:rPr>
        <w:t>与阿拉伯数字之间</w:t>
      </w:r>
      <w:r>
        <w:rPr>
          <w:color w:val="FF0000"/>
          <w:spacing w:val="-1"/>
          <w:w w:val="97"/>
          <w:sz w:val="20"/>
          <w:u w:val="double" w:color="FF0000"/>
        </w:rPr>
        <w:t>不得留有空白</w:t>
      </w:r>
    </w:p>
    <w:p>
      <w:pPr>
        <w:pStyle w:val="13"/>
        <w:numPr>
          <w:ilvl w:val="0"/>
          <w:numId w:val="27"/>
        </w:numPr>
        <w:tabs>
          <w:tab w:val="left" w:pos="925"/>
        </w:tabs>
        <w:spacing w:before="5" w:after="0" w:line="304" w:lineRule="auto"/>
        <w:ind w:left="723" w:right="621" w:firstLine="0"/>
        <w:jc w:val="left"/>
        <w:rPr>
          <w:sz w:val="20"/>
        </w:rPr>
      </w:pPr>
      <w:r>
        <w:rPr>
          <w:spacing w:val="-7"/>
          <w:w w:val="99"/>
          <w:sz w:val="20"/>
        </w:rPr>
        <w:t>金额数字一律填写到角分，无角分的，写“</w:t>
      </w:r>
      <w:r>
        <w:rPr>
          <w:spacing w:val="1"/>
          <w:w w:val="99"/>
          <w:sz w:val="20"/>
        </w:rPr>
        <w:t>0</w:t>
      </w:r>
      <w:r>
        <w:rPr>
          <w:spacing w:val="-2"/>
          <w:w w:val="99"/>
          <w:sz w:val="20"/>
        </w:rPr>
        <w:t>0</w:t>
      </w:r>
      <w:r>
        <w:rPr>
          <w:spacing w:val="-24"/>
          <w:w w:val="99"/>
          <w:sz w:val="20"/>
        </w:rPr>
        <w:t xml:space="preserve">”或符号“-”，有角无分的，分位写“０”，不得用符号“-”， </w:t>
      </w:r>
      <w:r>
        <w:rPr>
          <w:sz w:val="20"/>
        </w:rPr>
        <w:t>d</w:t>
      </w:r>
      <w:r>
        <w:rPr>
          <w:spacing w:val="-5"/>
          <w:sz w:val="20"/>
        </w:rPr>
        <w:t>.大写金额用汉字壹，贰，叁，肆，伍，陆，柒，捌，玖，拾，佰，仟，万，亿，元，角，分零，整等，一</w:t>
      </w:r>
    </w:p>
    <w:p>
      <w:pPr>
        <w:pStyle w:val="6"/>
        <w:spacing w:before="2"/>
        <w:ind w:left="322"/>
      </w:pPr>
      <w:r>
        <w:t>律用</w:t>
      </w:r>
      <w:r>
        <w:rPr>
          <w:color w:val="FF0000"/>
          <w:u w:val="double" w:color="FF0000"/>
        </w:rPr>
        <w:t>正楷或行书</w:t>
      </w:r>
      <w:r>
        <w:t>字写。</w:t>
      </w:r>
    </w:p>
    <w:p>
      <w:pPr>
        <w:pStyle w:val="6"/>
      </w:pPr>
      <w:r>
        <w:t>e.大写金额前未印有＂人民币＂字样的，应加写＂人民币＂三个字，＂人民币”和大写金额之间</w:t>
      </w:r>
      <w:r>
        <w:rPr>
          <w:color w:val="FF0000"/>
          <w:u w:val="double" w:color="FF0000"/>
        </w:rPr>
        <w:t>不得留有空</w:t>
      </w:r>
    </w:p>
    <w:p>
      <w:pPr>
        <w:pStyle w:val="6"/>
        <w:ind w:left="322"/>
      </w:pPr>
      <w:r>
        <w:rPr>
          <w:color w:val="FF0000"/>
          <w:u w:val="double" w:color="FF0000"/>
        </w:rPr>
        <w:t>白</w:t>
      </w:r>
      <w:r>
        <w:t>，</w:t>
      </w:r>
    </w:p>
    <w:p>
      <w:pPr>
        <w:pStyle w:val="6"/>
        <w:spacing w:before="68"/>
      </w:pPr>
      <w:r>
        <w:t>f.《会计基础工作规范》规定：</w:t>
      </w:r>
      <w:r>
        <w:rPr>
          <w:color w:val="FF0000"/>
          <w:u w:val="double" w:color="FF0000"/>
        </w:rPr>
        <w:t>大写金额到元或角为止的，后面要写“整”或“正”字，有分的，不写“整”</w:t>
      </w:r>
    </w:p>
    <w:p>
      <w:pPr>
        <w:pStyle w:val="6"/>
        <w:ind w:left="322"/>
      </w:pPr>
      <w:r>
        <w:rPr>
          <w:color w:val="FF0000"/>
          <w:u w:val="double" w:color="FF0000"/>
        </w:rPr>
        <w:t>或“正”字</w:t>
      </w:r>
      <w:r>
        <w:t>。</w:t>
      </w:r>
    </w:p>
    <w:p>
      <w:pPr>
        <w:pStyle w:val="6"/>
        <w:spacing w:line="304" w:lineRule="auto"/>
        <w:ind w:left="322" w:right="623" w:firstLine="400"/>
      </w:pPr>
      <w:r>
        <w:rPr>
          <w:spacing w:val="-4"/>
          <w:w w:val="95"/>
        </w:rPr>
        <w:t>中国人民银行发布的《正确填写票据和结算凭证的基本规定》要求</w:t>
      </w:r>
      <w:r>
        <w:rPr>
          <w:color w:val="FF0000"/>
          <w:spacing w:val="-3"/>
          <w:w w:val="95"/>
          <w:u w:val="double" w:color="FF0000"/>
        </w:rPr>
        <w:t xml:space="preserve">中文大写金额数字到元为止的，应写“整”   </w:t>
      </w:r>
      <w:r>
        <w:rPr>
          <w:color w:val="FF0000"/>
          <w:spacing w:val="-3"/>
          <w:u w:val="double" w:color="FF0000"/>
        </w:rPr>
        <w:t>或“正”字，在角之后可以不写“整”或“正”字。大写金额数字有“分”的，不写“整”或“正”字</w:t>
      </w:r>
      <w:r>
        <w:rPr>
          <w:spacing w:val="-3"/>
        </w:rPr>
        <w:t>。</w:t>
      </w:r>
    </w:p>
    <w:p>
      <w:pPr>
        <w:pStyle w:val="5"/>
        <w:spacing w:before="2"/>
      </w:pPr>
      <w:r>
        <w:t>“零”的写法：</w:t>
      </w:r>
    </w:p>
    <w:p>
      <w:pPr>
        <w:pStyle w:val="6"/>
      </w:pPr>
      <w:r>
        <w:rPr>
          <w:w w:val="99"/>
        </w:rPr>
        <w:t>（</w:t>
      </w:r>
      <w:r>
        <w:rPr>
          <w:spacing w:val="1"/>
          <w:w w:val="99"/>
        </w:rPr>
        <w:t>1</w:t>
      </w:r>
      <w:r>
        <w:rPr>
          <w:w w:val="99"/>
        </w:rPr>
        <w:t>）连续几个“</w:t>
      </w:r>
      <w:r>
        <w:rPr>
          <w:spacing w:val="1"/>
          <w:w w:val="99"/>
        </w:rPr>
        <w:t>0</w:t>
      </w:r>
      <w:r>
        <w:rPr>
          <w:spacing w:val="-12"/>
          <w:w w:val="99"/>
        </w:rPr>
        <w:t>”，只写一个“零”;</w:t>
      </w:r>
      <w:r>
        <w:rPr>
          <w:w w:val="99"/>
        </w:rPr>
        <w:t>￥</w:t>
      </w:r>
      <w:r>
        <w:rPr>
          <w:spacing w:val="1"/>
          <w:w w:val="99"/>
        </w:rPr>
        <w:t>10</w:t>
      </w:r>
      <w:r>
        <w:rPr>
          <w:spacing w:val="-2"/>
          <w:w w:val="99"/>
        </w:rPr>
        <w:t>0</w:t>
      </w:r>
      <w:r>
        <w:rPr>
          <w:spacing w:val="1"/>
          <w:w w:val="99"/>
        </w:rPr>
        <w:t>8.</w:t>
      </w:r>
      <w:r>
        <w:rPr>
          <w:spacing w:val="-2"/>
          <w:w w:val="99"/>
        </w:rPr>
        <w:t>0</w:t>
      </w:r>
      <w:r>
        <w:rPr>
          <w:spacing w:val="1"/>
          <w:w w:val="99"/>
        </w:rPr>
        <w:t>0</w:t>
      </w:r>
      <w:r>
        <w:rPr>
          <w:w w:val="99"/>
        </w:rPr>
        <w:t>：人民币壹仟零捌元整</w:t>
      </w:r>
    </w:p>
    <w:p>
      <w:pPr>
        <w:pStyle w:val="6"/>
        <w:spacing w:before="68" w:line="304" w:lineRule="auto"/>
        <w:ind w:right="4359"/>
      </w:pPr>
      <w:r>
        <w:rPr>
          <w:w w:val="99"/>
        </w:rPr>
        <w:t>（</w:t>
      </w:r>
      <w:r>
        <w:rPr>
          <w:spacing w:val="1"/>
          <w:w w:val="99"/>
        </w:rPr>
        <w:t>2</w:t>
      </w:r>
      <w:r>
        <w:rPr>
          <w:w w:val="99"/>
        </w:rPr>
        <w:t>）元位是“</w:t>
      </w:r>
      <w:r>
        <w:rPr>
          <w:spacing w:val="-2"/>
          <w:w w:val="99"/>
        </w:rPr>
        <w:t>0</w:t>
      </w:r>
      <w:r>
        <w:rPr>
          <w:spacing w:val="-15"/>
          <w:w w:val="99"/>
        </w:rPr>
        <w:t>”，角位不是“</w:t>
      </w:r>
      <w:r>
        <w:rPr>
          <w:spacing w:val="1"/>
          <w:w w:val="99"/>
        </w:rPr>
        <w:t>0</w:t>
      </w:r>
      <w:r>
        <w:rPr>
          <w:spacing w:val="-21"/>
          <w:w w:val="99"/>
        </w:rPr>
        <w:t>”，“零”可写可不写:</w:t>
      </w:r>
      <w:r>
        <w:rPr>
          <w:spacing w:val="2"/>
          <w:w w:val="99"/>
        </w:rPr>
        <w:t>￥</w:t>
      </w:r>
      <w:r>
        <w:rPr>
          <w:spacing w:val="1"/>
          <w:w w:val="99"/>
        </w:rPr>
        <w:t>1</w:t>
      </w:r>
      <w:r>
        <w:rPr>
          <w:spacing w:val="-2"/>
          <w:w w:val="99"/>
        </w:rPr>
        <w:t>0</w:t>
      </w:r>
      <w:r>
        <w:rPr>
          <w:spacing w:val="1"/>
          <w:w w:val="99"/>
        </w:rPr>
        <w:t>08</w:t>
      </w:r>
      <w:r>
        <w:rPr>
          <w:spacing w:val="-2"/>
          <w:w w:val="99"/>
        </w:rPr>
        <w:t>0</w:t>
      </w:r>
      <w:r>
        <w:rPr>
          <w:spacing w:val="1"/>
          <w:w w:val="99"/>
        </w:rPr>
        <w:t>.5</w:t>
      </w:r>
      <w:r>
        <w:rPr>
          <w:w w:val="99"/>
        </w:rPr>
        <w:t>0</w:t>
      </w:r>
      <w:r>
        <w:t>不整：人民币壹万零捌拾元零伍角、人民币壹万零捌拾元伍角</w:t>
      </w:r>
    </w:p>
    <w:p>
      <w:pPr>
        <w:pStyle w:val="6"/>
        <w:spacing w:before="2"/>
        <w:ind w:left="922"/>
      </w:pPr>
      <w:r>
        <w:t>整：人民币壹万零捌拾元零伍角整、人民币壹万零捌拾元伍角整</w:t>
      </w:r>
    </w:p>
    <w:p>
      <w:pPr>
        <w:pStyle w:val="6"/>
      </w:pPr>
      <w:r>
        <w:rPr>
          <w:w w:val="99"/>
        </w:rPr>
        <w:t>（</w:t>
      </w:r>
      <w:r>
        <w:rPr>
          <w:spacing w:val="1"/>
          <w:w w:val="99"/>
        </w:rPr>
        <w:t>3</w:t>
      </w:r>
      <w:r>
        <w:rPr>
          <w:w w:val="99"/>
        </w:rPr>
        <w:t>）角位是“</w:t>
      </w:r>
      <w:r>
        <w:rPr>
          <w:spacing w:val="-2"/>
          <w:w w:val="99"/>
        </w:rPr>
        <w:t>0</w:t>
      </w:r>
      <w:r>
        <w:rPr>
          <w:spacing w:val="-15"/>
          <w:w w:val="99"/>
        </w:rPr>
        <w:t>”，分位不是“</w:t>
      </w:r>
      <w:r>
        <w:rPr>
          <w:spacing w:val="1"/>
          <w:w w:val="99"/>
        </w:rPr>
        <w:t>0</w:t>
      </w:r>
      <w:r>
        <w:rPr>
          <w:spacing w:val="-26"/>
          <w:w w:val="99"/>
        </w:rPr>
        <w:t>”，“零”必写:</w:t>
      </w:r>
      <w:r>
        <w:rPr>
          <w:spacing w:val="2"/>
          <w:w w:val="99"/>
        </w:rPr>
        <w:t>￥</w:t>
      </w:r>
      <w:r>
        <w:rPr>
          <w:spacing w:val="1"/>
          <w:w w:val="99"/>
        </w:rPr>
        <w:t>1</w:t>
      </w:r>
      <w:r>
        <w:rPr>
          <w:spacing w:val="-2"/>
          <w:w w:val="99"/>
        </w:rPr>
        <w:t>0</w:t>
      </w:r>
      <w:r>
        <w:rPr>
          <w:spacing w:val="1"/>
          <w:w w:val="99"/>
        </w:rPr>
        <w:t>08</w:t>
      </w:r>
      <w:r>
        <w:rPr>
          <w:spacing w:val="-2"/>
          <w:w w:val="99"/>
        </w:rPr>
        <w:t>.</w:t>
      </w:r>
      <w:r>
        <w:rPr>
          <w:spacing w:val="1"/>
          <w:w w:val="99"/>
        </w:rPr>
        <w:t>0</w:t>
      </w:r>
      <w:r>
        <w:rPr>
          <w:spacing w:val="-2"/>
          <w:w w:val="99"/>
        </w:rPr>
        <w:t>5</w:t>
      </w:r>
      <w:r>
        <w:rPr>
          <w:w w:val="99"/>
        </w:rPr>
        <w:t>：人民币壹仟零捌元零伍分</w:t>
      </w:r>
    </w:p>
    <w:p>
      <w:pPr>
        <w:pStyle w:val="6"/>
      </w:pPr>
      <w:r>
        <mc:AlternateContent>
          <mc:Choice Requires="wps">
            <w:drawing>
              <wp:anchor distT="0" distB="0" distL="114300" distR="114300" simplePos="0" relativeHeight="15758336" behindDoc="0" locked="0" layoutInCell="1" allowOverlap="1">
                <wp:simplePos x="0" y="0"/>
                <wp:positionH relativeFrom="page">
                  <wp:posOffset>1068705</wp:posOffset>
                </wp:positionH>
                <wp:positionV relativeFrom="paragraph">
                  <wp:posOffset>182880</wp:posOffset>
                </wp:positionV>
                <wp:extent cx="502920" cy="5715"/>
                <wp:effectExtent l="0" t="0" r="0" b="0"/>
                <wp:wrapNone/>
                <wp:docPr id="52" name="任意多边形 6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68" o:spid="_x0000_s1026" o:spt="100" style="position:absolute;left:0pt;margin-left:84.15pt;margin-top:14.4pt;height:0.45pt;width:39.6pt;mso-position-horizontal-relative:page;z-index:15758336;mso-width-relative:page;mso-height-relative:page;" filled="f" stroked="t" coordsize="792,9" o:gfxdata="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0NkgNtcAAAAJAQAADwAAAAAAAAABACAAAAAi&#10;AAAAZHJzL2Rvd25yZXYueG1sUEsBAhQAFAAAAAgAh07iQJGed2/vAgAAmQoAAA4AAAAAAAAAAQAg&#10;AAAAJg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t>⑤</w:t>
      </w:r>
      <w:r>
        <w:rPr>
          <w:b/>
          <w:color w:val="00AFEF"/>
        </w:rPr>
        <w:t>连续编号</w:t>
      </w:r>
      <w:r>
        <w:t>；如果原始凭证已经预先印定编号，</w:t>
      </w:r>
      <w:r>
        <w:rPr>
          <w:color w:val="FF0000"/>
          <w:u w:val="double" w:color="FF0000"/>
        </w:rPr>
        <w:t>在写坏作废时，应加盖“作废”戳记，妥善保管，不得撕毁</w:t>
      </w:r>
      <w:r>
        <w:t>。</w:t>
      </w:r>
    </w:p>
    <w:p>
      <w:pPr>
        <w:pStyle w:val="6"/>
        <w:spacing w:line="302" w:lineRule="auto"/>
        <w:ind w:left="322" w:right="815" w:firstLine="400"/>
      </w:pPr>
      <w:r>
        <w:rPr>
          <w:w w:val="95"/>
        </w:rPr>
        <w:t>⑥</w:t>
      </w:r>
      <w:r>
        <w:rPr>
          <w:b/>
          <w:color w:val="00AFEF"/>
          <w:w w:val="95"/>
          <w:u w:val="single" w:color="00AFEF"/>
        </w:rPr>
        <w:t>不得涂改、刮擦、挖补</w:t>
      </w:r>
      <w:r>
        <w:rPr>
          <w:w w:val="95"/>
        </w:rPr>
        <w:t>；</w:t>
      </w:r>
      <w:r>
        <w:rPr>
          <w:color w:val="FF0000"/>
          <w:w w:val="95"/>
          <w:u w:val="double" w:color="FF0000"/>
        </w:rPr>
        <w:t xml:space="preserve">原始凭证有错误的，应当由出具单位重开或更正，更正处加盖出具单位印章，原  </w:t>
      </w:r>
      <w:r>
        <w:rPr>
          <w:color w:val="FF0000"/>
          <w:u w:val="double" w:color="FF0000"/>
        </w:rPr>
        <w:t>始凭证金额有错误的，应当由出具单位重开，不得更正。</w:t>
      </w:r>
    </w:p>
    <w:p>
      <w:pPr>
        <w:spacing w:before="5"/>
        <w:ind w:left="723" w:right="0" w:firstLine="0"/>
        <w:jc w:val="left"/>
        <w:rPr>
          <w:sz w:val="20"/>
        </w:rPr>
      </w:pPr>
      <w:r>
        <mc:AlternateContent>
          <mc:Choice Requires="wps">
            <w:drawing>
              <wp:anchor distT="0" distB="0" distL="114300" distR="114300" simplePos="0" relativeHeight="15758336" behindDoc="0" locked="0" layoutInCell="1" allowOverlap="1">
                <wp:simplePos x="0" y="0"/>
                <wp:positionH relativeFrom="page">
                  <wp:posOffset>1068705</wp:posOffset>
                </wp:positionH>
                <wp:positionV relativeFrom="paragraph">
                  <wp:posOffset>141605</wp:posOffset>
                </wp:positionV>
                <wp:extent cx="502920" cy="5715"/>
                <wp:effectExtent l="0" t="0" r="0" b="0"/>
                <wp:wrapNone/>
                <wp:docPr id="50" name="任意多边形 69"/>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69" o:spid="_x0000_s1026" o:spt="100" style="position:absolute;left:0pt;margin-left:84.15pt;margin-top:11.15pt;height:0.45pt;width:39.6pt;mso-position-horizontal-relative:page;z-index:15758336;mso-width-relative:page;mso-height-relative:page;" filled="f" stroked="t" coordsize="792,9" o:gfxdata="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hbvITdcAAAAJAQAADwAAAAAAAAABACAAAAAiAAAAZHJz&#10;L2Rvd25yZXYueG1sUEsBAhQAFAAAAAgAh07iQBew4r3pAgAAmQoAAA4AAAAAAAAAAQAgAAAAJgEA&#10;AGRycy9lMm9Eb2MueG1sUEsFBgAAAAAGAAYAWQEAAIE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z w:val="20"/>
        </w:rPr>
        <w:t>⑦</w:t>
      </w:r>
      <w:r>
        <w:rPr>
          <w:b/>
          <w:color w:val="00AFEF"/>
          <w:sz w:val="20"/>
        </w:rPr>
        <w:t>填制及时</w:t>
      </w:r>
      <w:r>
        <w:rPr>
          <w:sz w:val="20"/>
        </w:rPr>
        <w:t>。</w:t>
      </w:r>
    </w:p>
    <w:p>
      <w:pPr>
        <w:spacing w:after="0"/>
        <w:jc w:val="left"/>
        <w:rPr>
          <w:sz w:val="20"/>
        </w:rPr>
        <w:sectPr>
          <w:pgSz w:w="11910" w:h="16160"/>
          <w:pgMar w:top="1680" w:right="360" w:bottom="860" w:left="760" w:header="0" w:footer="584" w:gutter="0"/>
        </w:sectPr>
      </w:pPr>
    </w:p>
    <w:p>
      <w:pPr>
        <w:pStyle w:val="6"/>
        <w:spacing w:before="11"/>
        <w:ind w:left="0"/>
        <w:rPr>
          <w:sz w:val="13"/>
        </w:rPr>
      </w:pPr>
    </w:p>
    <w:p>
      <w:pPr>
        <w:pStyle w:val="5"/>
        <w:spacing w:before="71"/>
      </w:pPr>
      <w:r>
        <w:t>（2）自制原始凭证的填制要求</w:t>
      </w:r>
    </w:p>
    <w:p>
      <w:pPr>
        <w:pStyle w:val="6"/>
      </w:pPr>
      <w:r>
        <w:t>①一次凭证的填制</w:t>
      </w:r>
    </w:p>
    <w:p>
      <w:pPr>
        <w:pStyle w:val="6"/>
        <w:spacing w:line="304" w:lineRule="auto"/>
        <w:ind w:left="322" w:right="730" w:firstLine="400"/>
      </w:pPr>
      <w:r>
        <w:rPr>
          <w:w w:val="95"/>
        </w:rPr>
        <w:t>一次凭证应在经济业务发生或完成时，由</w:t>
      </w:r>
      <w:r>
        <w:rPr>
          <w:color w:val="FF0000"/>
          <w:w w:val="95"/>
          <w:u w:val="double" w:color="FF0000"/>
        </w:rPr>
        <w:t>相关业务人员（经办人员）</w:t>
      </w:r>
      <w:r>
        <w:rPr>
          <w:w w:val="95"/>
        </w:rPr>
        <w:t>一次填制完成。该凭证往往只能</w:t>
      </w:r>
      <w:r>
        <w:rPr>
          <w:color w:val="FF0000"/>
          <w:w w:val="95"/>
          <w:u w:val="double" w:color="FF0000"/>
        </w:rPr>
        <w:t xml:space="preserve">反映一   </w:t>
      </w:r>
      <w:r>
        <w:rPr>
          <w:color w:val="FF0000"/>
          <w:u w:val="double" w:color="FF0000"/>
        </w:rPr>
        <w:t>项经济业务，或者同时反映若干项同一性质的经济业务</w:t>
      </w:r>
      <w:r>
        <w:t>。</w:t>
      </w:r>
    </w:p>
    <w:p>
      <w:pPr>
        <w:pStyle w:val="6"/>
        <w:spacing w:before="2"/>
      </w:pPr>
      <w:r>
        <w:t>一次凭证有些是自制的原始凭证，有些是外来的原始凭证；</w:t>
      </w:r>
    </w:p>
    <w:p>
      <w:pPr>
        <w:pStyle w:val="6"/>
        <w:spacing w:before="68"/>
      </w:pPr>
      <w:r>
        <w:t>②累计凭证的填制</w:t>
      </w:r>
    </w:p>
    <w:p>
      <w:pPr>
        <w:pStyle w:val="6"/>
        <w:spacing w:line="304" w:lineRule="auto"/>
        <w:ind w:left="322" w:right="647" w:firstLine="400"/>
      </w:pPr>
      <w:r>
        <w:rPr>
          <w:w w:val="95"/>
        </w:rPr>
        <w:t>累计凭证应在每次经济业务完成后，由相关人员在同一张凭证上重复填制完成。该凭证能在</w:t>
      </w:r>
      <w:r>
        <w:rPr>
          <w:color w:val="FF0000"/>
          <w:w w:val="95"/>
          <w:u w:val="double" w:color="FF0000"/>
        </w:rPr>
        <w:t xml:space="preserve">一定时期内不断   </w:t>
      </w:r>
      <w:r>
        <w:rPr>
          <w:color w:val="FF0000"/>
          <w:u w:val="double" w:color="FF0000"/>
        </w:rPr>
        <w:t>重复地反映同类经济业务</w:t>
      </w:r>
      <w:r>
        <w:t>的完成情况。</w:t>
      </w:r>
    </w:p>
    <w:p>
      <w:pPr>
        <w:pStyle w:val="6"/>
        <w:spacing w:before="2"/>
      </w:pPr>
      <w:r>
        <w:t>③汇总凭证的填制</w:t>
      </w:r>
    </w:p>
    <w:p>
      <w:pPr>
        <w:pStyle w:val="6"/>
        <w:spacing w:line="304" w:lineRule="auto"/>
        <w:ind w:left="322" w:right="647" w:firstLine="400"/>
      </w:pPr>
      <w:r>
        <w:rPr>
          <w:w w:val="95"/>
        </w:rPr>
        <w:t>汇总凭证应由相关人员在汇总一定时期内反映同类经济业务的原始凭证后填制完成。该凭证只能将</w:t>
      </w:r>
      <w:r>
        <w:rPr>
          <w:color w:val="FF0000"/>
          <w:w w:val="95"/>
          <w:u w:val="double" w:color="FF0000"/>
        </w:rPr>
        <w:t xml:space="preserve">类型相同   </w:t>
      </w:r>
      <w:r>
        <w:rPr>
          <w:color w:val="FF0000"/>
          <w:u w:val="double" w:color="FF0000"/>
        </w:rPr>
        <w:t>的经济业务进行汇总</w:t>
      </w:r>
      <w:r>
        <w:t>，不能汇总两类或两类以上的经济业务。</w:t>
      </w:r>
    </w:p>
    <w:p>
      <w:pPr>
        <w:pStyle w:val="6"/>
        <w:spacing w:before="0" w:line="256" w:lineRule="exact"/>
      </w:pPr>
      <w:r>
        <w:t>4.原始凭证的审核</w:t>
      </w:r>
    </w:p>
    <w:p>
      <w:pPr>
        <w:pStyle w:val="13"/>
        <w:numPr>
          <w:ilvl w:val="0"/>
          <w:numId w:val="28"/>
        </w:numPr>
        <w:tabs>
          <w:tab w:val="left" w:pos="1224"/>
        </w:tabs>
        <w:spacing w:before="70" w:after="0" w:line="240" w:lineRule="auto"/>
        <w:ind w:left="1223" w:right="0" w:hanging="501"/>
        <w:jc w:val="left"/>
        <w:rPr>
          <w:sz w:val="20"/>
        </w:rPr>
      </w:pPr>
      <w:r>
        <w:rPr>
          <w:sz w:val="20"/>
        </w:rPr>
        <w:t>审核原始凭证的</w:t>
      </w:r>
      <w:r>
        <w:rPr>
          <w:color w:val="FF0000"/>
          <w:spacing w:val="-2"/>
          <w:sz w:val="20"/>
          <w:u w:val="double" w:color="FF0000"/>
        </w:rPr>
        <w:t>真实性</w:t>
      </w:r>
      <w:r>
        <w:rPr>
          <w:sz w:val="20"/>
        </w:rPr>
        <w:t>；包括凭证日期是否真实、业务内容是否真实、数据是否真实等。</w:t>
      </w:r>
    </w:p>
    <w:p>
      <w:pPr>
        <w:pStyle w:val="13"/>
        <w:numPr>
          <w:ilvl w:val="0"/>
          <w:numId w:val="28"/>
        </w:numPr>
        <w:tabs>
          <w:tab w:val="left" w:pos="1224"/>
        </w:tabs>
        <w:spacing w:before="70" w:after="0" w:line="240" w:lineRule="auto"/>
        <w:ind w:left="1223" w:right="0" w:hanging="501"/>
        <w:jc w:val="left"/>
        <w:rPr>
          <w:sz w:val="20"/>
        </w:rPr>
      </w:pPr>
      <w:r>
        <w:rPr>
          <w:sz w:val="20"/>
        </w:rPr>
        <w:t>审核原始凭证的</w:t>
      </w:r>
      <w:r>
        <w:rPr>
          <w:color w:val="FF0000"/>
          <w:spacing w:val="-1"/>
          <w:sz w:val="20"/>
          <w:u w:val="double" w:color="FF0000"/>
        </w:rPr>
        <w:t>合法性、合理性</w:t>
      </w:r>
      <w:r>
        <w:rPr>
          <w:sz w:val="20"/>
        </w:rPr>
        <w:t>；</w:t>
      </w:r>
    </w:p>
    <w:p>
      <w:pPr>
        <w:pStyle w:val="13"/>
        <w:numPr>
          <w:ilvl w:val="0"/>
          <w:numId w:val="28"/>
        </w:numPr>
        <w:tabs>
          <w:tab w:val="left" w:pos="1224"/>
        </w:tabs>
        <w:spacing w:before="71" w:after="0" w:line="240" w:lineRule="auto"/>
        <w:ind w:left="1223" w:right="0" w:hanging="501"/>
        <w:jc w:val="left"/>
        <w:rPr>
          <w:sz w:val="20"/>
        </w:rPr>
      </w:pPr>
      <w:r>
        <w:rPr>
          <w:w w:val="95"/>
          <w:sz w:val="20"/>
        </w:rPr>
        <w:t>审核原始凭证的</w:t>
      </w:r>
      <w:r>
        <w:rPr>
          <w:color w:val="FF0000"/>
          <w:spacing w:val="-2"/>
          <w:w w:val="95"/>
          <w:sz w:val="20"/>
          <w:u w:val="double" w:color="FF0000"/>
        </w:rPr>
        <w:t>完整性</w:t>
      </w:r>
      <w:r>
        <w:rPr>
          <w:w w:val="95"/>
          <w:sz w:val="20"/>
        </w:rPr>
        <w:t>；</w:t>
      </w:r>
    </w:p>
    <w:p>
      <w:pPr>
        <w:pStyle w:val="13"/>
        <w:numPr>
          <w:ilvl w:val="0"/>
          <w:numId w:val="28"/>
        </w:numPr>
        <w:tabs>
          <w:tab w:val="left" w:pos="1224"/>
        </w:tabs>
        <w:spacing w:before="70" w:after="0" w:line="240" w:lineRule="auto"/>
        <w:ind w:left="1223" w:right="0" w:hanging="501"/>
        <w:jc w:val="left"/>
        <w:rPr>
          <w:sz w:val="20"/>
        </w:rPr>
      </w:pPr>
      <w:r>
        <w:rPr>
          <w:w w:val="95"/>
          <w:sz w:val="20"/>
        </w:rPr>
        <w:t>审核原始凭证的</w:t>
      </w:r>
      <w:r>
        <w:rPr>
          <w:color w:val="FF0000"/>
          <w:spacing w:val="-2"/>
          <w:w w:val="95"/>
          <w:sz w:val="20"/>
          <w:u w:val="double" w:color="FF0000"/>
        </w:rPr>
        <w:t>正确性</w:t>
      </w:r>
      <w:r>
        <w:rPr>
          <w:w w:val="95"/>
          <w:sz w:val="20"/>
        </w:rPr>
        <w:t>；</w:t>
      </w:r>
    </w:p>
    <w:p>
      <w:pPr>
        <w:pStyle w:val="6"/>
      </w:pPr>
      <w:r>
        <w:t>①接受原始凭证单位的名称是否正确。</w:t>
      </w:r>
    </w:p>
    <w:p>
      <w:pPr>
        <w:pStyle w:val="6"/>
        <w:spacing w:before="68" w:line="304" w:lineRule="auto"/>
        <w:ind w:left="322" w:right="761" w:firstLine="400"/>
      </w:pPr>
      <w:r>
        <w:rPr>
          <w:w w:val="95"/>
        </w:rPr>
        <w:t xml:space="preserve">②金额的填写和计算是否正确，阿拉伯数字分位填写，不得连写。小写金额前要标明“¥”字样，中间不能   </w:t>
      </w:r>
      <w:r>
        <w:t>留有空位。大写金额前要加“人民币”字样，大写金额与小写金额要相符。</w:t>
      </w:r>
    </w:p>
    <w:p>
      <w:pPr>
        <w:spacing w:before="2" w:line="304" w:lineRule="auto"/>
        <w:ind w:left="322" w:right="722" w:firstLine="400"/>
        <w:jc w:val="both"/>
        <w:rPr>
          <w:b/>
          <w:sz w:val="20"/>
        </w:rPr>
      </w:pPr>
      <w:r>
        <w:rPr>
          <w:spacing w:val="-4"/>
          <w:w w:val="95"/>
          <w:sz w:val="20"/>
        </w:rPr>
        <w:t>③更正是否正确。原始凭证记载的各项内容均不得涂改。</w:t>
      </w:r>
      <w:r>
        <w:rPr>
          <w:b/>
          <w:color w:val="00AFEF"/>
          <w:spacing w:val="-3"/>
          <w:w w:val="95"/>
          <w:sz w:val="20"/>
          <w:u w:val="single" w:color="00AFEF"/>
        </w:rPr>
        <w:t xml:space="preserve">原始凭证金额有错误的，应当由出具单位重开，不   </w:t>
      </w:r>
      <w:r>
        <w:rPr>
          <w:b/>
          <w:color w:val="00AFEF"/>
          <w:spacing w:val="-9"/>
          <w:w w:val="95"/>
          <w:sz w:val="20"/>
          <w:u w:val="single" w:color="00AFEF"/>
        </w:rPr>
        <w:t xml:space="preserve">得在原始凭证上更正。原始凭证有其他错误的，应当由出具单位重开或者更正，更正处应当加盖出具单位公章或    </w:t>
      </w:r>
      <w:r>
        <w:rPr>
          <w:b/>
          <w:color w:val="00AFEF"/>
          <w:spacing w:val="-9"/>
          <w:sz w:val="20"/>
          <w:u w:val="single" w:color="00AFEF"/>
        </w:rPr>
        <w:t>财务专用章。</w:t>
      </w:r>
    </w:p>
    <w:p>
      <w:pPr>
        <w:pStyle w:val="5"/>
        <w:spacing w:before="2" w:line="302" w:lineRule="auto"/>
        <w:ind w:right="8455"/>
      </w:pPr>
      <w:r>
        <w:t>（三）记账凭证 1.</w:t>
      </w:r>
      <w:r>
        <w:rPr>
          <w:spacing w:val="-2"/>
        </w:rPr>
        <w:t>记账凭证的种类</w:t>
      </w:r>
    </w:p>
    <w:p>
      <w:pPr>
        <w:pStyle w:val="6"/>
        <w:spacing w:before="5"/>
      </w:pPr>
      <w:r>
        <w:t>记账凭证按照其</w:t>
      </w:r>
      <w:r>
        <w:rPr>
          <w:color w:val="FF0000"/>
          <w:u w:val="double" w:color="FF0000"/>
        </w:rPr>
        <w:t>反映的经济业务的内容划分</w:t>
      </w:r>
      <w:r>
        <w:t>，通常分为收款凭证、付款凭证和转账凭证。</w:t>
      </w:r>
    </w:p>
    <w:p>
      <w:pPr>
        <w:pStyle w:val="6"/>
      </w:pPr>
      <w:r>
        <w:t>①</w:t>
      </w:r>
      <w:r>
        <w:rPr>
          <w:color w:val="FF0000"/>
          <w:u w:val="double" w:color="FF0000"/>
        </w:rPr>
        <w:t>收款凭证</w:t>
      </w:r>
    </w:p>
    <w:p>
      <w:pPr>
        <w:pStyle w:val="6"/>
      </w:pPr>
      <w:r>
        <w:t>收款凭证是指用于</w:t>
      </w:r>
      <w:r>
        <w:rPr>
          <w:color w:val="FF0000"/>
          <w:u w:val="double" w:color="FF0000"/>
        </w:rPr>
        <w:t>记录库存现金和银行存款收款业务</w:t>
      </w:r>
      <w:r>
        <w:t>的记账凭证。</w:t>
      </w:r>
    </w:p>
    <w:p>
      <w:pPr>
        <w:pStyle w:val="6"/>
        <w:spacing w:before="71" w:line="304" w:lineRule="auto"/>
        <w:ind w:left="322" w:right="647" w:firstLine="400"/>
      </w:pPr>
      <w:r>
        <w:rPr>
          <w:w w:val="95"/>
        </w:rPr>
        <w:t xml:space="preserve">收款凭证是根据有关库存现金和银行存款收入业务的原始凭证填制，是登记现金日记账、银行日记账以及有   </w:t>
      </w:r>
      <w:r>
        <w:t>关明细账和总账的</w:t>
      </w:r>
      <w:r>
        <w:rPr>
          <w:color w:val="FF0000"/>
          <w:u w:val="double" w:color="FF0000"/>
        </w:rPr>
        <w:t>依据</w:t>
      </w:r>
      <w:r>
        <w:t>。</w:t>
      </w:r>
    </w:p>
    <w:p>
      <w:pPr>
        <w:pStyle w:val="6"/>
        <w:spacing w:before="0" w:line="256" w:lineRule="exact"/>
      </w:pPr>
      <w:r>
        <w:t>收款凭证按收到款项的类型不同又分为库存现金收款凭证和银行存款收款凭证。</w:t>
      </w:r>
    </w:p>
    <w:p>
      <w:pPr>
        <w:pStyle w:val="6"/>
      </w:pPr>
      <w:r>
        <w:t>②</w:t>
      </w:r>
      <w:r>
        <w:rPr>
          <w:color w:val="FF0000"/>
          <w:u w:val="double" w:color="FF0000"/>
        </w:rPr>
        <w:t>付款凭证</w:t>
      </w:r>
    </w:p>
    <w:p>
      <w:pPr>
        <w:pStyle w:val="6"/>
      </w:pPr>
      <w:r>
        <w:t>付款凭证是指用于记录现金和银行存款付款业务的记账凭证。</w:t>
      </w:r>
    </w:p>
    <w:p>
      <w:pPr>
        <w:pStyle w:val="6"/>
        <w:spacing w:line="304" w:lineRule="auto"/>
        <w:ind w:left="322" w:right="647" w:firstLine="400"/>
      </w:pPr>
      <w:r>
        <w:rPr>
          <w:w w:val="95"/>
        </w:rPr>
        <w:t xml:space="preserve">付款凭证是根据有关库存现金和银行存款支出业务的原始凭证填制，是登记现金日记账、银行日记账以及有   </w:t>
      </w:r>
      <w:r>
        <w:t>关明细账和总账的依据。</w:t>
      </w:r>
    </w:p>
    <w:p>
      <w:pPr>
        <w:pStyle w:val="6"/>
        <w:spacing w:before="2"/>
      </w:pPr>
      <w:r>
        <w:t>付款凭证按支付款项的类型不同又分为库存现金付款凭证和银行存款付款凭证。</w:t>
      </w:r>
    </w:p>
    <w:p>
      <w:pPr>
        <w:pStyle w:val="6"/>
        <w:spacing w:before="68"/>
      </w:pPr>
      <w:r>
        <w:t>③</w:t>
      </w:r>
      <w:r>
        <w:rPr>
          <w:color w:val="FF0000"/>
          <w:u w:val="double" w:color="FF0000"/>
        </w:rPr>
        <w:t>转账凭证</w:t>
      </w:r>
    </w:p>
    <w:p>
      <w:pPr>
        <w:pStyle w:val="6"/>
      </w:pPr>
      <w:r>
        <w:t>记录不涉及现金和银行存款业务的记账凭证。是登记有关明细分类账和总分类账等账簿的依据。</w:t>
      </w:r>
    </w:p>
    <w:p>
      <w:pPr>
        <w:pStyle w:val="6"/>
      </w:pPr>
      <w:r>
        <w:t>【提示】</w:t>
      </w:r>
    </w:p>
    <w:p>
      <w:pPr>
        <w:spacing w:after="0"/>
        <w:sectPr>
          <w:pgSz w:w="11910" w:h="16160"/>
          <w:pgMar w:top="1680" w:right="360" w:bottom="860" w:left="760" w:header="0" w:footer="584" w:gutter="0"/>
        </w:sectPr>
      </w:pPr>
    </w:p>
    <w:p>
      <w:pPr>
        <w:pStyle w:val="6"/>
        <w:spacing w:before="11"/>
        <w:ind w:left="0"/>
        <w:rPr>
          <w:sz w:val="13"/>
        </w:rPr>
      </w:pPr>
    </w:p>
    <w:p>
      <w:pPr>
        <w:pStyle w:val="6"/>
        <w:spacing w:before="71" w:line="304" w:lineRule="auto"/>
        <w:ind w:right="623" w:hanging="8"/>
        <w:rPr>
          <w:b/>
        </w:rPr>
      </w:pPr>
      <w:r>
        <w:rPr>
          <w:color w:val="FF0000"/>
          <w:spacing w:val="-6"/>
          <w:w w:val="95"/>
          <w:u w:val="double" w:color="FF0000"/>
        </w:rPr>
        <w:t>对于库存现金和银行存款之间的相互划转的收、付款业务，为了避免重复记账，只填付款凭证，不填收款凭证。</w:t>
      </w:r>
      <w:r>
        <w:rPr>
          <w:color w:val="FF0000"/>
          <w:spacing w:val="-6"/>
          <w:w w:val="95"/>
        </w:rPr>
        <w:t xml:space="preserve"> </w:t>
      </w:r>
      <w:r>
        <w:rPr>
          <w:b/>
          <w:spacing w:val="-6"/>
        </w:rPr>
        <w:t>2.记账凭证的基本内容</w:t>
      </w:r>
    </w:p>
    <w:p>
      <w:pPr>
        <w:pStyle w:val="13"/>
        <w:numPr>
          <w:ilvl w:val="0"/>
          <w:numId w:val="29"/>
        </w:numPr>
        <w:tabs>
          <w:tab w:val="left" w:pos="1224"/>
        </w:tabs>
        <w:spacing w:before="2" w:after="0" w:line="240" w:lineRule="auto"/>
        <w:ind w:left="1223" w:right="0" w:hanging="501"/>
        <w:jc w:val="left"/>
        <w:rPr>
          <w:sz w:val="20"/>
        </w:rPr>
      </w:pPr>
      <w:r>
        <w:rPr>
          <w:sz w:val="20"/>
        </w:rPr>
        <w:t>填制凭证的日期；记账凭证的日期为</w:t>
      </w:r>
      <w:r>
        <w:rPr>
          <w:color w:val="FF0000"/>
          <w:spacing w:val="-1"/>
          <w:sz w:val="20"/>
          <w:u w:val="double" w:color="FF0000"/>
        </w:rPr>
        <w:t>填制记账凭证日期</w:t>
      </w:r>
      <w:r>
        <w:rPr>
          <w:sz w:val="20"/>
        </w:rPr>
        <w:t>（非业务发生或取得原始凭证日期）</w:t>
      </w:r>
    </w:p>
    <w:p>
      <w:pPr>
        <w:pStyle w:val="13"/>
        <w:numPr>
          <w:ilvl w:val="0"/>
          <w:numId w:val="29"/>
        </w:numPr>
        <w:tabs>
          <w:tab w:val="left" w:pos="1224"/>
        </w:tabs>
        <w:spacing w:before="70" w:after="0" w:line="240" w:lineRule="auto"/>
        <w:ind w:left="1223" w:right="0" w:hanging="501"/>
        <w:jc w:val="left"/>
        <w:rPr>
          <w:sz w:val="20"/>
        </w:rPr>
      </w:pPr>
      <w:r>
        <w:rPr>
          <w:sz w:val="20"/>
        </w:rPr>
        <w:t>凭证编号；</w:t>
      </w:r>
    </w:p>
    <w:p>
      <w:pPr>
        <w:pStyle w:val="13"/>
        <w:numPr>
          <w:ilvl w:val="0"/>
          <w:numId w:val="29"/>
        </w:numPr>
        <w:tabs>
          <w:tab w:val="left" w:pos="1224"/>
        </w:tabs>
        <w:spacing w:before="70" w:after="0" w:line="240" w:lineRule="auto"/>
        <w:ind w:left="1223" w:right="0" w:hanging="501"/>
        <w:jc w:val="left"/>
        <w:rPr>
          <w:sz w:val="20"/>
        </w:rPr>
      </w:pPr>
      <w:r>
        <w:rPr>
          <w:sz w:val="20"/>
        </w:rPr>
        <w:t>经济业务摘要；</w:t>
      </w:r>
    </w:p>
    <w:p>
      <w:pPr>
        <w:pStyle w:val="13"/>
        <w:numPr>
          <w:ilvl w:val="0"/>
          <w:numId w:val="29"/>
        </w:numPr>
        <w:tabs>
          <w:tab w:val="left" w:pos="1224"/>
        </w:tabs>
        <w:spacing w:before="68" w:after="0" w:line="240" w:lineRule="auto"/>
        <w:ind w:left="1223" w:right="0" w:hanging="501"/>
        <w:jc w:val="left"/>
        <w:rPr>
          <w:sz w:val="20"/>
        </w:rPr>
      </w:pPr>
      <w:r>
        <w:rPr>
          <w:sz w:val="20"/>
        </w:rPr>
        <w:t>会计科目；</w:t>
      </w:r>
    </w:p>
    <w:p>
      <w:pPr>
        <w:pStyle w:val="13"/>
        <w:numPr>
          <w:ilvl w:val="0"/>
          <w:numId w:val="29"/>
        </w:numPr>
        <w:tabs>
          <w:tab w:val="left" w:pos="1224"/>
        </w:tabs>
        <w:spacing w:before="70" w:after="0" w:line="240" w:lineRule="auto"/>
        <w:ind w:left="1223" w:right="0" w:hanging="501"/>
        <w:jc w:val="left"/>
        <w:rPr>
          <w:sz w:val="20"/>
        </w:rPr>
      </w:pPr>
      <w:r>
        <mc:AlternateContent>
          <mc:Choice Requires="wpg">
            <w:drawing>
              <wp:anchor distT="0" distB="0" distL="114300" distR="114300" simplePos="0" relativeHeight="15759360" behindDoc="0" locked="0" layoutInCell="1" allowOverlap="1">
                <wp:simplePos x="0" y="0"/>
                <wp:positionH relativeFrom="page">
                  <wp:posOffset>2531110</wp:posOffset>
                </wp:positionH>
                <wp:positionV relativeFrom="paragraph">
                  <wp:posOffset>51435</wp:posOffset>
                </wp:positionV>
                <wp:extent cx="1117600" cy="314325"/>
                <wp:effectExtent l="0" t="635" r="6350" b="8890"/>
                <wp:wrapNone/>
                <wp:docPr id="58" name="组合 70"/>
                <wp:cNvGraphicFramePr/>
                <a:graphic xmlns:a="http://schemas.openxmlformats.org/drawingml/2006/main">
                  <a:graphicData uri="http://schemas.microsoft.com/office/word/2010/wordprocessingGroup">
                    <wpg:wgp>
                      <wpg:cNvGrpSpPr/>
                      <wpg:grpSpPr>
                        <a:xfrm>
                          <a:off x="0" y="0"/>
                          <a:ext cx="1117600" cy="314325"/>
                          <a:chOff x="3986" y="82"/>
                          <a:chExt cx="1760" cy="495"/>
                        </a:xfrm>
                      </wpg:grpSpPr>
                      <wps:wsp>
                        <wps:cNvPr id="54" name="任意多边形 71"/>
                        <wps:cNvSpPr/>
                        <wps:spPr>
                          <a:xfrm>
                            <a:off x="3986" y="81"/>
                            <a:ext cx="1760" cy="495"/>
                          </a:xfrm>
                          <a:custGeom>
                            <a:avLst/>
                            <a:gdLst/>
                            <a:ahLst/>
                            <a:cxnLst/>
                            <a:pathLst>
                              <a:path w="1760" h="495">
                                <a:moveTo>
                                  <a:pt x="1760" y="494"/>
                                </a:moveTo>
                                <a:lnTo>
                                  <a:pt x="154" y="494"/>
                                </a:lnTo>
                                <a:lnTo>
                                  <a:pt x="154" y="206"/>
                                </a:lnTo>
                                <a:lnTo>
                                  <a:pt x="0" y="127"/>
                                </a:lnTo>
                                <a:lnTo>
                                  <a:pt x="154" y="81"/>
                                </a:lnTo>
                                <a:lnTo>
                                  <a:pt x="154" y="0"/>
                                </a:lnTo>
                                <a:lnTo>
                                  <a:pt x="1760" y="0"/>
                                </a:lnTo>
                                <a:lnTo>
                                  <a:pt x="1760" y="494"/>
                                </a:lnTo>
                                <a:close/>
                              </a:path>
                            </a:pathLst>
                          </a:custGeom>
                          <a:solidFill>
                            <a:srgbClr val="FFFF00"/>
                          </a:solidFill>
                          <a:ln>
                            <a:noFill/>
                          </a:ln>
                        </wps:spPr>
                        <wps:bodyPr upright="1"/>
                      </wps:wsp>
                      <wps:wsp>
                        <wps:cNvPr id="56" name="文本框 72"/>
                        <wps:cNvSpPr txBox="1"/>
                        <wps:spPr>
                          <a:xfrm>
                            <a:off x="3986" y="81"/>
                            <a:ext cx="1760" cy="495"/>
                          </a:xfrm>
                          <a:prstGeom prst="rect">
                            <a:avLst/>
                          </a:prstGeom>
                          <a:noFill/>
                          <a:ln>
                            <a:noFill/>
                          </a:ln>
                        </wps:spPr>
                        <wps:txbx>
                          <w:txbxContent>
                            <w:p>
                              <w:pPr>
                                <w:spacing w:before="118"/>
                                <w:ind w:left="326" w:right="0" w:firstLine="0"/>
                                <w:jc w:val="left"/>
                                <w:rPr>
                                  <w:sz w:val="18"/>
                                </w:rPr>
                              </w:pPr>
                              <w:r>
                                <w:rPr>
                                  <w:sz w:val="18"/>
                                </w:rPr>
                                <w:t>没有数量、单价</w:t>
                              </w:r>
                            </w:p>
                          </w:txbxContent>
                        </wps:txbx>
                        <wps:bodyPr lIns="0" tIns="0" rIns="0" bIns="0" upright="1"/>
                      </wps:wsp>
                    </wpg:wgp>
                  </a:graphicData>
                </a:graphic>
              </wp:anchor>
            </w:drawing>
          </mc:Choice>
          <mc:Fallback>
            <w:pict>
              <v:group id="组合 70" o:spid="_x0000_s1026" o:spt="203" style="position:absolute;left:0pt;margin-left:199.3pt;margin-top:4.05pt;height:24.75pt;width:88pt;mso-position-horizontal-relative:page;z-index:15759360;mso-width-relative:page;mso-height-relative:page;" coordorigin="3986,82" coordsize="1760,495" o:gfxdata="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HO4nyvYAAAACAEAAA8AAAAAAAAAAQAgAAAAIgAAAGRycy9k&#10;b3ducmV2LnhtbFBLAQIUABQAAAAIAIdO4kBHyMUG5gIAAHMHAAAOAAAAAAAAAAEAIAAAACcBAABk&#10;cnMvZTJvRG9jLnhtbFBLBQYAAAAABgAGAFkBAAB/BgAAAAA=&#10;">
                <o:lock v:ext="edit" aspectratio="f"/>
                <v:shape id="任意多边形 71" o:spid="_x0000_s1026" o:spt="100" style="position:absolute;left:3986;top:81;height:495;width:1760;" fillcolor="#FFFF00" filled="t" stroked="f" coordsize="1760,495" o:gfxdata="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jMcv&#10;wAAAANsAAAAPAAAAAAAAAAEAIAAAACIAAABkcnMvZG93bnJldi54bWxQSwECFAAUAAAACACHTuJA&#10;My8FnjsAAAA5AAAAEAAAAAAAAAABACAAAAAPAQAAZHJzL3NoYXBleG1sLnhtbFBLBQYAAAAABgAG&#10;AFsBAAC5AwAAAAA=&#10;" path="m1760,494l154,494,154,206,0,127,154,81,154,0,1760,0,1760,494xe">
                  <v:fill on="t" focussize="0,0"/>
                  <v:stroke on="f"/>
                  <v:imagedata o:title=""/>
                  <o:lock v:ext="edit" aspectratio="f"/>
                </v:shape>
                <v:shape id="文本框 72" o:spid="_x0000_s1026" o:spt="202" type="#_x0000_t202" style="position:absolute;left:3986;top:81;height:495;width:1760;"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18"/>
                          <w:ind w:left="326" w:right="0" w:firstLine="0"/>
                          <w:jc w:val="left"/>
                          <w:rPr>
                            <w:sz w:val="18"/>
                          </w:rPr>
                        </w:pPr>
                        <w:r>
                          <w:rPr>
                            <w:sz w:val="18"/>
                          </w:rPr>
                          <w:t>没有数量、单价</w:t>
                        </w:r>
                      </w:p>
                    </w:txbxContent>
                  </v:textbox>
                </v:shape>
              </v:group>
            </w:pict>
          </mc:Fallback>
        </mc:AlternateContent>
      </w:r>
      <w:r>
        <w:rPr>
          <w:sz w:val="20"/>
        </w:rPr>
        <w:t>金额；</w:t>
      </w:r>
    </w:p>
    <w:p>
      <w:pPr>
        <w:pStyle w:val="13"/>
        <w:numPr>
          <w:ilvl w:val="0"/>
          <w:numId w:val="29"/>
        </w:numPr>
        <w:tabs>
          <w:tab w:val="left" w:pos="1224"/>
        </w:tabs>
        <w:spacing w:before="70" w:after="0" w:line="240" w:lineRule="auto"/>
        <w:ind w:left="1223" w:right="0" w:hanging="501"/>
        <w:jc w:val="left"/>
        <w:rPr>
          <w:sz w:val="20"/>
        </w:rPr>
      </w:pPr>
      <w:r>
        <w:rPr>
          <w:sz w:val="20"/>
        </w:rPr>
        <w:t>所附原始凭证张数；</w:t>
      </w:r>
    </w:p>
    <w:p>
      <w:pPr>
        <w:pStyle w:val="13"/>
        <w:numPr>
          <w:ilvl w:val="0"/>
          <w:numId w:val="29"/>
        </w:numPr>
        <w:tabs>
          <w:tab w:val="left" w:pos="1224"/>
        </w:tabs>
        <w:spacing w:before="70" w:after="0" w:line="304" w:lineRule="auto"/>
        <w:ind w:left="322" w:right="662" w:firstLine="400"/>
        <w:jc w:val="left"/>
        <w:rPr>
          <w:sz w:val="20"/>
        </w:rPr>
      </w:pPr>
      <w:r>
        <w:rPr>
          <w:w w:val="95"/>
          <w:sz w:val="20"/>
        </w:rPr>
        <w:t>填制凭证人员、稽核人员（非审计人员</w:t>
      </w:r>
      <w:r>
        <w:rPr>
          <w:spacing w:val="-99"/>
          <w:w w:val="95"/>
          <w:sz w:val="20"/>
        </w:rPr>
        <w:t>）</w:t>
      </w:r>
      <w:r>
        <w:rPr>
          <w:w w:val="95"/>
          <w:sz w:val="20"/>
        </w:rPr>
        <w:t xml:space="preserve">、记账人员、会计机构负责人、会计主管人员签名或者盖章。   </w:t>
      </w:r>
      <w:r>
        <w:rPr>
          <w:sz w:val="20"/>
        </w:rPr>
        <w:t>收款和付款凭证还应当由出纳人员签名或者盖章。</w:t>
      </w:r>
    </w:p>
    <w:p>
      <w:pPr>
        <w:pStyle w:val="5"/>
        <w:spacing w:before="2"/>
      </w:pPr>
      <w:r>
        <w:t>3.记账凭证的填制要求</w:t>
      </w:r>
    </w:p>
    <w:p>
      <w:pPr>
        <w:pStyle w:val="6"/>
        <w:spacing w:before="68"/>
      </w:pPr>
      <w:r>
        <w:t>记账凭证根据</w:t>
      </w:r>
      <w:r>
        <w:rPr>
          <w:color w:val="FF0000"/>
          <w:u w:val="double" w:color="FF0000"/>
        </w:rPr>
        <w:t>审核无误的原始凭证或原始凭证汇总表</w:t>
      </w:r>
      <w:r>
        <w:t>填制。</w:t>
      </w:r>
    </w:p>
    <w:p>
      <w:pPr>
        <w:pStyle w:val="6"/>
      </w:pPr>
      <w:r>
        <w:t>（1）记账凭证填制的基本要求</w:t>
      </w:r>
    </w:p>
    <w:p>
      <w:pPr>
        <w:pStyle w:val="6"/>
        <w:spacing w:line="304" w:lineRule="auto"/>
        <w:ind w:left="322" w:right="721" w:firstLine="400"/>
        <w:jc w:val="both"/>
      </w:pPr>
      <w:r>
        <w:rPr>
          <w:w w:val="95"/>
        </w:rPr>
        <w:t>①除</w:t>
      </w:r>
      <w:r>
        <w:rPr>
          <w:color w:val="FF0000"/>
          <w:w w:val="95"/>
          <w:u w:val="double" w:color="FF0000"/>
        </w:rPr>
        <w:t>结账和更正错账可以不附原始凭证</w:t>
      </w:r>
      <w:r>
        <w:rPr>
          <w:w w:val="95"/>
        </w:rPr>
        <w:t xml:space="preserve">外，其他记账凭证必须附原始凭证，并在记账凭证上注明原始凭证的   </w:t>
      </w:r>
      <w:r>
        <w:rPr>
          <w:spacing w:val="-8"/>
          <w:w w:val="95"/>
        </w:rPr>
        <w:t>张数，</w:t>
      </w:r>
      <w:r>
        <w:rPr>
          <w:color w:val="FF0000"/>
          <w:spacing w:val="-2"/>
          <w:w w:val="95"/>
          <w:u w:val="double" w:color="FF0000"/>
        </w:rPr>
        <w:t xml:space="preserve">如一张原始凭证需要填制两张记账凭证，应在未附原始凭证的记账凭证上注明其原始凭证已经附在某张记账 </w:t>
      </w:r>
      <w:r>
        <w:rPr>
          <w:color w:val="FF0000"/>
          <w:spacing w:val="-2"/>
          <w:u w:val="double" w:color="FF0000"/>
        </w:rPr>
        <w:t>凭证后，以便查阅</w:t>
      </w:r>
      <w:r>
        <w:rPr>
          <w:spacing w:val="-2"/>
        </w:rPr>
        <w:t>。</w:t>
      </w:r>
      <w:r>
        <w:rPr>
          <w:color w:val="FF0000"/>
          <w:spacing w:val="-2"/>
          <w:u w:val="double" w:color="FF0000"/>
        </w:rPr>
        <w:t>如一张原始凭证所列支出需要几个单位共同负担的，需要开具原始凭证分割单</w:t>
      </w:r>
      <w:r>
        <w:rPr>
          <w:spacing w:val="-2"/>
        </w:rPr>
        <w:t>。</w:t>
      </w:r>
    </w:p>
    <w:p>
      <w:pPr>
        <w:pStyle w:val="6"/>
        <w:spacing w:before="3" w:line="302" w:lineRule="auto"/>
        <w:ind w:left="322" w:right="779" w:firstLine="400"/>
      </w:pPr>
      <w:r>
        <w:rPr>
          <w:w w:val="95"/>
        </w:rPr>
        <w:t>②记账凭证可根据</w:t>
      </w:r>
      <w:r>
        <w:rPr>
          <w:color w:val="FF0000"/>
          <w:w w:val="95"/>
          <w:u w:val="double" w:color="FF0000"/>
        </w:rPr>
        <w:t>每一张原始凭证</w:t>
      </w:r>
      <w:r>
        <w:rPr>
          <w:w w:val="95"/>
        </w:rPr>
        <w:t>填制，或根据</w:t>
      </w:r>
      <w:r>
        <w:rPr>
          <w:color w:val="FF0000"/>
          <w:w w:val="95"/>
          <w:u w:val="double" w:color="FF0000"/>
        </w:rPr>
        <w:t>若干张同类原始凭证汇总</w:t>
      </w:r>
      <w:r>
        <w:rPr>
          <w:w w:val="95"/>
        </w:rPr>
        <w:t>填制，也可以根据</w:t>
      </w:r>
      <w:r>
        <w:rPr>
          <w:color w:val="FF0000"/>
          <w:w w:val="95"/>
          <w:u w:val="double" w:color="FF0000"/>
        </w:rPr>
        <w:t xml:space="preserve">原始凭证汇总表  </w:t>
      </w:r>
      <w:r>
        <w:t>填制；但不得将不同内容和类别的原始凭证汇总填制在一张记账凭证上。</w:t>
      </w:r>
    </w:p>
    <w:p>
      <w:pPr>
        <w:pStyle w:val="6"/>
        <w:spacing w:before="5" w:line="304" w:lineRule="auto"/>
        <w:ind w:left="322" w:right="722" w:firstLine="400"/>
      </w:pPr>
      <w:r>
        <w:rPr>
          <w:spacing w:val="-4"/>
          <w:w w:val="95"/>
        </w:rPr>
        <w:t xml:space="preserve">③记账凭证应连续编号。凭证应由主管该项业务的会计人员，按业务发生的顺序并按不同种类的记账凭证采   </w:t>
      </w:r>
      <w:r>
        <w:rPr>
          <w:spacing w:val="-4"/>
        </w:rPr>
        <w:t>用“</w:t>
      </w:r>
      <w:r>
        <w:rPr>
          <w:color w:val="FF0000"/>
          <w:spacing w:val="-4"/>
          <w:u w:val="double" w:color="FF0000"/>
        </w:rPr>
        <w:t>字号编号法</w:t>
      </w:r>
      <w:r>
        <w:rPr>
          <w:spacing w:val="-9"/>
        </w:rPr>
        <w:t xml:space="preserve">”连续编号如银收字 </w:t>
      </w:r>
      <w:r>
        <w:t>1</w:t>
      </w:r>
      <w:r>
        <w:rPr>
          <w:spacing w:val="-16"/>
        </w:rPr>
        <w:t xml:space="preserve"> 号，现收字 </w:t>
      </w:r>
      <w:r>
        <w:t>2</w:t>
      </w:r>
      <w:r>
        <w:rPr>
          <w:spacing w:val="-18"/>
        </w:rPr>
        <w:t xml:space="preserve"> 号，转字 </w:t>
      </w:r>
      <w:r>
        <w:t>10</w:t>
      </w:r>
      <w:r>
        <w:rPr>
          <w:spacing w:val="-18"/>
        </w:rPr>
        <w:t xml:space="preserve"> 号。</w:t>
      </w:r>
    </w:p>
    <w:p>
      <w:pPr>
        <w:pStyle w:val="6"/>
        <w:spacing w:before="2"/>
      </w:pPr>
      <w:r>
        <w:t>如果一笔经济业务需要填制两张以上（含两张）记账凭证的，可以采用“分数编号法”编号。如表示，第三</w:t>
      </w:r>
    </w:p>
    <w:p>
      <w:pPr>
        <w:spacing w:after="0"/>
        <w:sectPr>
          <w:pgSz w:w="11910" w:h="16160"/>
          <w:pgMar w:top="1680" w:right="360" w:bottom="860" w:left="760" w:header="0" w:footer="584" w:gutter="0"/>
        </w:sectPr>
      </w:pPr>
    </w:p>
    <w:p>
      <w:pPr>
        <w:spacing w:before="9" w:line="384" w:lineRule="exact"/>
        <w:ind w:left="322" w:right="0" w:firstLine="0"/>
        <w:jc w:val="left"/>
        <w:rPr>
          <w:rFonts w:ascii="Times New Roman" w:eastAsia="Times New Roman"/>
          <w:sz w:val="24"/>
        </w:rPr>
      </w:pPr>
      <w:r>
        <mc:AlternateContent>
          <mc:Choice Requires="wps">
            <w:drawing>
              <wp:anchor distT="0" distB="0" distL="114300" distR="114300" simplePos="0" relativeHeight="482394112" behindDoc="1" locked="0" layoutInCell="1" allowOverlap="1">
                <wp:simplePos x="0" y="0"/>
                <wp:positionH relativeFrom="page">
                  <wp:posOffset>3221355</wp:posOffset>
                </wp:positionH>
                <wp:positionV relativeFrom="paragraph">
                  <wp:posOffset>204470</wp:posOffset>
                </wp:positionV>
                <wp:extent cx="82550" cy="0"/>
                <wp:effectExtent l="0" t="0" r="0" b="0"/>
                <wp:wrapNone/>
                <wp:docPr id="244" name="直线 73"/>
                <wp:cNvGraphicFramePr/>
                <a:graphic xmlns:a="http://schemas.openxmlformats.org/drawingml/2006/main">
                  <a:graphicData uri="http://schemas.microsoft.com/office/word/2010/wordprocessingShape">
                    <wps:wsp>
                      <wps:cNvCnPr/>
                      <wps:spPr>
                        <a:xfrm>
                          <a:off x="0" y="0"/>
                          <a:ext cx="82550" cy="0"/>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直线 73" o:spid="_x0000_s1026" o:spt="20" style="position:absolute;left:0pt;margin-left:253.65pt;margin-top:16.1pt;height:0pt;width:6.5pt;mso-position-horizontal-relative:page;z-index:-20922368;mso-width-relative:page;mso-height-relative:page;" filled="f" stroked="t" coordsize="21600,21600" o:gfxdata="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M2NWl1AAAAAkBAAAPAAAAAAAAAAEAIAAAACIAAABkcnMv&#10;ZG93bnJldi54bWxQSwECFAAUAAAACACHTuJAhDlJuc4BAACOAwAADgAAAAAAAAABACAAAAAjAQAA&#10;ZHJzL2Uyb0RvYy54bWxQSwUGAAAAAAYABgBZAQAAYwUAAAAA&#10;">
                <v:fill on="f" focussize="0,0"/>
                <v:stroke weight="0.5pt" color="#000000" joinstyle="round"/>
                <v:imagedata o:title=""/>
                <o:lock v:ext="edit" aspectratio="f"/>
              </v:line>
            </w:pict>
          </mc:Fallback>
        </mc:AlternateContent>
      </w:r>
      <w:r>
        <mc:AlternateContent>
          <mc:Choice Requires="wps">
            <w:drawing>
              <wp:anchor distT="0" distB="0" distL="114300" distR="114300" simplePos="0" relativeHeight="482395136" behindDoc="1" locked="0" layoutInCell="1" allowOverlap="1">
                <wp:simplePos x="0" y="0"/>
                <wp:positionH relativeFrom="page">
                  <wp:posOffset>3512185</wp:posOffset>
                </wp:positionH>
                <wp:positionV relativeFrom="paragraph">
                  <wp:posOffset>204470</wp:posOffset>
                </wp:positionV>
                <wp:extent cx="91440" cy="0"/>
                <wp:effectExtent l="0" t="0" r="0" b="0"/>
                <wp:wrapNone/>
                <wp:docPr id="246" name="直线 74"/>
                <wp:cNvGraphicFramePr/>
                <a:graphic xmlns:a="http://schemas.openxmlformats.org/drawingml/2006/main">
                  <a:graphicData uri="http://schemas.microsoft.com/office/word/2010/wordprocessingShape">
                    <wps:wsp>
                      <wps:cNvCnPr/>
                      <wps:spPr>
                        <a:xfrm>
                          <a:off x="0" y="0"/>
                          <a:ext cx="91440" cy="0"/>
                        </a:xfrm>
                        <a:prstGeom prst="line">
                          <a:avLst/>
                        </a:prstGeom>
                        <a:ln w="6337" cap="flat" cmpd="sng">
                          <a:solidFill>
                            <a:srgbClr val="000000"/>
                          </a:solidFill>
                          <a:prstDash val="solid"/>
                          <a:headEnd type="none" w="med" len="med"/>
                          <a:tailEnd type="none" w="med" len="med"/>
                        </a:ln>
                      </wps:spPr>
                      <wps:bodyPr upright="1"/>
                    </wps:wsp>
                  </a:graphicData>
                </a:graphic>
              </wp:anchor>
            </w:drawing>
          </mc:Choice>
          <mc:Fallback>
            <w:pict>
              <v:line id="直线 74" o:spid="_x0000_s1026" o:spt="20" style="position:absolute;left:0pt;margin-left:276.55pt;margin-top:16.1pt;height:0pt;width:7.2pt;mso-position-horizontal-relative:page;z-index:-20921344;mso-width-relative:page;mso-height-relative:page;" filled="f" stroked="t" coordsize="21600,21600" o:gfxdata="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&#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TvKzf1gAAAAkBAAAPAAAAAAAAAAEAIAAAACIAAABk&#10;cnMvZG93bnJldi54bWxQSwECFAAUAAAACACHTuJA2Czqjs8BAACOAwAADgAAAAAAAAABACAAAAAl&#10;AQAAZHJzL2Uyb0RvYy54bWxQSwUGAAAAAAYABgBZAQAAZgUAAAAA&#10;">
                <v:fill on="f" focussize="0,0"/>
                <v:stroke weight="0.498976377952756pt" color="#000000" joinstyle="round"/>
                <v:imagedata o:title=""/>
                <o:lock v:ext="edit" aspectratio="f"/>
              </v:line>
            </w:pict>
          </mc:Fallback>
        </mc:AlternateContent>
      </w:r>
      <w:r>
        <w:rPr>
          <w:spacing w:val="-4"/>
          <w:sz w:val="20"/>
        </w:rPr>
        <w:t xml:space="preserve">笔业务需要填制三张记账凭证，编号分别为 </w:t>
      </w:r>
      <w:r>
        <w:rPr>
          <w:rFonts w:ascii="Times New Roman" w:eastAsia="Times New Roman"/>
          <w:sz w:val="24"/>
        </w:rPr>
        <w:t>4</w:t>
      </w:r>
      <w:r>
        <w:rPr>
          <w:rFonts w:ascii="Times New Roman" w:eastAsia="Times New Roman"/>
          <w:spacing w:val="-22"/>
          <w:sz w:val="24"/>
        </w:rPr>
        <w:t xml:space="preserve"> </w:t>
      </w:r>
      <w:r>
        <w:rPr>
          <w:rFonts w:ascii="Times New Roman" w:eastAsia="Times New Roman"/>
          <w:position w:val="15"/>
          <w:sz w:val="24"/>
        </w:rPr>
        <w:t>1</w:t>
      </w:r>
      <w:r>
        <w:rPr>
          <w:rFonts w:ascii="Times New Roman" w:eastAsia="Times New Roman"/>
          <w:spacing w:val="27"/>
          <w:position w:val="15"/>
          <w:sz w:val="24"/>
        </w:rPr>
        <w:t xml:space="preserve">  </w:t>
      </w:r>
      <w:r>
        <w:rPr>
          <w:rFonts w:ascii="Times New Roman" w:eastAsia="Times New Roman"/>
          <w:sz w:val="24"/>
        </w:rPr>
        <w:t>4</w:t>
      </w:r>
      <w:r>
        <w:rPr>
          <w:rFonts w:ascii="Times New Roman" w:eastAsia="Times New Roman"/>
          <w:spacing w:val="-12"/>
          <w:sz w:val="24"/>
        </w:rPr>
        <w:t xml:space="preserve"> </w:t>
      </w:r>
      <w:r>
        <w:rPr>
          <w:rFonts w:ascii="Times New Roman" w:eastAsia="Times New Roman"/>
          <w:spacing w:val="-13"/>
          <w:position w:val="15"/>
          <w:sz w:val="24"/>
        </w:rPr>
        <w:t>2</w:t>
      </w:r>
    </w:p>
    <w:p>
      <w:pPr>
        <w:tabs>
          <w:tab w:val="left" w:pos="464"/>
        </w:tabs>
        <w:spacing w:before="0" w:line="229" w:lineRule="exact"/>
        <w:ind w:left="0" w:right="0" w:firstLine="0"/>
        <w:jc w:val="right"/>
        <w:rPr>
          <w:rFonts w:ascii="Times New Roman"/>
          <w:sz w:val="24"/>
        </w:rPr>
      </w:pPr>
      <w:r>
        <w:rPr>
          <w:rFonts w:ascii="Times New Roman"/>
          <w:sz w:val="24"/>
        </w:rPr>
        <w:t>3</w:t>
      </w:r>
      <w:r>
        <w:rPr>
          <w:rFonts w:ascii="Times New Roman"/>
          <w:sz w:val="24"/>
        </w:rPr>
        <w:tab/>
      </w:r>
      <w:r>
        <w:rPr>
          <w:rFonts w:ascii="Times New Roman"/>
          <w:w w:val="95"/>
          <w:sz w:val="24"/>
        </w:rPr>
        <w:t>3</w:t>
      </w:r>
    </w:p>
    <w:p>
      <w:pPr>
        <w:spacing w:before="9" w:line="384" w:lineRule="exact"/>
        <w:ind w:left="116" w:right="5127" w:firstLine="0"/>
        <w:jc w:val="center"/>
        <w:rPr>
          <w:sz w:val="20"/>
        </w:rPr>
      </w:pPr>
      <w:r>
        <w:br w:type="column"/>
      </w:r>
      <w:r>
        <w:rPr>
          <w:rFonts w:ascii="Times New Roman" w:eastAsia="Times New Roman"/>
          <w:sz w:val="24"/>
        </w:rPr>
        <w:t xml:space="preserve">4 </w:t>
      </w:r>
      <w:r>
        <w:rPr>
          <w:rFonts w:ascii="Times New Roman" w:eastAsia="Times New Roman"/>
          <w:position w:val="15"/>
          <w:sz w:val="24"/>
        </w:rPr>
        <w:t xml:space="preserve">3 </w:t>
      </w:r>
      <w:r>
        <w:rPr>
          <w:sz w:val="20"/>
        </w:rPr>
        <w:t>。</w:t>
      </w:r>
    </w:p>
    <w:p>
      <w:pPr>
        <w:spacing w:before="0" w:line="229" w:lineRule="exact"/>
        <w:ind w:left="0" w:right="5090" w:firstLine="0"/>
        <w:jc w:val="center"/>
        <w:rPr>
          <w:rFonts w:ascii="Times New Roman"/>
          <w:sz w:val="24"/>
        </w:rPr>
      </w:pPr>
      <w:r>
        <mc:AlternateContent>
          <mc:Choice Requires="wps">
            <w:drawing>
              <wp:anchor distT="0" distB="0" distL="114300" distR="114300" simplePos="0" relativeHeight="482395136" behindDoc="1" locked="0" layoutInCell="1" allowOverlap="1">
                <wp:simplePos x="0" y="0"/>
                <wp:positionH relativeFrom="page">
                  <wp:posOffset>3817620</wp:posOffset>
                </wp:positionH>
                <wp:positionV relativeFrom="paragraph">
                  <wp:posOffset>-44450</wp:posOffset>
                </wp:positionV>
                <wp:extent cx="82550" cy="0"/>
                <wp:effectExtent l="0" t="0" r="0" b="0"/>
                <wp:wrapNone/>
                <wp:docPr id="245" name="直线 75"/>
                <wp:cNvGraphicFramePr/>
                <a:graphic xmlns:a="http://schemas.openxmlformats.org/drawingml/2006/main">
                  <a:graphicData uri="http://schemas.microsoft.com/office/word/2010/wordprocessingShape">
                    <wps:wsp>
                      <wps:cNvCnPr/>
                      <wps:spPr>
                        <a:xfrm>
                          <a:off x="0" y="0"/>
                          <a:ext cx="82550" cy="0"/>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直线 75" o:spid="_x0000_s1026" o:spt="20" style="position:absolute;left:0pt;margin-left:300.6pt;margin-top:-3.5pt;height:0pt;width:6.5pt;mso-position-horizontal-relative:page;z-index:-20921344;mso-width-relative:page;mso-height-relative:page;" filled="f" stroked="t" coordsize="21600,21600" o:gfxdata="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mjjeD1AAAAAkBAAAPAAAAAAAAAAEAIAAAACIAAABkcnMv&#10;ZG93bnJldi54bWxQSwECFAAUAAAACACHTuJAgpkkkc4BAACOAwAADgAAAAAAAAABACAAAAAjAQAA&#10;ZHJzL2Uyb0RvYy54bWxQSwUGAAAAAAYABgBZAQAAYwUAAAAA&#10;">
                <v:fill on="f" focussize="0,0"/>
                <v:stroke weight="0.5pt" color="#000000" joinstyle="round"/>
                <v:imagedata o:title=""/>
                <o:lock v:ext="edit" aspectratio="f"/>
              </v:line>
            </w:pict>
          </mc:Fallback>
        </mc:AlternateContent>
      </w:r>
      <w:r>
        <w:rPr>
          <w:rFonts w:ascii="Times New Roman"/>
          <w:w w:val="99"/>
          <w:sz w:val="24"/>
        </w:rPr>
        <w:t>3</w:t>
      </w:r>
    </w:p>
    <w:p>
      <w:pPr>
        <w:spacing w:after="0" w:line="229" w:lineRule="exact"/>
        <w:jc w:val="center"/>
        <w:rPr>
          <w:rFonts w:ascii="Times New Roman"/>
          <w:sz w:val="24"/>
        </w:rPr>
        <w:sectPr>
          <w:type w:val="continuous"/>
          <w:pgSz w:w="11910" w:h="16160"/>
          <w:pgMar w:top="1680" w:right="360" w:bottom="280" w:left="760" w:header="720" w:footer="720" w:gutter="0"/>
          <w:cols w:equalWidth="0" w:num="2">
            <w:col w:w="4907" w:space="40"/>
            <w:col w:w="5843"/>
          </w:cols>
        </w:sectPr>
      </w:pPr>
    </w:p>
    <w:p>
      <w:pPr>
        <w:pStyle w:val="6"/>
        <w:spacing w:before="72"/>
        <w:ind w:left="716"/>
      </w:pPr>
      <w:r>
        <w:rPr>
          <w:color w:val="FF0000"/>
          <w:spacing w:val="-1"/>
          <w:w w:val="95"/>
          <w:u w:val="double" w:color="FF0000"/>
        </w:rPr>
        <w:t>反映付款业务的记账凭证不得由出纳人员编号</w:t>
      </w:r>
      <w:r>
        <w:rPr>
          <w:w w:val="95"/>
        </w:rPr>
        <w:t>。</w:t>
      </w:r>
    </w:p>
    <w:p>
      <w:pPr>
        <w:pStyle w:val="6"/>
      </w:pPr>
      <w:r>
        <w:rPr>
          <w:spacing w:val="-1"/>
          <w:w w:val="95"/>
        </w:rPr>
        <w:t>④</w:t>
      </w:r>
      <w:r>
        <w:rPr>
          <w:color w:val="FF0000"/>
          <w:spacing w:val="-1"/>
          <w:w w:val="95"/>
          <w:u w:val="double" w:color="FF0000"/>
        </w:rPr>
        <w:t>填制记账凭证时若发生错误，应当重新填制</w:t>
      </w:r>
      <w:r>
        <w:rPr>
          <w:w w:val="95"/>
        </w:rPr>
        <w:t>；</w:t>
      </w:r>
    </w:p>
    <w:p>
      <w:pPr>
        <w:pStyle w:val="6"/>
        <w:spacing w:before="68" w:line="304" w:lineRule="auto"/>
        <w:ind w:left="716" w:right="1274"/>
      </w:pPr>
      <w:r>
        <w:rPr>
          <w:color w:val="FF0000"/>
          <w:w w:val="95"/>
          <w:u w:val="double" w:color="FF0000"/>
        </w:rPr>
        <w:t>a.已登记入账的记账凭证在年内发现错误时，应采用划线更正法、红字更正法和补充登记法进行更正</w:t>
      </w:r>
      <w:r>
        <w:rPr>
          <w:w w:val="95"/>
        </w:rPr>
        <w:t>。</w:t>
      </w:r>
      <w:r>
        <w:rPr>
          <w:color w:val="FF0000"/>
          <w:w w:val="95"/>
          <w:u w:val="double" w:color="FF0000"/>
        </w:rPr>
        <w:t xml:space="preserve"> </w:t>
      </w:r>
      <w:r>
        <w:rPr>
          <w:color w:val="FF0000"/>
          <w:u w:val="double" w:color="FF0000"/>
        </w:rPr>
        <w:t>b.发现以前年度记账凭证有错误时，应用蓝字填制一张更正的记账凭证</w:t>
      </w:r>
      <w:r>
        <w:t>。</w:t>
      </w:r>
    </w:p>
    <w:p>
      <w:pPr>
        <w:pStyle w:val="6"/>
        <w:spacing w:before="2"/>
      </w:pPr>
      <w:r>
        <w:t>⑤记账凭证填制完成后，如有空行，应当自金额栏最后一笔金额数字下的空行处至合计数上的空行处划线注</w:t>
      </w:r>
    </w:p>
    <w:p>
      <w:pPr>
        <w:pStyle w:val="6"/>
        <w:ind w:left="322"/>
      </w:pPr>
      <w:r>
        <w:t>销。</w:t>
      </w:r>
    </w:p>
    <w:p>
      <w:pPr>
        <w:pStyle w:val="6"/>
      </w:pPr>
      <w:r>
        <mc:AlternateContent>
          <mc:Choice Requires="wps">
            <w:drawing>
              <wp:anchor distT="0" distB="0" distL="114300" distR="114300" simplePos="0" relativeHeight="15761408" behindDoc="0" locked="0" layoutInCell="1" allowOverlap="1">
                <wp:simplePos x="0" y="0"/>
                <wp:positionH relativeFrom="page">
                  <wp:posOffset>1068705</wp:posOffset>
                </wp:positionH>
                <wp:positionV relativeFrom="paragraph">
                  <wp:posOffset>182880</wp:posOffset>
                </wp:positionV>
                <wp:extent cx="251460" cy="5715"/>
                <wp:effectExtent l="0" t="0" r="0" b="0"/>
                <wp:wrapNone/>
                <wp:docPr id="60" name="任意多边形 7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76" o:spid="_x0000_s1026" o:spt="100" style="position:absolute;left:0pt;margin-left:84.15pt;margin-top:14.4pt;height:0.45pt;width:19.8pt;mso-position-horizontal-relative:page;z-index:15761408;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pzTz&#10;2QAAAAkBAAAPAAAAAAAAAAEAIAAAACIAAABkcnMvZG93bnJldi54bWxQSwECFAAUAAAACACHTuJA&#10;GBgA5ZICAABVBwAADgAAAAAAAAABACAAAAAo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w:t>
      </w:r>
      <w:r>
        <w:rPr>
          <w:color w:val="FF0000"/>
          <w:u w:val="double" w:color="FF0000"/>
        </w:rPr>
        <w:t>（1）自制原始凭证填制错误，应加盖作废戳记，妥善保管，不得撕毁</w:t>
      </w:r>
      <w:r>
        <w:t>。</w:t>
      </w:r>
    </w:p>
    <w:p>
      <w:pPr>
        <w:pStyle w:val="6"/>
        <w:spacing w:line="302" w:lineRule="auto"/>
        <w:ind w:right="2464" w:firstLine="799"/>
        <w:rPr>
          <w:b/>
        </w:rPr>
      </w:pPr>
      <w:r>
        <w:rPr>
          <w:w w:val="95"/>
        </w:rPr>
        <w:t>（2）</w:t>
      </w:r>
      <w:r>
        <w:rPr>
          <w:color w:val="FF0000"/>
          <w:w w:val="95"/>
          <w:u w:val="double" w:color="FF0000"/>
        </w:rPr>
        <w:t>外来</w:t>
      </w:r>
      <w:r>
        <w:rPr>
          <w:w w:val="95"/>
        </w:rPr>
        <w:t>原始凭证有错误，应</w:t>
      </w:r>
      <w:r>
        <w:rPr>
          <w:color w:val="FF0000"/>
          <w:w w:val="95"/>
          <w:u w:val="double" w:color="FF0000"/>
        </w:rPr>
        <w:t>退回更正或重开</w:t>
      </w:r>
      <w:r>
        <w:rPr>
          <w:w w:val="95"/>
        </w:rPr>
        <w:t>，</w:t>
      </w:r>
      <w:r>
        <w:rPr>
          <w:color w:val="FF0000"/>
          <w:w w:val="95"/>
          <w:u w:val="double" w:color="FF0000"/>
        </w:rPr>
        <w:t>金额错误只能重开不得更正。</w:t>
      </w:r>
      <w:r>
        <w:rPr>
          <w:w w:val="95"/>
        </w:rPr>
        <w:t xml:space="preserve"> </w:t>
      </w:r>
      <w:r>
        <w:rPr>
          <w:b/>
        </w:rPr>
        <w:t>4.记账凭证的审核</w:t>
      </w:r>
    </w:p>
    <w:p>
      <w:pPr>
        <w:pStyle w:val="6"/>
        <w:spacing w:before="5"/>
      </w:pPr>
      <w:r>
        <w:t>为了保证会计信息的质量，在记账之前应由有关稽核人员对记账凭证进行严格的审核，审核的内容主要包括：</w:t>
      </w:r>
    </w:p>
    <w:p>
      <w:pPr>
        <w:pStyle w:val="6"/>
      </w:pPr>
      <w:r>
        <w:t>①记账凭证是否有原始凭证为依据，所附原始凭证或记账凭证汇总表的内容与记账凭证的内容是否一致；</w:t>
      </w:r>
    </w:p>
    <w:p>
      <w:pPr>
        <w:pStyle w:val="6"/>
      </w:pPr>
      <w:r>
        <w:t>②记账凭证各项目的填写是否齐全，如日期、凭证编号、摘要、会计科目、金额、所附原始凭证张数及有关</w:t>
      </w:r>
    </w:p>
    <w:p>
      <w:pPr>
        <w:pStyle w:val="6"/>
        <w:spacing w:before="71"/>
        <w:ind w:left="322"/>
      </w:pPr>
      <w:r>
        <w:t>人员签章等；</w:t>
      </w:r>
    </w:p>
    <w:p>
      <w:pPr>
        <w:pStyle w:val="6"/>
        <w:spacing w:line="302" w:lineRule="auto"/>
        <w:ind w:left="322" w:right="722" w:firstLine="400"/>
      </w:pPr>
      <w:r>
        <w:rPr>
          <w:spacing w:val="-6"/>
          <w:w w:val="95"/>
        </w:rPr>
        <w:t xml:space="preserve">③记账凭证的应借、应贷科目以及对应关系是否正确；记账凭证所记录的金额与原始凭证的有关金额是否一   </w:t>
      </w:r>
      <w:r>
        <w:rPr>
          <w:spacing w:val="-6"/>
        </w:rPr>
        <w:t>致，计算是否正确；</w:t>
      </w:r>
    </w:p>
    <w:p>
      <w:pPr>
        <w:spacing w:after="0" w:line="302" w:lineRule="auto"/>
        <w:sectPr>
          <w:type w:val="continuous"/>
          <w:pgSz w:w="11910" w:h="16160"/>
          <w:pgMar w:top="1680" w:right="360" w:bottom="280" w:left="760" w:header="720" w:footer="720" w:gutter="0"/>
        </w:sectPr>
      </w:pPr>
    </w:p>
    <w:p>
      <w:pPr>
        <w:pStyle w:val="6"/>
        <w:spacing w:before="11"/>
        <w:ind w:left="0"/>
        <w:rPr>
          <w:sz w:val="13"/>
        </w:rPr>
      </w:pPr>
    </w:p>
    <w:p>
      <w:pPr>
        <w:pStyle w:val="6"/>
        <w:spacing w:before="71"/>
      </w:pPr>
      <w:r>
        <w:t>④记账凭证中的记录是否文字工整、数字清晰，是否按规定进行更正等；</w:t>
      </w:r>
    </w:p>
    <w:p>
      <w:pPr>
        <w:pStyle w:val="6"/>
      </w:pPr>
      <w:r>
        <w:t>⑤出纳人员在办理收款或付款业务后，应在原始凭证上加盖“收讫”或“付讫”的戳记，以免重收重付。</w:t>
      </w:r>
    </w:p>
    <w:p>
      <w:pPr>
        <w:pStyle w:val="5"/>
      </w:pPr>
      <w:r>
        <w:t>（四）会计凭证的保管</w:t>
      </w:r>
    </w:p>
    <w:p>
      <w:pPr>
        <w:pStyle w:val="5"/>
        <w:spacing w:line="304" w:lineRule="auto"/>
        <w:ind w:left="322" w:right="722" w:firstLine="400"/>
        <w:rPr>
          <w:b w:val="0"/>
        </w:rPr>
      </w:pPr>
      <w:r>
        <w:rPr>
          <w:b w:val="0"/>
          <w:w w:val="95"/>
        </w:rPr>
        <w:t>会计凭证的保</w:t>
      </w:r>
      <w:r>
        <w:rPr>
          <w:color w:val="00AFEF"/>
          <w:spacing w:val="-6"/>
          <w:w w:val="95"/>
          <w:u w:val="single" w:color="00AFEF"/>
        </w:rPr>
        <w:t xml:space="preserve">管是指会计凭证记账后的整理、装订、归档和存查工作。会计凭证作为记账的依据，是重要的   </w:t>
      </w:r>
      <w:r>
        <w:rPr>
          <w:color w:val="00AFEF"/>
          <w:spacing w:val="-6"/>
          <w:u w:val="single" w:color="00AFEF"/>
        </w:rPr>
        <w:t>会计档案和经济资料</w:t>
      </w:r>
      <w:r>
        <w:rPr>
          <w:b w:val="0"/>
          <w:spacing w:val="-6"/>
        </w:rPr>
        <w:t>。</w:t>
      </w:r>
    </w:p>
    <w:p>
      <w:pPr>
        <w:pStyle w:val="6"/>
        <w:spacing w:before="0" w:line="304" w:lineRule="auto"/>
        <w:ind w:left="322" w:right="654" w:firstLine="400"/>
      </w:pPr>
      <w:r>
        <w:t>任何单位在完成经济业务手续和记账后，必须将会计凭证按规定的立卷归档制度形成会计档案资料，妥善保管，防止丢失，不得任意销毁，以便日后随时查阅。</w:t>
      </w:r>
    </w:p>
    <w:p>
      <w:pPr>
        <w:spacing w:before="0" w:line="223" w:lineRule="exact"/>
        <w:ind w:left="742" w:right="0" w:firstLine="0"/>
        <w:jc w:val="left"/>
        <w:rPr>
          <w:b/>
          <w:sz w:val="21"/>
        </w:rPr>
      </w:pPr>
      <w:bookmarkStart w:id="23" w:name="二、会计账簿"/>
      <w:bookmarkEnd w:id="23"/>
      <w:r>
        <w:rPr>
          <w:b/>
          <w:sz w:val="21"/>
          <w:shd w:val="clear" w:color="auto" w:fill="C0C0C0"/>
        </w:rPr>
        <w:t>二、会计账簿</w:t>
      </w:r>
    </w:p>
    <w:p>
      <w:pPr>
        <w:spacing w:before="91" w:line="304" w:lineRule="auto"/>
        <w:ind w:left="322" w:right="725" w:firstLine="400"/>
        <w:jc w:val="left"/>
        <w:rPr>
          <w:b/>
          <w:sz w:val="20"/>
        </w:rPr>
      </w:pPr>
      <w:r>
        <w:rPr>
          <w:w w:val="95"/>
          <w:sz w:val="20"/>
        </w:rPr>
        <w:t>会计账簿是指由</w:t>
      </w:r>
      <w:r>
        <w:rPr>
          <w:color w:val="FF0000"/>
          <w:w w:val="95"/>
          <w:sz w:val="20"/>
          <w:u w:val="double" w:color="FF0000"/>
        </w:rPr>
        <w:t>一定格式</w:t>
      </w:r>
      <w:r>
        <w:rPr>
          <w:spacing w:val="-1"/>
          <w:w w:val="95"/>
          <w:sz w:val="20"/>
        </w:rPr>
        <w:t>的账页组成的，以</w:t>
      </w:r>
      <w:r>
        <w:rPr>
          <w:color w:val="FF0000"/>
          <w:w w:val="95"/>
          <w:sz w:val="20"/>
          <w:u w:val="double" w:color="FF0000"/>
        </w:rPr>
        <w:t>经过审核的会计凭证</w:t>
      </w:r>
      <w:r>
        <w:rPr>
          <w:spacing w:val="-1"/>
          <w:w w:val="95"/>
          <w:sz w:val="20"/>
        </w:rPr>
        <w:t>为依据，</w:t>
      </w:r>
      <w:r>
        <w:rPr>
          <w:b/>
          <w:color w:val="00AFEF"/>
          <w:spacing w:val="-1"/>
          <w:w w:val="95"/>
          <w:sz w:val="20"/>
          <w:u w:val="single" w:color="00AFEF"/>
        </w:rPr>
        <w:t xml:space="preserve">全面、系统、连续地记录各项经济   </w:t>
      </w:r>
      <w:r>
        <w:rPr>
          <w:b/>
          <w:color w:val="00AFEF"/>
          <w:spacing w:val="-1"/>
          <w:sz w:val="20"/>
          <w:u w:val="single" w:color="00AFEF"/>
        </w:rPr>
        <w:t>业务的簿籍。</w:t>
      </w:r>
    </w:p>
    <w:p>
      <w:pPr>
        <w:pStyle w:val="6"/>
        <w:spacing w:before="2" w:line="304" w:lineRule="auto"/>
        <w:ind w:left="322" w:right="720" w:firstLine="400"/>
      </w:pPr>
      <w:r>
        <w:rPr>
          <w:spacing w:val="-3"/>
          <w:w w:val="95"/>
        </w:rPr>
        <w:t>设置和登记账簿，既是填制和审核会计凭证的延伸，也是</w:t>
      </w:r>
      <w:r>
        <w:rPr>
          <w:color w:val="FF0000"/>
          <w:w w:val="95"/>
          <w:u w:val="double" w:color="FF0000"/>
        </w:rPr>
        <w:t>编制财务报表</w:t>
      </w:r>
      <w:r>
        <w:rPr>
          <w:spacing w:val="-2"/>
          <w:w w:val="95"/>
        </w:rPr>
        <w:t xml:space="preserve">的基础，是连接会计凭证和财务报表   </w:t>
      </w:r>
      <w:r>
        <w:rPr>
          <w:spacing w:val="-2"/>
        </w:rPr>
        <w:t>的</w:t>
      </w:r>
      <w:r>
        <w:rPr>
          <w:color w:val="FF0000"/>
          <w:spacing w:val="-2"/>
          <w:u w:val="double" w:color="FF0000"/>
        </w:rPr>
        <w:t>中间环节</w:t>
      </w:r>
      <w:r>
        <w:rPr>
          <w:spacing w:val="-2"/>
        </w:rPr>
        <w:t>。</w:t>
      </w:r>
    </w:p>
    <w:p>
      <w:pPr>
        <w:pStyle w:val="5"/>
        <w:numPr>
          <w:ilvl w:val="0"/>
          <w:numId w:val="30"/>
        </w:numPr>
        <w:tabs>
          <w:tab w:val="left" w:pos="925"/>
        </w:tabs>
        <w:spacing w:before="0" w:after="0" w:line="256" w:lineRule="exact"/>
        <w:ind w:left="924" w:right="0" w:hanging="202"/>
        <w:jc w:val="left"/>
      </w:pPr>
      <w:r>
        <w:t>会计账簿的基本内容</w:t>
      </w:r>
    </w:p>
    <w:p>
      <w:pPr>
        <w:pStyle w:val="6"/>
        <w:spacing w:line="304" w:lineRule="auto"/>
        <w:ind w:left="322" w:right="722" w:firstLine="400"/>
      </w:pPr>
      <w:r>
        <w:rPr>
          <w:spacing w:val="-5"/>
          <w:w w:val="95"/>
        </w:rPr>
        <w:t>在实际工作中，由于各种会计账簿所记录的经济业务不同，账簿的格式也多种多样，但各种账簿都应具备以</w:t>
      </w:r>
      <w:r>
        <w:rPr>
          <w:spacing w:val="1"/>
          <w:w w:val="99"/>
        </w:rPr>
        <w:t>下基</w:t>
      </w:r>
      <w:r>
        <w:rPr>
          <w:spacing w:val="-25"/>
          <w:w w:val="99"/>
        </w:rPr>
        <w:t>本内容：</w:t>
      </w:r>
      <w:r>
        <w:rPr>
          <w:color w:val="FF0000"/>
          <w:spacing w:val="-1"/>
          <w:w w:val="97"/>
          <w:u w:val="double" w:color="FF0000"/>
        </w:rPr>
        <w:t>（</w:t>
      </w:r>
      <w:r>
        <w:rPr>
          <w:color w:val="FF0000"/>
          <w:w w:val="97"/>
          <w:u w:val="double" w:color="FF0000"/>
        </w:rPr>
        <w:t>1</w:t>
      </w:r>
      <w:r>
        <w:rPr>
          <w:color w:val="FF0000"/>
          <w:spacing w:val="1"/>
          <w:w w:val="97"/>
          <w:u w:val="double" w:color="FF0000"/>
        </w:rPr>
        <w:t>）</w:t>
      </w:r>
      <w:r>
        <w:rPr>
          <w:color w:val="FF0000"/>
          <w:spacing w:val="-33"/>
          <w:w w:val="97"/>
          <w:u w:val="double" w:color="FF0000"/>
        </w:rPr>
        <w:t>封面；</w:t>
      </w:r>
      <w:r>
        <w:rPr>
          <w:color w:val="FF0000"/>
          <w:spacing w:val="1"/>
          <w:w w:val="97"/>
          <w:u w:val="double" w:color="FF0000"/>
        </w:rPr>
        <w:t>（</w:t>
      </w:r>
      <w:r>
        <w:rPr>
          <w:color w:val="FF0000"/>
          <w:w w:val="97"/>
          <w:u w:val="double" w:color="FF0000"/>
        </w:rPr>
        <w:t>2</w:t>
      </w:r>
      <w:r>
        <w:rPr>
          <w:color w:val="FF0000"/>
          <w:spacing w:val="1"/>
          <w:w w:val="97"/>
          <w:u w:val="double" w:color="FF0000"/>
        </w:rPr>
        <w:t>）</w:t>
      </w:r>
      <w:r>
        <w:rPr>
          <w:color w:val="FF0000"/>
          <w:spacing w:val="-33"/>
          <w:w w:val="97"/>
          <w:u w:val="double" w:color="FF0000"/>
        </w:rPr>
        <w:t>扉页；</w:t>
      </w:r>
      <w:r>
        <w:rPr>
          <w:color w:val="FF0000"/>
          <w:spacing w:val="1"/>
          <w:w w:val="97"/>
          <w:u w:val="double" w:color="FF0000"/>
        </w:rPr>
        <w:t>（</w:t>
      </w:r>
      <w:r>
        <w:rPr>
          <w:color w:val="FF0000"/>
          <w:spacing w:val="-2"/>
          <w:w w:val="97"/>
          <w:u w:val="double" w:color="FF0000"/>
        </w:rPr>
        <w:t>3</w:t>
      </w:r>
      <w:r>
        <w:rPr>
          <w:color w:val="FF0000"/>
          <w:spacing w:val="1"/>
          <w:w w:val="97"/>
          <w:u w:val="double" w:color="FF0000"/>
        </w:rPr>
        <w:t>）</w:t>
      </w:r>
      <w:r>
        <w:rPr>
          <w:color w:val="FF0000"/>
          <w:spacing w:val="-1"/>
          <w:w w:val="97"/>
          <w:u w:val="double" w:color="FF0000"/>
        </w:rPr>
        <w:t>账页。</w:t>
      </w:r>
    </w:p>
    <w:p>
      <w:pPr>
        <w:pStyle w:val="6"/>
        <w:spacing w:before="2" w:line="304" w:lineRule="auto"/>
        <w:ind w:left="322" w:right="621"/>
      </w:pPr>
      <w:r>
        <mc:AlternateContent>
          <mc:Choice Requires="wps">
            <w:drawing>
              <wp:anchor distT="0" distB="0" distL="114300" distR="114300" simplePos="0" relativeHeight="15763456" behindDoc="0" locked="0" layoutInCell="1" allowOverlap="1">
                <wp:simplePos x="0" y="0"/>
                <wp:positionH relativeFrom="page">
                  <wp:posOffset>1065530</wp:posOffset>
                </wp:positionH>
                <wp:positionV relativeFrom="paragraph">
                  <wp:posOffset>370840</wp:posOffset>
                </wp:positionV>
                <wp:extent cx="5431790" cy="646430"/>
                <wp:effectExtent l="0" t="0" r="0" b="0"/>
                <wp:wrapNone/>
                <wp:docPr id="69" name="文本框 77"/>
                <wp:cNvGraphicFramePr/>
                <a:graphic xmlns:a="http://schemas.openxmlformats.org/drawingml/2006/main">
                  <a:graphicData uri="http://schemas.microsoft.com/office/word/2010/wordprocessingShape">
                    <wps:wsp>
                      <wps:cNvSpPr txBox="1"/>
                      <wps:spPr>
                        <a:xfrm>
                          <a:off x="0" y="0"/>
                          <a:ext cx="5431790" cy="64643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7"/>
                              <w:gridCol w:w="949"/>
                              <w:gridCol w:w="949"/>
                              <w:gridCol w:w="949"/>
                              <w:gridCol w:w="949"/>
                              <w:gridCol w:w="949"/>
                              <w:gridCol w:w="949"/>
                              <w:gridCol w:w="949"/>
                              <w:gridCol w:w="9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96" w:type="dxa"/>
                                  <w:gridSpan w:val="2"/>
                                </w:tcPr>
                                <w:p>
                                  <w:pPr>
                                    <w:pStyle w:val="14"/>
                                    <w:spacing w:before="69" w:line="236" w:lineRule="exact"/>
                                    <w:ind w:left="10"/>
                                    <w:jc w:val="center"/>
                                    <w:rPr>
                                      <w:sz w:val="20"/>
                                    </w:rPr>
                                  </w:pPr>
                                  <w:r>
                                    <w:rPr>
                                      <w:w w:val="99"/>
                                      <w:sz w:val="20"/>
                                    </w:rPr>
                                    <w:t>年</w:t>
                                  </w:r>
                                </w:p>
                              </w:tc>
                              <w:tc>
                                <w:tcPr>
                                  <w:tcW w:w="1898" w:type="dxa"/>
                                  <w:gridSpan w:val="2"/>
                                </w:tcPr>
                                <w:p>
                                  <w:pPr>
                                    <w:pStyle w:val="14"/>
                                    <w:spacing w:before="69" w:line="236" w:lineRule="exact"/>
                                    <w:ind w:left="727" w:right="721"/>
                                    <w:jc w:val="center"/>
                                    <w:rPr>
                                      <w:sz w:val="20"/>
                                    </w:rPr>
                                  </w:pPr>
                                  <w:r>
                                    <w:rPr>
                                      <w:sz w:val="20"/>
                                    </w:rPr>
                                    <w:t>凭证</w:t>
                                  </w:r>
                                </w:p>
                              </w:tc>
                              <w:tc>
                                <w:tcPr>
                                  <w:tcW w:w="949" w:type="dxa"/>
                                  <w:vMerge w:val="restart"/>
                                </w:tcPr>
                                <w:p>
                                  <w:pPr>
                                    <w:pStyle w:val="14"/>
                                    <w:spacing w:before="7"/>
                                    <w:rPr>
                                      <w:sz w:val="18"/>
                                    </w:rPr>
                                  </w:pPr>
                                </w:p>
                                <w:p>
                                  <w:pPr>
                                    <w:pStyle w:val="14"/>
                                    <w:ind w:left="273"/>
                                    <w:rPr>
                                      <w:sz w:val="20"/>
                                    </w:rPr>
                                  </w:pPr>
                                  <w:r>
                                    <w:rPr>
                                      <w:sz w:val="20"/>
                                    </w:rPr>
                                    <w:t>摘要</w:t>
                                  </w:r>
                                </w:p>
                              </w:tc>
                              <w:tc>
                                <w:tcPr>
                                  <w:tcW w:w="949" w:type="dxa"/>
                                  <w:vMerge w:val="restart"/>
                                </w:tcPr>
                                <w:p>
                                  <w:pPr>
                                    <w:pStyle w:val="14"/>
                                    <w:spacing w:before="7"/>
                                    <w:rPr>
                                      <w:sz w:val="18"/>
                                    </w:rPr>
                                  </w:pPr>
                                </w:p>
                                <w:p>
                                  <w:pPr>
                                    <w:pStyle w:val="14"/>
                                    <w:ind w:left="274"/>
                                    <w:rPr>
                                      <w:sz w:val="20"/>
                                    </w:rPr>
                                  </w:pPr>
                                  <w:r>
                                    <w:rPr>
                                      <w:sz w:val="20"/>
                                    </w:rPr>
                                    <w:t>借方</w:t>
                                  </w:r>
                                </w:p>
                              </w:tc>
                              <w:tc>
                                <w:tcPr>
                                  <w:tcW w:w="949" w:type="dxa"/>
                                  <w:vMerge w:val="restart"/>
                                </w:tcPr>
                                <w:p>
                                  <w:pPr>
                                    <w:pStyle w:val="14"/>
                                    <w:spacing w:before="7"/>
                                    <w:rPr>
                                      <w:sz w:val="18"/>
                                    </w:rPr>
                                  </w:pPr>
                                </w:p>
                                <w:p>
                                  <w:pPr>
                                    <w:pStyle w:val="14"/>
                                    <w:ind w:left="273"/>
                                    <w:rPr>
                                      <w:sz w:val="20"/>
                                    </w:rPr>
                                  </w:pPr>
                                  <w:r>
                                    <w:rPr>
                                      <w:sz w:val="20"/>
                                    </w:rPr>
                                    <w:t>贷方</w:t>
                                  </w:r>
                                </w:p>
                              </w:tc>
                              <w:tc>
                                <w:tcPr>
                                  <w:tcW w:w="949" w:type="dxa"/>
                                  <w:vMerge w:val="restart"/>
                                </w:tcPr>
                                <w:p>
                                  <w:pPr>
                                    <w:pStyle w:val="14"/>
                                    <w:spacing w:before="7"/>
                                    <w:rPr>
                                      <w:sz w:val="18"/>
                                    </w:rPr>
                                  </w:pPr>
                                </w:p>
                                <w:p>
                                  <w:pPr>
                                    <w:pStyle w:val="14"/>
                                    <w:ind w:left="174"/>
                                    <w:rPr>
                                      <w:sz w:val="20"/>
                                    </w:rPr>
                                  </w:pPr>
                                  <w:r>
                                    <w:rPr>
                                      <w:sz w:val="20"/>
                                    </w:rPr>
                                    <w:t>借或贷</w:t>
                                  </w:r>
                                </w:p>
                              </w:tc>
                              <w:tc>
                                <w:tcPr>
                                  <w:tcW w:w="949" w:type="dxa"/>
                                  <w:vMerge w:val="restart"/>
                                </w:tcPr>
                                <w:p>
                                  <w:pPr>
                                    <w:pStyle w:val="14"/>
                                    <w:spacing w:before="7"/>
                                    <w:rPr>
                                      <w:sz w:val="18"/>
                                    </w:rPr>
                                  </w:pPr>
                                </w:p>
                                <w:p>
                                  <w:pPr>
                                    <w:pStyle w:val="14"/>
                                    <w:ind w:left="273"/>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7" w:type="dxa"/>
                                </w:tcPr>
                                <w:p>
                                  <w:pPr>
                                    <w:pStyle w:val="14"/>
                                    <w:spacing w:before="70" w:line="236" w:lineRule="exact"/>
                                    <w:ind w:left="9"/>
                                    <w:jc w:val="center"/>
                                    <w:rPr>
                                      <w:sz w:val="20"/>
                                    </w:rPr>
                                  </w:pPr>
                                  <w:r>
                                    <w:rPr>
                                      <w:w w:val="99"/>
                                      <w:sz w:val="20"/>
                                    </w:rPr>
                                    <w:t>月</w:t>
                                  </w:r>
                                </w:p>
                              </w:tc>
                              <w:tc>
                                <w:tcPr>
                                  <w:tcW w:w="949" w:type="dxa"/>
                                </w:tcPr>
                                <w:p>
                                  <w:pPr>
                                    <w:pStyle w:val="14"/>
                                    <w:spacing w:before="70" w:line="236" w:lineRule="exact"/>
                                    <w:ind w:left="9"/>
                                    <w:jc w:val="center"/>
                                    <w:rPr>
                                      <w:sz w:val="20"/>
                                    </w:rPr>
                                  </w:pPr>
                                  <w:r>
                                    <w:rPr>
                                      <w:w w:val="99"/>
                                      <w:sz w:val="20"/>
                                    </w:rPr>
                                    <w:t>日</w:t>
                                  </w:r>
                                </w:p>
                              </w:tc>
                              <w:tc>
                                <w:tcPr>
                                  <w:tcW w:w="949" w:type="dxa"/>
                                </w:tcPr>
                                <w:p>
                                  <w:pPr>
                                    <w:pStyle w:val="14"/>
                                    <w:spacing w:before="70" w:line="236" w:lineRule="exact"/>
                                    <w:ind w:left="272"/>
                                    <w:rPr>
                                      <w:sz w:val="20"/>
                                    </w:rPr>
                                  </w:pPr>
                                  <w:r>
                                    <w:rPr>
                                      <w:sz w:val="20"/>
                                    </w:rPr>
                                    <w:t>种类</w:t>
                                  </w:r>
                                </w:p>
                              </w:tc>
                              <w:tc>
                                <w:tcPr>
                                  <w:tcW w:w="949" w:type="dxa"/>
                                </w:tcPr>
                                <w:p>
                                  <w:pPr>
                                    <w:pStyle w:val="14"/>
                                    <w:spacing w:before="70" w:line="236" w:lineRule="exact"/>
                                    <w:ind w:left="274"/>
                                    <w:rPr>
                                      <w:sz w:val="20"/>
                                    </w:rPr>
                                  </w:pPr>
                                  <w:r>
                                    <w:rPr>
                                      <w:sz w:val="20"/>
                                    </w:rPr>
                                    <w:t>号数</w:t>
                                  </w: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7"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r>
                          </w:tbl>
                          <w:p>
                            <w:pPr>
                              <w:pStyle w:val="6"/>
                              <w:spacing w:before="0"/>
                              <w:ind w:left="0"/>
                            </w:pPr>
                          </w:p>
                        </w:txbxContent>
                      </wps:txbx>
                      <wps:bodyPr lIns="0" tIns="0" rIns="0" bIns="0" upright="1"/>
                    </wps:wsp>
                  </a:graphicData>
                </a:graphic>
              </wp:anchor>
            </w:drawing>
          </mc:Choice>
          <mc:Fallback>
            <w:pict>
              <v:shape id="文本框 77" o:spid="_x0000_s1026" o:spt="202" type="#_x0000_t202" style="position:absolute;left:0pt;margin-left:83.9pt;margin-top:29.2pt;height:50.9pt;width:427.7pt;mso-position-horizontal-relative:page;z-index:15763456;mso-width-relative:page;mso-height-relative:page;" filled="f" stroked="f" coordsize="21600,21600" o:gfxdata="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E8yRD3YAAAACwEAAA8AAAAA&#10;AAAAAQAgAAAAIgAAAGRycy9kb3ducmV2LnhtbFBLAQIUABQAAAAIAIdO4kALtrmgogEAACYDAAAO&#10;AAAAAAAAAAEAIAAAACcBAABkcnMvZTJvRG9jLnhtbFBLBQYAAAAABgAGAFkBAAA7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7"/>
                        <w:gridCol w:w="949"/>
                        <w:gridCol w:w="949"/>
                        <w:gridCol w:w="949"/>
                        <w:gridCol w:w="949"/>
                        <w:gridCol w:w="949"/>
                        <w:gridCol w:w="949"/>
                        <w:gridCol w:w="949"/>
                        <w:gridCol w:w="9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96" w:type="dxa"/>
                            <w:gridSpan w:val="2"/>
                          </w:tcPr>
                          <w:p>
                            <w:pPr>
                              <w:pStyle w:val="14"/>
                              <w:spacing w:before="69" w:line="236" w:lineRule="exact"/>
                              <w:ind w:left="10"/>
                              <w:jc w:val="center"/>
                              <w:rPr>
                                <w:sz w:val="20"/>
                              </w:rPr>
                            </w:pPr>
                            <w:r>
                              <w:rPr>
                                <w:w w:val="99"/>
                                <w:sz w:val="20"/>
                              </w:rPr>
                              <w:t>年</w:t>
                            </w:r>
                          </w:p>
                        </w:tc>
                        <w:tc>
                          <w:tcPr>
                            <w:tcW w:w="1898" w:type="dxa"/>
                            <w:gridSpan w:val="2"/>
                          </w:tcPr>
                          <w:p>
                            <w:pPr>
                              <w:pStyle w:val="14"/>
                              <w:spacing w:before="69" w:line="236" w:lineRule="exact"/>
                              <w:ind w:left="727" w:right="721"/>
                              <w:jc w:val="center"/>
                              <w:rPr>
                                <w:sz w:val="20"/>
                              </w:rPr>
                            </w:pPr>
                            <w:r>
                              <w:rPr>
                                <w:sz w:val="20"/>
                              </w:rPr>
                              <w:t>凭证</w:t>
                            </w:r>
                          </w:p>
                        </w:tc>
                        <w:tc>
                          <w:tcPr>
                            <w:tcW w:w="949" w:type="dxa"/>
                            <w:vMerge w:val="restart"/>
                          </w:tcPr>
                          <w:p>
                            <w:pPr>
                              <w:pStyle w:val="14"/>
                              <w:spacing w:before="7"/>
                              <w:rPr>
                                <w:sz w:val="18"/>
                              </w:rPr>
                            </w:pPr>
                          </w:p>
                          <w:p>
                            <w:pPr>
                              <w:pStyle w:val="14"/>
                              <w:ind w:left="273"/>
                              <w:rPr>
                                <w:sz w:val="20"/>
                              </w:rPr>
                            </w:pPr>
                            <w:r>
                              <w:rPr>
                                <w:sz w:val="20"/>
                              </w:rPr>
                              <w:t>摘要</w:t>
                            </w:r>
                          </w:p>
                        </w:tc>
                        <w:tc>
                          <w:tcPr>
                            <w:tcW w:w="949" w:type="dxa"/>
                            <w:vMerge w:val="restart"/>
                          </w:tcPr>
                          <w:p>
                            <w:pPr>
                              <w:pStyle w:val="14"/>
                              <w:spacing w:before="7"/>
                              <w:rPr>
                                <w:sz w:val="18"/>
                              </w:rPr>
                            </w:pPr>
                          </w:p>
                          <w:p>
                            <w:pPr>
                              <w:pStyle w:val="14"/>
                              <w:ind w:left="274"/>
                              <w:rPr>
                                <w:sz w:val="20"/>
                              </w:rPr>
                            </w:pPr>
                            <w:r>
                              <w:rPr>
                                <w:sz w:val="20"/>
                              </w:rPr>
                              <w:t>借方</w:t>
                            </w:r>
                          </w:p>
                        </w:tc>
                        <w:tc>
                          <w:tcPr>
                            <w:tcW w:w="949" w:type="dxa"/>
                            <w:vMerge w:val="restart"/>
                          </w:tcPr>
                          <w:p>
                            <w:pPr>
                              <w:pStyle w:val="14"/>
                              <w:spacing w:before="7"/>
                              <w:rPr>
                                <w:sz w:val="18"/>
                              </w:rPr>
                            </w:pPr>
                          </w:p>
                          <w:p>
                            <w:pPr>
                              <w:pStyle w:val="14"/>
                              <w:ind w:left="273"/>
                              <w:rPr>
                                <w:sz w:val="20"/>
                              </w:rPr>
                            </w:pPr>
                            <w:r>
                              <w:rPr>
                                <w:sz w:val="20"/>
                              </w:rPr>
                              <w:t>贷方</w:t>
                            </w:r>
                          </w:p>
                        </w:tc>
                        <w:tc>
                          <w:tcPr>
                            <w:tcW w:w="949" w:type="dxa"/>
                            <w:vMerge w:val="restart"/>
                          </w:tcPr>
                          <w:p>
                            <w:pPr>
                              <w:pStyle w:val="14"/>
                              <w:spacing w:before="7"/>
                              <w:rPr>
                                <w:sz w:val="18"/>
                              </w:rPr>
                            </w:pPr>
                          </w:p>
                          <w:p>
                            <w:pPr>
                              <w:pStyle w:val="14"/>
                              <w:ind w:left="174"/>
                              <w:rPr>
                                <w:sz w:val="20"/>
                              </w:rPr>
                            </w:pPr>
                            <w:r>
                              <w:rPr>
                                <w:sz w:val="20"/>
                              </w:rPr>
                              <w:t>借或贷</w:t>
                            </w:r>
                          </w:p>
                        </w:tc>
                        <w:tc>
                          <w:tcPr>
                            <w:tcW w:w="949" w:type="dxa"/>
                            <w:vMerge w:val="restart"/>
                          </w:tcPr>
                          <w:p>
                            <w:pPr>
                              <w:pStyle w:val="14"/>
                              <w:spacing w:before="7"/>
                              <w:rPr>
                                <w:sz w:val="18"/>
                              </w:rPr>
                            </w:pPr>
                          </w:p>
                          <w:p>
                            <w:pPr>
                              <w:pStyle w:val="14"/>
                              <w:ind w:left="273"/>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7" w:type="dxa"/>
                          </w:tcPr>
                          <w:p>
                            <w:pPr>
                              <w:pStyle w:val="14"/>
                              <w:spacing w:before="70" w:line="236" w:lineRule="exact"/>
                              <w:ind w:left="9"/>
                              <w:jc w:val="center"/>
                              <w:rPr>
                                <w:sz w:val="20"/>
                              </w:rPr>
                            </w:pPr>
                            <w:r>
                              <w:rPr>
                                <w:w w:val="99"/>
                                <w:sz w:val="20"/>
                              </w:rPr>
                              <w:t>月</w:t>
                            </w:r>
                          </w:p>
                        </w:tc>
                        <w:tc>
                          <w:tcPr>
                            <w:tcW w:w="949" w:type="dxa"/>
                          </w:tcPr>
                          <w:p>
                            <w:pPr>
                              <w:pStyle w:val="14"/>
                              <w:spacing w:before="70" w:line="236" w:lineRule="exact"/>
                              <w:ind w:left="9"/>
                              <w:jc w:val="center"/>
                              <w:rPr>
                                <w:sz w:val="20"/>
                              </w:rPr>
                            </w:pPr>
                            <w:r>
                              <w:rPr>
                                <w:w w:val="99"/>
                                <w:sz w:val="20"/>
                              </w:rPr>
                              <w:t>日</w:t>
                            </w:r>
                          </w:p>
                        </w:tc>
                        <w:tc>
                          <w:tcPr>
                            <w:tcW w:w="949" w:type="dxa"/>
                          </w:tcPr>
                          <w:p>
                            <w:pPr>
                              <w:pStyle w:val="14"/>
                              <w:spacing w:before="70" w:line="236" w:lineRule="exact"/>
                              <w:ind w:left="272"/>
                              <w:rPr>
                                <w:sz w:val="20"/>
                              </w:rPr>
                            </w:pPr>
                            <w:r>
                              <w:rPr>
                                <w:sz w:val="20"/>
                              </w:rPr>
                              <w:t>种类</w:t>
                            </w:r>
                          </w:p>
                        </w:tc>
                        <w:tc>
                          <w:tcPr>
                            <w:tcW w:w="949" w:type="dxa"/>
                          </w:tcPr>
                          <w:p>
                            <w:pPr>
                              <w:pStyle w:val="14"/>
                              <w:spacing w:before="70" w:line="236" w:lineRule="exact"/>
                              <w:ind w:left="274"/>
                              <w:rPr>
                                <w:sz w:val="20"/>
                              </w:rPr>
                            </w:pPr>
                            <w:r>
                              <w:rPr>
                                <w:sz w:val="20"/>
                              </w:rPr>
                              <w:t>号数</w:t>
                            </w: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c>
                          <w:tcPr>
                            <w:tcW w:w="94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7"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c>
                          <w:tcPr>
                            <w:tcW w:w="949" w:type="dxa"/>
                          </w:tcPr>
                          <w:p>
                            <w:pPr>
                              <w:pStyle w:val="14"/>
                              <w:rPr>
                                <w:rFonts w:ascii="Times New Roman"/>
                                <w:sz w:val="18"/>
                              </w:rPr>
                            </w:pPr>
                          </w:p>
                        </w:tc>
                      </w:tr>
                    </w:tbl>
                    <w:p>
                      <w:pPr>
                        <w:pStyle w:val="6"/>
                        <w:spacing w:before="0"/>
                        <w:ind w:left="0"/>
                      </w:pPr>
                    </w:p>
                  </w:txbxContent>
                </v:textbox>
              </v:shape>
            </w:pict>
          </mc:Fallback>
        </mc:AlternateContent>
      </w:r>
      <w:r>
        <w:rPr>
          <w:spacing w:val="-3"/>
          <w:w w:val="99"/>
        </w:rPr>
        <w:t>【提示】账户的结构</w:t>
      </w:r>
      <w:r>
        <w:rPr>
          <w:spacing w:val="-118"/>
          <w:w w:val="99"/>
        </w:rPr>
        <w:t>：</w:t>
      </w:r>
      <w:r>
        <w:rPr>
          <w:w w:val="99"/>
        </w:rPr>
        <w:t>（</w:t>
      </w:r>
      <w:r>
        <w:rPr>
          <w:spacing w:val="1"/>
          <w:w w:val="99"/>
        </w:rPr>
        <w:t>1</w:t>
      </w:r>
      <w:r>
        <w:rPr>
          <w:spacing w:val="-17"/>
          <w:w w:val="99"/>
        </w:rPr>
        <w:t>）</w:t>
      </w:r>
      <w:r>
        <w:rPr>
          <w:spacing w:val="-4"/>
          <w:w w:val="99"/>
        </w:rPr>
        <w:t>账户名称，即会计科目</w:t>
      </w:r>
      <w:r>
        <w:rPr>
          <w:spacing w:val="-118"/>
          <w:w w:val="99"/>
        </w:rPr>
        <w:t>；</w:t>
      </w:r>
      <w:r>
        <w:rPr>
          <w:w w:val="99"/>
        </w:rPr>
        <w:t>（</w:t>
      </w:r>
      <w:r>
        <w:rPr>
          <w:spacing w:val="1"/>
          <w:w w:val="99"/>
        </w:rPr>
        <w:t>2</w:t>
      </w:r>
      <w:r>
        <w:rPr>
          <w:spacing w:val="-17"/>
          <w:w w:val="99"/>
        </w:rPr>
        <w:t>）</w:t>
      </w:r>
      <w:r>
        <w:rPr>
          <w:spacing w:val="-4"/>
          <w:w w:val="99"/>
        </w:rPr>
        <w:t>日期，即所依据记账凭证中注明的日期</w:t>
      </w:r>
      <w:r>
        <w:rPr>
          <w:spacing w:val="-115"/>
          <w:w w:val="99"/>
        </w:rPr>
        <w:t>；</w:t>
      </w:r>
      <w:r>
        <w:rPr>
          <w:w w:val="99"/>
        </w:rPr>
        <w:t>（</w:t>
      </w:r>
      <w:r>
        <w:rPr>
          <w:spacing w:val="-2"/>
          <w:w w:val="99"/>
        </w:rPr>
        <w:t>3</w:t>
      </w:r>
      <w:r>
        <w:rPr>
          <w:spacing w:val="-15"/>
          <w:w w:val="99"/>
        </w:rPr>
        <w:t>）</w:t>
      </w:r>
      <w:r>
        <w:rPr>
          <w:w w:val="99"/>
        </w:rPr>
        <w:t>凭证字号，</w:t>
      </w:r>
      <w:r>
        <w:rPr>
          <w:spacing w:val="-9"/>
          <w:w w:val="99"/>
        </w:rPr>
        <w:t>即所依据记账凭证的编号；</w:t>
      </w:r>
      <w:r>
        <w:rPr>
          <w:w w:val="99"/>
        </w:rPr>
        <w:t>（</w:t>
      </w:r>
      <w:r>
        <w:rPr>
          <w:spacing w:val="1"/>
          <w:w w:val="99"/>
        </w:rPr>
        <w:t>4</w:t>
      </w:r>
      <w:r>
        <w:rPr>
          <w:w w:val="99"/>
        </w:rPr>
        <w:t>）</w:t>
      </w:r>
      <w:r>
        <w:rPr>
          <w:spacing w:val="-8"/>
          <w:w w:val="99"/>
        </w:rPr>
        <w:t>摘要，即经济业务的简要说明；</w:t>
      </w:r>
      <w:r>
        <w:rPr>
          <w:w w:val="99"/>
        </w:rPr>
        <w:t>（</w:t>
      </w:r>
      <w:r>
        <w:rPr>
          <w:spacing w:val="1"/>
          <w:w w:val="99"/>
        </w:rPr>
        <w:t>5</w:t>
      </w:r>
      <w:r>
        <w:rPr>
          <w:w w:val="99"/>
        </w:rPr>
        <w:t>）金额，即增加额、减少额和余额。</w:t>
      </w:r>
    </w:p>
    <w:p>
      <w:pPr>
        <w:pStyle w:val="6"/>
        <w:spacing w:before="0"/>
        <w:ind w:left="0"/>
      </w:pPr>
    </w:p>
    <w:p>
      <w:pPr>
        <w:pStyle w:val="6"/>
        <w:spacing w:before="0"/>
        <w:ind w:left="0"/>
      </w:pPr>
    </w:p>
    <w:p>
      <w:pPr>
        <w:pStyle w:val="6"/>
        <w:spacing w:before="0"/>
        <w:ind w:left="0"/>
      </w:pPr>
    </w:p>
    <w:p>
      <w:pPr>
        <w:pStyle w:val="6"/>
        <w:spacing w:before="7"/>
        <w:ind w:left="0"/>
        <w:rPr>
          <w:sz w:val="19"/>
        </w:rPr>
      </w:pPr>
    </w:p>
    <w:p>
      <w:pPr>
        <w:pStyle w:val="5"/>
        <w:numPr>
          <w:ilvl w:val="0"/>
          <w:numId w:val="30"/>
        </w:numPr>
        <w:tabs>
          <w:tab w:val="left" w:pos="925"/>
        </w:tabs>
        <w:spacing w:before="1" w:after="0" w:line="240" w:lineRule="auto"/>
        <w:ind w:left="924" w:right="0" w:hanging="202"/>
        <w:jc w:val="left"/>
      </w:pPr>
      <w:r>
        <w:t>会计账簿的种类</w:t>
      </w:r>
    </w:p>
    <w:p>
      <w:pPr>
        <w:pStyle w:val="13"/>
        <w:numPr>
          <w:ilvl w:val="0"/>
          <w:numId w:val="31"/>
        </w:numPr>
        <w:tabs>
          <w:tab w:val="left" w:pos="1224"/>
        </w:tabs>
        <w:spacing w:before="70" w:after="0" w:line="240" w:lineRule="auto"/>
        <w:ind w:left="1223" w:right="0" w:hanging="501"/>
        <w:jc w:val="left"/>
        <w:rPr>
          <w:sz w:val="18"/>
        </w:rPr>
      </w:pPr>
      <w:r>
        <w:rPr>
          <w:sz w:val="20"/>
        </w:rPr>
        <w:t>按用途分类</w:t>
      </w:r>
    </w:p>
    <w:p>
      <w:pPr>
        <w:pStyle w:val="6"/>
        <w:spacing w:before="68"/>
      </w:pPr>
      <w:r>
        <w:t>①</w:t>
      </w:r>
      <w:r>
        <w:rPr>
          <w:color w:val="FF0000"/>
          <w:u w:val="double" w:color="FF0000"/>
        </w:rPr>
        <w:t>序时账簿</w:t>
      </w:r>
    </w:p>
    <w:p>
      <w:pPr>
        <w:pStyle w:val="6"/>
        <w:spacing w:line="304" w:lineRule="auto"/>
        <w:ind w:left="322" w:right="646" w:firstLine="400"/>
      </w:pPr>
      <w:r>
        <w:rPr>
          <w:w w:val="95"/>
        </w:rPr>
        <w:t>序时账簿，又称日记账，是按照经济业务发生时间的先后顺序</w:t>
      </w:r>
      <w:r>
        <w:rPr>
          <w:color w:val="FF0000"/>
          <w:w w:val="95"/>
          <w:u w:val="double" w:color="FF0000"/>
        </w:rPr>
        <w:t>逐日、逐笔登记</w:t>
      </w:r>
      <w:r>
        <w:rPr>
          <w:w w:val="95"/>
        </w:rPr>
        <w:t xml:space="preserve">的账簿。在我国企业、行政事   </w:t>
      </w:r>
      <w:r>
        <w:t>业单位中，库存现金日记账和银行存款日记账是应用比较广泛的日记账。</w:t>
      </w:r>
    </w:p>
    <w:p>
      <w:pPr>
        <w:pStyle w:val="6"/>
        <w:spacing w:before="2"/>
      </w:pPr>
      <w:r>
        <mc:AlternateContent>
          <mc:Choice Requires="wpg">
            <w:drawing>
              <wp:anchor distT="0" distB="0" distL="114300" distR="114300" simplePos="0" relativeHeight="15762432" behindDoc="0" locked="0" layoutInCell="1" allowOverlap="1">
                <wp:simplePos x="0" y="0"/>
                <wp:positionH relativeFrom="page">
                  <wp:posOffset>1067435</wp:posOffset>
                </wp:positionH>
                <wp:positionV relativeFrom="paragraph">
                  <wp:posOffset>139700</wp:posOffset>
                </wp:positionV>
                <wp:extent cx="496570" cy="18415"/>
                <wp:effectExtent l="0" t="1270" r="17780" b="8890"/>
                <wp:wrapNone/>
                <wp:docPr id="66" name="组合 78"/>
                <wp:cNvGraphicFramePr/>
                <a:graphic xmlns:a="http://schemas.openxmlformats.org/drawingml/2006/main">
                  <a:graphicData uri="http://schemas.microsoft.com/office/word/2010/wordprocessingGroup">
                    <wpg:wgp>
                      <wpg:cNvGrpSpPr/>
                      <wpg:grpSpPr>
                        <a:xfrm>
                          <a:off x="0" y="0"/>
                          <a:ext cx="496570" cy="18415"/>
                          <a:chOff x="1682" y="220"/>
                          <a:chExt cx="782" cy="29"/>
                        </a:xfrm>
                      </wpg:grpSpPr>
                      <wps:wsp>
                        <wps:cNvPr id="62" name="直线 79"/>
                        <wps:cNvCnPr/>
                        <wps:spPr>
                          <a:xfrm>
                            <a:off x="1682" y="225"/>
                            <a:ext cx="782" cy="0"/>
                          </a:xfrm>
                          <a:prstGeom prst="line">
                            <a:avLst/>
                          </a:prstGeom>
                          <a:ln w="6096" cap="flat" cmpd="sng">
                            <a:solidFill>
                              <a:srgbClr val="FF0000"/>
                            </a:solidFill>
                            <a:prstDash val="solid"/>
                            <a:headEnd type="none" w="med" len="med"/>
                            <a:tailEnd type="none" w="med" len="med"/>
                          </a:ln>
                        </wps:spPr>
                        <wps:bodyPr upright="1"/>
                      </wps:wsp>
                      <wps:wsp>
                        <wps:cNvPr id="64" name="直线 80"/>
                        <wps:cNvCnPr/>
                        <wps:spPr>
                          <a:xfrm>
                            <a:off x="1682" y="244"/>
                            <a:ext cx="782"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78" o:spid="_x0000_s1026" o:spt="203" style="position:absolute;left:0pt;margin-left:84.05pt;margin-top:11pt;height:1.45pt;width:39.1pt;mso-position-horizontal-relative:page;z-index:15762432;mso-width-relative:page;mso-height-relative:page;" coordorigin="1682,220" coordsize="782,29" o:gfxdata="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4rylzYAAAACQEAAA8AAAAAAAAAAQAgAAAAIgAAAGRycy9kb3ducmV2LnhtbFBLAQIUABQA&#10;AAAIAIdO4kAdsmWnYgIAALwGAAAOAAAAAAAAAAEAIAAAACcBAABkcnMvZTJvRG9jLnhtbFBLBQYA&#10;AAAABgAGAFkBAAD7BQAAAAA=&#10;">
                <o:lock v:ext="edit" aspectratio="f"/>
                <v:line id="直线 79" o:spid="_x0000_s1026" o:spt="20" style="position:absolute;left:1682;top:225;height:0;width:782;" filled="f" stroked="t" coordsize="21600,21600" o:gfxdata="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Yhie/&#10;AAAA2w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80" o:spid="_x0000_s1026" o:spt="20" style="position:absolute;left:1682;top:244;height:0;width:782;" filled="f" stroked="t" coordsize="21600,21600" o:gfxdata="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PbvIvQAA&#10;ANs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group>
            </w:pict>
          </mc:Fallback>
        </mc:AlternateContent>
      </w:r>
      <w:r>
        <w:t>②</w:t>
      </w:r>
      <w:r>
        <w:rPr>
          <w:color w:val="FF0000"/>
        </w:rPr>
        <w:t>分类账簿</w:t>
      </w:r>
    </w:p>
    <w:p>
      <w:pPr>
        <w:pStyle w:val="6"/>
        <w:spacing w:line="304" w:lineRule="auto"/>
        <w:ind w:left="322" w:right="721" w:firstLine="400"/>
      </w:pPr>
      <w:r>
        <mc:AlternateContent>
          <mc:Choice Requires="wpg">
            <w:drawing>
              <wp:anchor distT="0" distB="0" distL="114300" distR="114300" simplePos="0" relativeHeight="482397184" behindDoc="1" locked="0" layoutInCell="1" allowOverlap="1">
                <wp:simplePos x="0" y="0"/>
                <wp:positionH relativeFrom="page">
                  <wp:posOffset>1576705</wp:posOffset>
                </wp:positionH>
                <wp:positionV relativeFrom="paragraph">
                  <wp:posOffset>182245</wp:posOffset>
                </wp:positionV>
                <wp:extent cx="1859280" cy="18415"/>
                <wp:effectExtent l="0" t="1905" r="7620" b="8255"/>
                <wp:wrapNone/>
                <wp:docPr id="249" name="组合 81"/>
                <wp:cNvGraphicFramePr/>
                <a:graphic xmlns:a="http://schemas.openxmlformats.org/drawingml/2006/main">
                  <a:graphicData uri="http://schemas.microsoft.com/office/word/2010/wordprocessingGroup">
                    <wpg:wgp>
                      <wpg:cNvGrpSpPr/>
                      <wpg:grpSpPr>
                        <a:xfrm>
                          <a:off x="0" y="0"/>
                          <a:ext cx="1859280" cy="18415"/>
                          <a:chOff x="2484" y="288"/>
                          <a:chExt cx="2928" cy="29"/>
                        </a:xfrm>
                      </wpg:grpSpPr>
                      <wps:wsp>
                        <wps:cNvPr id="247" name="直线 82"/>
                        <wps:cNvCnPr/>
                        <wps:spPr>
                          <a:xfrm>
                            <a:off x="2484" y="292"/>
                            <a:ext cx="2928" cy="0"/>
                          </a:xfrm>
                          <a:prstGeom prst="line">
                            <a:avLst/>
                          </a:prstGeom>
                          <a:ln w="6096" cap="flat" cmpd="sng">
                            <a:solidFill>
                              <a:srgbClr val="FF0000"/>
                            </a:solidFill>
                            <a:prstDash val="solid"/>
                            <a:headEnd type="none" w="med" len="med"/>
                            <a:tailEnd type="none" w="med" len="med"/>
                          </a:ln>
                        </wps:spPr>
                        <wps:bodyPr upright="1"/>
                      </wps:wsp>
                      <wps:wsp>
                        <wps:cNvPr id="248" name="直线 83"/>
                        <wps:cNvCnPr/>
                        <wps:spPr>
                          <a:xfrm>
                            <a:off x="2484" y="311"/>
                            <a:ext cx="2928"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81" o:spid="_x0000_s1026" o:spt="203" style="position:absolute;left:0pt;margin-left:124.15pt;margin-top:14.35pt;height:1.45pt;width:146.4pt;mso-position-horizontal-relative:page;z-index:-20919296;mso-width-relative:page;mso-height-relative:page;" coordorigin="2484,288" coordsize="2928,29" o:gfxdata="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tfvmN2gAAAAkBAAAPAAAAAAAAAAEAIAAAACIAAABkcnMvZG93bnJldi54bWxQSwEC&#10;FAAUAAAACACHTuJAhswM3GQCAADDBgAADgAAAAAAAAABACAAAAApAQAAZHJzL2Uyb0RvYy54bWxQ&#10;SwUGAAAAAAYABgBZAQAA/wUAAAAA&#10;">
                <o:lock v:ext="edit" aspectratio="f"/>
                <v:line id="直线 82" o:spid="_x0000_s1026" o:spt="20" style="position:absolute;left:2484;top:292;height:0;width:2928;" filled="f" stroked="t" coordsize="21600,21600" o:gfxdata="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TeW6/&#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83" o:spid="_x0000_s1026" o:spt="20" style="position:absolute;left:2484;top:311;height:0;width:2928;" filled="f" stroked="t" coordsize="21600,21600" o:gfxdata="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ztHLsAAADc&#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group>
            </w:pict>
          </mc:Fallback>
        </mc:AlternateContent>
      </w:r>
      <w:r>
        <w:rPr>
          <w:w w:val="95"/>
        </w:rPr>
        <w:t>分类账簿是</w:t>
      </w:r>
      <w:r>
        <w:rPr>
          <w:color w:val="FF0000"/>
          <w:w w:val="95"/>
        </w:rPr>
        <w:t>按照按照分类账户设置登记的账簿</w:t>
      </w:r>
      <w:r>
        <w:rPr>
          <w:spacing w:val="-8"/>
          <w:w w:val="95"/>
        </w:rPr>
        <w:t>。账簿按其反映</w:t>
      </w:r>
      <w:r>
        <w:rPr>
          <w:color w:val="FF0000"/>
          <w:spacing w:val="-5"/>
          <w:w w:val="95"/>
          <w:u w:val="double" w:color="FF0000"/>
        </w:rPr>
        <w:t xml:space="preserve">经济业务的详略程度，可分为总分类账簿和明细  </w:t>
      </w:r>
      <w:r>
        <w:rPr>
          <w:color w:val="FF0000"/>
          <w:spacing w:val="-5"/>
          <w:u w:val="double" w:color="FF0000"/>
        </w:rPr>
        <w:t>分类账簿</w:t>
      </w:r>
      <w:r>
        <w:rPr>
          <w:spacing w:val="-5"/>
        </w:rPr>
        <w:t>。</w:t>
      </w:r>
    </w:p>
    <w:p>
      <w:pPr>
        <w:pStyle w:val="13"/>
        <w:numPr>
          <w:ilvl w:val="0"/>
          <w:numId w:val="32"/>
        </w:numPr>
        <w:tabs>
          <w:tab w:val="left" w:pos="925"/>
        </w:tabs>
        <w:spacing w:before="0" w:after="0" w:line="256" w:lineRule="exact"/>
        <w:ind w:left="924" w:right="0" w:hanging="202"/>
        <w:jc w:val="left"/>
        <w:rPr>
          <w:sz w:val="20"/>
        </w:rPr>
      </w:pPr>
      <w:r>
        <w:rPr>
          <w:sz w:val="20"/>
        </w:rPr>
        <w:t>总分类账簿，又称总账，是根据</w:t>
      </w:r>
      <w:r>
        <w:rPr>
          <w:color w:val="FF0000"/>
          <w:sz w:val="20"/>
          <w:u w:val="double" w:color="FF0000"/>
        </w:rPr>
        <w:t>总分类账户</w:t>
      </w:r>
      <w:r>
        <w:rPr>
          <w:sz w:val="20"/>
        </w:rPr>
        <w:t>开设的，总括反映某类经济活动；</w:t>
      </w:r>
    </w:p>
    <w:p>
      <w:pPr>
        <w:pStyle w:val="13"/>
        <w:numPr>
          <w:ilvl w:val="0"/>
          <w:numId w:val="32"/>
        </w:numPr>
        <w:tabs>
          <w:tab w:val="left" w:pos="925"/>
        </w:tabs>
        <w:spacing w:before="70" w:after="0" w:line="304" w:lineRule="auto"/>
        <w:ind w:left="322" w:right="726" w:firstLine="400"/>
        <w:jc w:val="left"/>
        <w:rPr>
          <w:sz w:val="20"/>
        </w:rPr>
      </w:pPr>
      <w:r>
        <w:rPr>
          <w:w w:val="95"/>
          <w:sz w:val="20"/>
        </w:rPr>
        <w:t>明细分类账簿，又称明细账，是根据</w:t>
      </w:r>
      <w:r>
        <w:rPr>
          <w:color w:val="FF0000"/>
          <w:spacing w:val="-1"/>
          <w:w w:val="95"/>
          <w:sz w:val="20"/>
          <w:u w:val="double" w:color="FF0000"/>
        </w:rPr>
        <w:t>明细分类账户</w:t>
      </w:r>
      <w:r>
        <w:rPr>
          <w:w w:val="95"/>
          <w:sz w:val="20"/>
        </w:rPr>
        <w:t>开设的，用来提供明细的核算资料。</w:t>
      </w:r>
      <w:r>
        <w:rPr>
          <w:color w:val="FF0000"/>
          <w:w w:val="95"/>
          <w:sz w:val="20"/>
          <w:u w:val="double" w:color="FF0000"/>
        </w:rPr>
        <w:t xml:space="preserve">分类账簿提供的核   </w:t>
      </w:r>
      <w:r>
        <w:rPr>
          <w:color w:val="FF0000"/>
          <w:sz w:val="20"/>
          <w:u w:val="double" w:color="FF0000"/>
        </w:rPr>
        <w:t>算信息是编制会计报表的主要依据。</w:t>
      </w:r>
    </w:p>
    <w:p>
      <w:pPr>
        <w:pStyle w:val="13"/>
        <w:numPr>
          <w:ilvl w:val="0"/>
          <w:numId w:val="32"/>
        </w:numPr>
        <w:tabs>
          <w:tab w:val="left" w:pos="925"/>
        </w:tabs>
        <w:spacing w:before="2" w:after="0" w:line="240" w:lineRule="auto"/>
        <w:ind w:left="924" w:right="0" w:hanging="202"/>
        <w:jc w:val="left"/>
        <w:rPr>
          <w:sz w:val="20"/>
        </w:rPr>
      </w:pPr>
      <w:r>
        <w:rPr>
          <w:color w:val="FF0000"/>
          <w:sz w:val="20"/>
          <w:u w:val="double" w:color="FF0000"/>
        </w:rPr>
        <w:t>备查账簿</w:t>
      </w:r>
    </w:p>
    <w:p>
      <w:pPr>
        <w:pStyle w:val="6"/>
        <w:spacing w:line="304" w:lineRule="auto"/>
        <w:ind w:left="322" w:right="722" w:firstLine="400"/>
      </w:pPr>
      <w:r>
        <w:rPr>
          <w:spacing w:val="-7"/>
          <w:w w:val="95"/>
        </w:rPr>
        <w:t xml:space="preserve">备查账簿，又称辅助登记簿或补充登记簿，是指对某些在序时账簿和分类账簿中未能记载或记载不全的经济   </w:t>
      </w:r>
      <w:r>
        <w:rPr>
          <w:spacing w:val="-7"/>
        </w:rPr>
        <w:t>业务进行补充登记的账簿。</w:t>
      </w:r>
    </w:p>
    <w:p>
      <w:pPr>
        <w:pStyle w:val="6"/>
        <w:spacing w:before="0" w:line="304" w:lineRule="auto"/>
        <w:ind w:left="322" w:right="647" w:firstLine="400"/>
      </w:pPr>
      <w:r>
        <w:rPr>
          <w:w w:val="95"/>
        </w:rPr>
        <w:t xml:space="preserve">备查账簿只是对其他账簿记录的一种补充，与其他账簿之间不存在严密的依存和勾稽关系。备查账簿根据企   </w:t>
      </w:r>
      <w:r>
        <w:t>业的实际需要设置，没有固定的格式要求。</w:t>
      </w:r>
    </w:p>
    <w:p>
      <w:pPr>
        <w:pStyle w:val="6"/>
        <w:spacing w:before="1"/>
      </w:pPr>
      <w:r>
        <mc:AlternateContent>
          <mc:Choice Requires="wps">
            <w:drawing>
              <wp:anchor distT="0" distB="0" distL="114300" distR="114300" simplePos="0" relativeHeight="15763456" behindDoc="0" locked="0" layoutInCell="1" allowOverlap="1">
                <wp:simplePos x="0" y="0"/>
                <wp:positionH relativeFrom="page">
                  <wp:posOffset>1068705</wp:posOffset>
                </wp:positionH>
                <wp:positionV relativeFrom="paragraph">
                  <wp:posOffset>139065</wp:posOffset>
                </wp:positionV>
                <wp:extent cx="251460" cy="5715"/>
                <wp:effectExtent l="0" t="0" r="0" b="0"/>
                <wp:wrapNone/>
                <wp:docPr id="68" name="任意多边形 8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84" o:spid="_x0000_s1026" o:spt="100" style="position:absolute;left:0pt;margin-left:84.15pt;margin-top:10.95pt;height:0.45pt;width:19.8pt;mso-position-horizontal-relative:page;z-index:15763456;mso-width-relative:page;mso-height-relative:page;" filled="f" stroked="t" coordsize="396,9" o:gfxdata="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9xP9L&#10;2AAAAAkBAAAPAAAAAAAAAAEAIAAAACIAAABkcnMvZG93bnJldi54bWxQSwECFAAUAAAACACHTuJA&#10;786dxpMCAABVBwAADgAAAAAAAAABACAAAAAn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w:t>
      </w:r>
      <w:r>
        <w:rPr>
          <w:color w:val="FF0000"/>
          <w:u w:val="double" w:color="FF0000"/>
        </w:rPr>
        <w:t>备查账簿并不是每个单位都要设置，各单位可以根据实际需要自行设置，没有固定的格式要求</w:t>
      </w:r>
      <w:r>
        <w:t>。</w:t>
      </w:r>
    </w:p>
    <w:p>
      <w:pPr>
        <w:pStyle w:val="13"/>
        <w:numPr>
          <w:ilvl w:val="1"/>
          <w:numId w:val="31"/>
        </w:numPr>
        <w:tabs>
          <w:tab w:val="left" w:pos="2024"/>
        </w:tabs>
        <w:spacing w:before="71" w:after="0" w:line="240" w:lineRule="auto"/>
        <w:ind w:left="2024" w:right="0" w:hanging="502"/>
        <w:jc w:val="left"/>
        <w:rPr>
          <w:sz w:val="20"/>
        </w:rPr>
      </w:pPr>
      <w:r>
        <w:rPr>
          <w:color w:val="FF0000"/>
          <w:sz w:val="20"/>
          <w:u w:val="double" w:color="FF0000"/>
        </w:rPr>
        <w:t>如租入固定资产登记簿、代管商品物资登记簿等</w:t>
      </w:r>
      <w:r>
        <w:rPr>
          <w:sz w:val="20"/>
        </w:rPr>
        <w:t>。</w:t>
      </w:r>
    </w:p>
    <w:p>
      <w:pPr>
        <w:spacing w:after="0" w:line="240" w:lineRule="auto"/>
        <w:jc w:val="left"/>
        <w:rPr>
          <w:sz w:val="20"/>
        </w:rPr>
        <w:sectPr>
          <w:pgSz w:w="11910" w:h="16160"/>
          <w:pgMar w:top="1680" w:right="360" w:bottom="860" w:left="760" w:header="0" w:footer="584" w:gutter="0"/>
        </w:sectPr>
      </w:pPr>
    </w:p>
    <w:p>
      <w:pPr>
        <w:pStyle w:val="6"/>
        <w:spacing w:before="11"/>
        <w:ind w:left="0"/>
        <w:rPr>
          <w:sz w:val="13"/>
        </w:rPr>
      </w:pPr>
    </w:p>
    <w:p>
      <w:pPr>
        <w:pStyle w:val="13"/>
        <w:numPr>
          <w:ilvl w:val="1"/>
          <w:numId w:val="31"/>
        </w:numPr>
        <w:tabs>
          <w:tab w:val="left" w:pos="2023"/>
        </w:tabs>
        <w:spacing w:before="71" w:after="0" w:line="240" w:lineRule="auto"/>
        <w:ind w:left="2022" w:right="0" w:hanging="501"/>
        <w:jc w:val="left"/>
        <w:rPr>
          <w:sz w:val="20"/>
        </w:rPr>
      </w:pPr>
      <w:r>
        <w:rPr>
          <w:sz w:val="20"/>
        </w:rPr>
        <w:t>备查账簿只是对其他账簿的一种补充，与其他账簿之间不存在严密的依存和勾稽关系。</w:t>
      </w:r>
    </w:p>
    <w:p>
      <w:pPr>
        <w:pStyle w:val="13"/>
        <w:numPr>
          <w:ilvl w:val="0"/>
          <w:numId w:val="31"/>
        </w:numPr>
        <w:tabs>
          <w:tab w:val="left" w:pos="1224"/>
        </w:tabs>
        <w:spacing w:before="70" w:after="0" w:line="240" w:lineRule="auto"/>
        <w:ind w:left="1223" w:right="0" w:hanging="501"/>
        <w:jc w:val="left"/>
        <w:rPr>
          <w:sz w:val="18"/>
        </w:rPr>
      </w:pPr>
      <w:r>
        <w:rPr>
          <w:sz w:val="20"/>
        </w:rPr>
        <w:t>按账页格式分类</w:t>
      </w:r>
    </w:p>
    <w:p>
      <w:pPr>
        <w:pStyle w:val="6"/>
      </w:pPr>
      <w:r>
        <w:t>①</w:t>
      </w:r>
      <w:r>
        <w:rPr>
          <w:color w:val="FF0000"/>
          <w:u w:val="double" w:color="FF0000"/>
        </w:rPr>
        <w:t>三栏式账簿</w:t>
      </w:r>
    </w:p>
    <w:p>
      <w:pPr>
        <w:pStyle w:val="6"/>
      </w:pPr>
      <w:r>
        <w:t>三栏式账簿是指设有</w:t>
      </w:r>
      <w:r>
        <w:rPr>
          <w:color w:val="FF0000"/>
          <w:u w:val="double" w:color="FF0000"/>
        </w:rPr>
        <w:t>借方、贷方和余额</w:t>
      </w:r>
      <w:r>
        <w:t>三个金额栏目的账簿。</w:t>
      </w:r>
    </w:p>
    <w:p>
      <w:pPr>
        <w:pStyle w:val="6"/>
        <w:spacing w:before="71" w:line="302" w:lineRule="auto"/>
        <w:ind w:left="322" w:right="762"/>
      </w:pPr>
      <w:r>
        <mc:AlternateContent>
          <mc:Choice Requires="wps">
            <w:drawing>
              <wp:anchor distT="0" distB="0" distL="114300" distR="114300" simplePos="0" relativeHeight="15765504" behindDoc="0" locked="0" layoutInCell="1" allowOverlap="1">
                <wp:simplePos x="0" y="0"/>
                <wp:positionH relativeFrom="page">
                  <wp:posOffset>1071245</wp:posOffset>
                </wp:positionH>
                <wp:positionV relativeFrom="paragraph">
                  <wp:posOffset>414020</wp:posOffset>
                </wp:positionV>
                <wp:extent cx="5420995" cy="859790"/>
                <wp:effectExtent l="0" t="0" r="0" b="0"/>
                <wp:wrapNone/>
                <wp:docPr id="73" name="文本框 85"/>
                <wp:cNvGraphicFramePr/>
                <a:graphic xmlns:a="http://schemas.openxmlformats.org/drawingml/2006/main">
                  <a:graphicData uri="http://schemas.microsoft.com/office/word/2010/wordprocessingShape">
                    <wps:wsp>
                      <wps:cNvSpPr txBox="1"/>
                      <wps:spPr>
                        <a:xfrm>
                          <a:off x="0" y="0"/>
                          <a:ext cx="5420995" cy="85979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6"/>
                              <w:gridCol w:w="947"/>
                              <w:gridCol w:w="947"/>
                              <w:gridCol w:w="947"/>
                              <w:gridCol w:w="947"/>
                              <w:gridCol w:w="947"/>
                              <w:gridCol w:w="947"/>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93" w:type="dxa"/>
                                  <w:gridSpan w:val="2"/>
                                </w:tcPr>
                                <w:p>
                                  <w:pPr>
                                    <w:pStyle w:val="14"/>
                                    <w:spacing w:before="68" w:line="238" w:lineRule="exact"/>
                                    <w:ind w:left="5"/>
                                    <w:jc w:val="center"/>
                                    <w:rPr>
                                      <w:sz w:val="20"/>
                                    </w:rPr>
                                  </w:pPr>
                                  <w:r>
                                    <w:rPr>
                                      <w:w w:val="99"/>
                                      <w:sz w:val="20"/>
                                    </w:rPr>
                                    <w:t>年</w:t>
                                  </w:r>
                                </w:p>
                              </w:tc>
                              <w:tc>
                                <w:tcPr>
                                  <w:tcW w:w="1894" w:type="dxa"/>
                                  <w:gridSpan w:val="2"/>
                                </w:tcPr>
                                <w:p>
                                  <w:pPr>
                                    <w:pStyle w:val="14"/>
                                    <w:spacing w:before="68" w:line="238" w:lineRule="exact"/>
                                    <w:ind w:left="725" w:right="718"/>
                                    <w:jc w:val="center"/>
                                    <w:rPr>
                                      <w:sz w:val="20"/>
                                    </w:rPr>
                                  </w:pPr>
                                  <w:r>
                                    <w:rPr>
                                      <w:sz w:val="20"/>
                                    </w:rPr>
                                    <w:t>凭证</w:t>
                                  </w:r>
                                </w:p>
                              </w:tc>
                              <w:tc>
                                <w:tcPr>
                                  <w:tcW w:w="947" w:type="dxa"/>
                                  <w:vMerge w:val="restart"/>
                                </w:tcPr>
                                <w:p>
                                  <w:pPr>
                                    <w:pStyle w:val="14"/>
                                    <w:spacing w:before="5"/>
                                    <w:rPr>
                                      <w:sz w:val="18"/>
                                    </w:rPr>
                                  </w:pPr>
                                </w:p>
                                <w:p>
                                  <w:pPr>
                                    <w:pStyle w:val="14"/>
                                    <w:ind w:left="273"/>
                                    <w:rPr>
                                      <w:sz w:val="20"/>
                                    </w:rPr>
                                  </w:pPr>
                                  <w:r>
                                    <w:rPr>
                                      <w:sz w:val="20"/>
                                    </w:rPr>
                                    <w:t>摘要</w:t>
                                  </w:r>
                                </w:p>
                              </w:tc>
                              <w:tc>
                                <w:tcPr>
                                  <w:tcW w:w="947" w:type="dxa"/>
                                  <w:vMerge w:val="restart"/>
                                </w:tcPr>
                                <w:p>
                                  <w:pPr>
                                    <w:pStyle w:val="14"/>
                                    <w:spacing w:before="5"/>
                                    <w:rPr>
                                      <w:sz w:val="18"/>
                                    </w:rPr>
                                  </w:pPr>
                                </w:p>
                                <w:p>
                                  <w:pPr>
                                    <w:pStyle w:val="14"/>
                                    <w:ind w:left="272"/>
                                    <w:rPr>
                                      <w:sz w:val="20"/>
                                    </w:rPr>
                                  </w:pPr>
                                  <w:r>
                                    <w:rPr>
                                      <w:sz w:val="20"/>
                                    </w:rPr>
                                    <w:t>借方</w:t>
                                  </w:r>
                                </w:p>
                              </w:tc>
                              <w:tc>
                                <w:tcPr>
                                  <w:tcW w:w="947" w:type="dxa"/>
                                  <w:vMerge w:val="restart"/>
                                </w:tcPr>
                                <w:p>
                                  <w:pPr>
                                    <w:pStyle w:val="14"/>
                                    <w:spacing w:before="5"/>
                                    <w:rPr>
                                      <w:sz w:val="18"/>
                                    </w:rPr>
                                  </w:pPr>
                                </w:p>
                                <w:p>
                                  <w:pPr>
                                    <w:pStyle w:val="14"/>
                                    <w:ind w:left="273"/>
                                    <w:rPr>
                                      <w:sz w:val="20"/>
                                    </w:rPr>
                                  </w:pPr>
                                  <w:r>
                                    <w:rPr>
                                      <w:sz w:val="20"/>
                                    </w:rPr>
                                    <w:t>贷方</w:t>
                                  </w:r>
                                </w:p>
                              </w:tc>
                              <w:tc>
                                <w:tcPr>
                                  <w:tcW w:w="947" w:type="dxa"/>
                                  <w:vMerge w:val="restart"/>
                                </w:tcPr>
                                <w:p>
                                  <w:pPr>
                                    <w:pStyle w:val="14"/>
                                    <w:spacing w:before="5"/>
                                    <w:rPr>
                                      <w:sz w:val="18"/>
                                    </w:rPr>
                                  </w:pPr>
                                </w:p>
                                <w:p>
                                  <w:pPr>
                                    <w:pStyle w:val="14"/>
                                    <w:ind w:left="173"/>
                                    <w:rPr>
                                      <w:sz w:val="20"/>
                                    </w:rPr>
                                  </w:pPr>
                                  <w:r>
                                    <w:rPr>
                                      <w:sz w:val="20"/>
                                    </w:rPr>
                                    <w:t>借或贷</w:t>
                                  </w:r>
                                </w:p>
                              </w:tc>
                              <w:tc>
                                <w:tcPr>
                                  <w:tcW w:w="947" w:type="dxa"/>
                                  <w:vMerge w:val="restart"/>
                                </w:tcPr>
                                <w:p>
                                  <w:pPr>
                                    <w:pStyle w:val="14"/>
                                    <w:spacing w:before="5"/>
                                    <w:rPr>
                                      <w:sz w:val="18"/>
                                    </w:rPr>
                                  </w:pPr>
                                </w:p>
                                <w:p>
                                  <w:pPr>
                                    <w:pStyle w:val="14"/>
                                    <w:ind w:left="272"/>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spacing w:before="68" w:line="238" w:lineRule="exact"/>
                                    <w:ind w:left="6"/>
                                    <w:jc w:val="center"/>
                                    <w:rPr>
                                      <w:sz w:val="20"/>
                                    </w:rPr>
                                  </w:pPr>
                                  <w:r>
                                    <w:rPr>
                                      <w:w w:val="99"/>
                                      <w:sz w:val="20"/>
                                    </w:rPr>
                                    <w:t>月</w:t>
                                  </w:r>
                                </w:p>
                              </w:tc>
                              <w:tc>
                                <w:tcPr>
                                  <w:tcW w:w="947" w:type="dxa"/>
                                </w:tcPr>
                                <w:p>
                                  <w:pPr>
                                    <w:pStyle w:val="14"/>
                                    <w:spacing w:before="68" w:line="238" w:lineRule="exact"/>
                                    <w:ind w:left="9"/>
                                    <w:jc w:val="center"/>
                                    <w:rPr>
                                      <w:sz w:val="20"/>
                                    </w:rPr>
                                  </w:pPr>
                                  <w:r>
                                    <w:rPr>
                                      <w:w w:val="99"/>
                                      <w:sz w:val="20"/>
                                    </w:rPr>
                                    <w:t>日</w:t>
                                  </w:r>
                                </w:p>
                              </w:tc>
                              <w:tc>
                                <w:tcPr>
                                  <w:tcW w:w="947" w:type="dxa"/>
                                </w:tcPr>
                                <w:p>
                                  <w:pPr>
                                    <w:pStyle w:val="14"/>
                                    <w:spacing w:before="68" w:line="238" w:lineRule="exact"/>
                                    <w:ind w:left="271"/>
                                    <w:rPr>
                                      <w:sz w:val="20"/>
                                    </w:rPr>
                                  </w:pPr>
                                  <w:r>
                                    <w:rPr>
                                      <w:sz w:val="20"/>
                                    </w:rPr>
                                    <w:t>种类</w:t>
                                  </w:r>
                                </w:p>
                              </w:tc>
                              <w:tc>
                                <w:tcPr>
                                  <w:tcW w:w="947" w:type="dxa"/>
                                </w:tcPr>
                                <w:p>
                                  <w:pPr>
                                    <w:pStyle w:val="14"/>
                                    <w:spacing w:before="68" w:line="238" w:lineRule="exact"/>
                                    <w:ind w:left="272"/>
                                    <w:rPr>
                                      <w:sz w:val="20"/>
                                    </w:rPr>
                                  </w:pPr>
                                  <w:r>
                                    <w:rPr>
                                      <w:sz w:val="20"/>
                                    </w:rPr>
                                    <w:t>号数</w:t>
                                  </w: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r>
                          </w:tbl>
                          <w:p>
                            <w:pPr>
                              <w:pStyle w:val="6"/>
                              <w:spacing w:before="0"/>
                              <w:ind w:left="0"/>
                            </w:pPr>
                          </w:p>
                        </w:txbxContent>
                      </wps:txbx>
                      <wps:bodyPr lIns="0" tIns="0" rIns="0" bIns="0" upright="1"/>
                    </wps:wsp>
                  </a:graphicData>
                </a:graphic>
              </wp:anchor>
            </w:drawing>
          </mc:Choice>
          <mc:Fallback>
            <w:pict>
              <v:shape id="文本框 85" o:spid="_x0000_s1026" o:spt="202" type="#_x0000_t202" style="position:absolute;left:0pt;margin-left:84.35pt;margin-top:32.6pt;height:67.7pt;width:426.85pt;mso-position-horizontal-relative:page;z-index:15765504;mso-width-relative:page;mso-height-relative:page;" filled="f" stroked="f" coordsize="21600,21600" o:gfxdata="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y8S6u2AAAAAsBAAAPAAAA&#10;AAAAAAEAIAAAACIAAABkcnMvZG93bnJldi54bWxQSwECFAAUAAAACACHTuJAdYoozqMBAAAmAwAA&#10;DgAAAAAAAAABACAAAAAn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6"/>
                        <w:gridCol w:w="947"/>
                        <w:gridCol w:w="947"/>
                        <w:gridCol w:w="947"/>
                        <w:gridCol w:w="947"/>
                        <w:gridCol w:w="947"/>
                        <w:gridCol w:w="947"/>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93" w:type="dxa"/>
                            <w:gridSpan w:val="2"/>
                          </w:tcPr>
                          <w:p>
                            <w:pPr>
                              <w:pStyle w:val="14"/>
                              <w:spacing w:before="68" w:line="238" w:lineRule="exact"/>
                              <w:ind w:left="5"/>
                              <w:jc w:val="center"/>
                              <w:rPr>
                                <w:sz w:val="20"/>
                              </w:rPr>
                            </w:pPr>
                            <w:r>
                              <w:rPr>
                                <w:w w:val="99"/>
                                <w:sz w:val="20"/>
                              </w:rPr>
                              <w:t>年</w:t>
                            </w:r>
                          </w:p>
                        </w:tc>
                        <w:tc>
                          <w:tcPr>
                            <w:tcW w:w="1894" w:type="dxa"/>
                            <w:gridSpan w:val="2"/>
                          </w:tcPr>
                          <w:p>
                            <w:pPr>
                              <w:pStyle w:val="14"/>
                              <w:spacing w:before="68" w:line="238" w:lineRule="exact"/>
                              <w:ind w:left="725" w:right="718"/>
                              <w:jc w:val="center"/>
                              <w:rPr>
                                <w:sz w:val="20"/>
                              </w:rPr>
                            </w:pPr>
                            <w:r>
                              <w:rPr>
                                <w:sz w:val="20"/>
                              </w:rPr>
                              <w:t>凭证</w:t>
                            </w:r>
                          </w:p>
                        </w:tc>
                        <w:tc>
                          <w:tcPr>
                            <w:tcW w:w="947" w:type="dxa"/>
                            <w:vMerge w:val="restart"/>
                          </w:tcPr>
                          <w:p>
                            <w:pPr>
                              <w:pStyle w:val="14"/>
                              <w:spacing w:before="5"/>
                              <w:rPr>
                                <w:sz w:val="18"/>
                              </w:rPr>
                            </w:pPr>
                          </w:p>
                          <w:p>
                            <w:pPr>
                              <w:pStyle w:val="14"/>
                              <w:ind w:left="273"/>
                              <w:rPr>
                                <w:sz w:val="20"/>
                              </w:rPr>
                            </w:pPr>
                            <w:r>
                              <w:rPr>
                                <w:sz w:val="20"/>
                              </w:rPr>
                              <w:t>摘要</w:t>
                            </w:r>
                          </w:p>
                        </w:tc>
                        <w:tc>
                          <w:tcPr>
                            <w:tcW w:w="947" w:type="dxa"/>
                            <w:vMerge w:val="restart"/>
                          </w:tcPr>
                          <w:p>
                            <w:pPr>
                              <w:pStyle w:val="14"/>
                              <w:spacing w:before="5"/>
                              <w:rPr>
                                <w:sz w:val="18"/>
                              </w:rPr>
                            </w:pPr>
                          </w:p>
                          <w:p>
                            <w:pPr>
                              <w:pStyle w:val="14"/>
                              <w:ind w:left="272"/>
                              <w:rPr>
                                <w:sz w:val="20"/>
                              </w:rPr>
                            </w:pPr>
                            <w:r>
                              <w:rPr>
                                <w:sz w:val="20"/>
                              </w:rPr>
                              <w:t>借方</w:t>
                            </w:r>
                          </w:p>
                        </w:tc>
                        <w:tc>
                          <w:tcPr>
                            <w:tcW w:w="947" w:type="dxa"/>
                            <w:vMerge w:val="restart"/>
                          </w:tcPr>
                          <w:p>
                            <w:pPr>
                              <w:pStyle w:val="14"/>
                              <w:spacing w:before="5"/>
                              <w:rPr>
                                <w:sz w:val="18"/>
                              </w:rPr>
                            </w:pPr>
                          </w:p>
                          <w:p>
                            <w:pPr>
                              <w:pStyle w:val="14"/>
                              <w:ind w:left="273"/>
                              <w:rPr>
                                <w:sz w:val="20"/>
                              </w:rPr>
                            </w:pPr>
                            <w:r>
                              <w:rPr>
                                <w:sz w:val="20"/>
                              </w:rPr>
                              <w:t>贷方</w:t>
                            </w:r>
                          </w:p>
                        </w:tc>
                        <w:tc>
                          <w:tcPr>
                            <w:tcW w:w="947" w:type="dxa"/>
                            <w:vMerge w:val="restart"/>
                          </w:tcPr>
                          <w:p>
                            <w:pPr>
                              <w:pStyle w:val="14"/>
                              <w:spacing w:before="5"/>
                              <w:rPr>
                                <w:sz w:val="18"/>
                              </w:rPr>
                            </w:pPr>
                          </w:p>
                          <w:p>
                            <w:pPr>
                              <w:pStyle w:val="14"/>
                              <w:ind w:left="173"/>
                              <w:rPr>
                                <w:sz w:val="20"/>
                              </w:rPr>
                            </w:pPr>
                            <w:r>
                              <w:rPr>
                                <w:sz w:val="20"/>
                              </w:rPr>
                              <w:t>借或贷</w:t>
                            </w:r>
                          </w:p>
                        </w:tc>
                        <w:tc>
                          <w:tcPr>
                            <w:tcW w:w="947" w:type="dxa"/>
                            <w:vMerge w:val="restart"/>
                          </w:tcPr>
                          <w:p>
                            <w:pPr>
                              <w:pStyle w:val="14"/>
                              <w:spacing w:before="5"/>
                              <w:rPr>
                                <w:sz w:val="18"/>
                              </w:rPr>
                            </w:pPr>
                          </w:p>
                          <w:p>
                            <w:pPr>
                              <w:pStyle w:val="14"/>
                              <w:ind w:left="272"/>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spacing w:before="68" w:line="238" w:lineRule="exact"/>
                              <w:ind w:left="6"/>
                              <w:jc w:val="center"/>
                              <w:rPr>
                                <w:sz w:val="20"/>
                              </w:rPr>
                            </w:pPr>
                            <w:r>
                              <w:rPr>
                                <w:w w:val="99"/>
                                <w:sz w:val="20"/>
                              </w:rPr>
                              <w:t>月</w:t>
                            </w:r>
                          </w:p>
                        </w:tc>
                        <w:tc>
                          <w:tcPr>
                            <w:tcW w:w="947" w:type="dxa"/>
                          </w:tcPr>
                          <w:p>
                            <w:pPr>
                              <w:pStyle w:val="14"/>
                              <w:spacing w:before="68" w:line="238" w:lineRule="exact"/>
                              <w:ind w:left="9"/>
                              <w:jc w:val="center"/>
                              <w:rPr>
                                <w:sz w:val="20"/>
                              </w:rPr>
                            </w:pPr>
                            <w:r>
                              <w:rPr>
                                <w:w w:val="99"/>
                                <w:sz w:val="20"/>
                              </w:rPr>
                              <w:t>日</w:t>
                            </w:r>
                          </w:p>
                        </w:tc>
                        <w:tc>
                          <w:tcPr>
                            <w:tcW w:w="947" w:type="dxa"/>
                          </w:tcPr>
                          <w:p>
                            <w:pPr>
                              <w:pStyle w:val="14"/>
                              <w:spacing w:before="68" w:line="238" w:lineRule="exact"/>
                              <w:ind w:left="271"/>
                              <w:rPr>
                                <w:sz w:val="20"/>
                              </w:rPr>
                            </w:pPr>
                            <w:r>
                              <w:rPr>
                                <w:sz w:val="20"/>
                              </w:rPr>
                              <w:t>种类</w:t>
                            </w:r>
                          </w:p>
                        </w:tc>
                        <w:tc>
                          <w:tcPr>
                            <w:tcW w:w="947" w:type="dxa"/>
                          </w:tcPr>
                          <w:p>
                            <w:pPr>
                              <w:pStyle w:val="14"/>
                              <w:spacing w:before="68" w:line="238" w:lineRule="exact"/>
                              <w:ind w:left="272"/>
                              <w:rPr>
                                <w:sz w:val="20"/>
                              </w:rPr>
                            </w:pPr>
                            <w:r>
                              <w:rPr>
                                <w:sz w:val="20"/>
                              </w:rPr>
                              <w:t>号数</w:t>
                            </w: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rPr>
                                <w:rFonts w:ascii="Times New Roman"/>
                                <w:sz w:val="18"/>
                              </w:rPr>
                            </w:pPr>
                          </w:p>
                        </w:tc>
                      </w:tr>
                    </w:tbl>
                    <w:p>
                      <w:pPr>
                        <w:pStyle w:val="6"/>
                        <w:spacing w:before="0"/>
                        <w:ind w:left="0"/>
                      </w:pPr>
                    </w:p>
                  </w:txbxContent>
                </v:textbox>
              </v:shape>
            </w:pict>
          </mc:Fallback>
        </mc:AlternateContent>
      </w:r>
      <w:r>
        <w:rPr>
          <w:w w:val="95"/>
        </w:rPr>
        <w:t>三栏式账簿又分为</w:t>
      </w:r>
      <w:r>
        <w:rPr>
          <w:color w:val="FF0000"/>
          <w:w w:val="95"/>
          <w:u w:val="double" w:color="FF0000"/>
        </w:rPr>
        <w:t>设对方科目和不设对方科目</w:t>
      </w:r>
      <w:r>
        <w:rPr>
          <w:w w:val="95"/>
        </w:rPr>
        <w:t>的三栏式账簿，区别在于</w:t>
      </w:r>
      <w:r>
        <w:rPr>
          <w:color w:val="FF0000"/>
          <w:w w:val="95"/>
          <w:u w:val="double" w:color="FF0000"/>
        </w:rPr>
        <w:t>摘要栏和借方金额栏</w:t>
      </w:r>
      <w:r>
        <w:rPr>
          <w:w w:val="95"/>
        </w:rPr>
        <w:t xml:space="preserve">之间是否有一栏“对   </w:t>
      </w:r>
      <w:r>
        <w:rPr>
          <w:spacing w:val="-20"/>
        </w:rPr>
        <w:t>方科目”。</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1"/>
        <w:ind w:left="0"/>
        <w:rPr>
          <w:sz w:val="26"/>
        </w:rPr>
      </w:pP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
        <w:gridCol w:w="852"/>
        <w:gridCol w:w="852"/>
        <w:gridCol w:w="852"/>
        <w:gridCol w:w="852"/>
        <w:gridCol w:w="852"/>
        <w:gridCol w:w="852"/>
        <w:gridCol w:w="852"/>
        <w:gridCol w:w="853"/>
        <w:gridCol w:w="8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04" w:type="dxa"/>
            <w:gridSpan w:val="2"/>
          </w:tcPr>
          <w:p>
            <w:pPr>
              <w:pStyle w:val="14"/>
              <w:spacing w:before="68" w:line="238" w:lineRule="exact"/>
              <w:ind w:left="6"/>
              <w:jc w:val="center"/>
              <w:rPr>
                <w:sz w:val="20"/>
              </w:rPr>
            </w:pPr>
            <w:r>
              <w:rPr>
                <w:w w:val="99"/>
                <w:sz w:val="20"/>
              </w:rPr>
              <w:t>年</w:t>
            </w:r>
          </w:p>
        </w:tc>
        <w:tc>
          <w:tcPr>
            <w:tcW w:w="1704" w:type="dxa"/>
            <w:gridSpan w:val="2"/>
          </w:tcPr>
          <w:p>
            <w:pPr>
              <w:pStyle w:val="14"/>
              <w:spacing w:before="68" w:line="238" w:lineRule="exact"/>
              <w:ind w:left="631" w:right="622"/>
              <w:jc w:val="center"/>
              <w:rPr>
                <w:sz w:val="20"/>
              </w:rPr>
            </w:pPr>
            <w:r>
              <w:rPr>
                <w:sz w:val="20"/>
              </w:rPr>
              <w:t>凭证</w:t>
            </w:r>
          </w:p>
        </w:tc>
        <w:tc>
          <w:tcPr>
            <w:tcW w:w="852" w:type="dxa"/>
            <w:vMerge w:val="restart"/>
          </w:tcPr>
          <w:p>
            <w:pPr>
              <w:pStyle w:val="14"/>
              <w:spacing w:before="5"/>
              <w:rPr>
                <w:sz w:val="18"/>
              </w:rPr>
            </w:pPr>
          </w:p>
          <w:p>
            <w:pPr>
              <w:pStyle w:val="14"/>
              <w:ind w:left="225"/>
              <w:rPr>
                <w:sz w:val="20"/>
              </w:rPr>
            </w:pPr>
            <w:r>
              <w:rPr>
                <w:sz w:val="20"/>
              </w:rPr>
              <w:t>摘要</w:t>
            </w:r>
          </w:p>
        </w:tc>
        <w:tc>
          <w:tcPr>
            <w:tcW w:w="852" w:type="dxa"/>
            <w:vMerge w:val="restart"/>
          </w:tcPr>
          <w:p>
            <w:pPr>
              <w:pStyle w:val="14"/>
              <w:spacing w:before="9" w:line="320" w:lineRule="atLeast"/>
              <w:ind w:left="326" w:right="115" w:hanging="202"/>
              <w:rPr>
                <w:sz w:val="20"/>
              </w:rPr>
            </w:pPr>
            <w:r>
              <w:rPr>
                <w:sz w:val="20"/>
              </w:rPr>
              <w:t>对方科目</w:t>
            </w:r>
          </w:p>
        </w:tc>
        <w:tc>
          <w:tcPr>
            <w:tcW w:w="852" w:type="dxa"/>
            <w:vMerge w:val="restart"/>
          </w:tcPr>
          <w:p>
            <w:pPr>
              <w:pStyle w:val="14"/>
              <w:spacing w:before="5"/>
              <w:rPr>
                <w:sz w:val="18"/>
              </w:rPr>
            </w:pPr>
          </w:p>
          <w:p>
            <w:pPr>
              <w:pStyle w:val="14"/>
              <w:ind w:left="225"/>
              <w:rPr>
                <w:sz w:val="20"/>
              </w:rPr>
            </w:pPr>
            <w:r>
              <w:rPr>
                <w:sz w:val="20"/>
              </w:rPr>
              <w:t>借方</w:t>
            </w:r>
          </w:p>
        </w:tc>
        <w:tc>
          <w:tcPr>
            <w:tcW w:w="852" w:type="dxa"/>
            <w:vMerge w:val="restart"/>
          </w:tcPr>
          <w:p>
            <w:pPr>
              <w:pStyle w:val="14"/>
              <w:spacing w:before="5"/>
              <w:rPr>
                <w:sz w:val="18"/>
              </w:rPr>
            </w:pPr>
          </w:p>
          <w:p>
            <w:pPr>
              <w:pStyle w:val="14"/>
              <w:ind w:left="225"/>
              <w:rPr>
                <w:sz w:val="20"/>
              </w:rPr>
            </w:pPr>
            <w:r>
              <w:rPr>
                <w:sz w:val="20"/>
              </w:rPr>
              <w:t>贷方</w:t>
            </w:r>
          </w:p>
        </w:tc>
        <w:tc>
          <w:tcPr>
            <w:tcW w:w="853" w:type="dxa"/>
            <w:vMerge w:val="restart"/>
          </w:tcPr>
          <w:p>
            <w:pPr>
              <w:pStyle w:val="14"/>
              <w:spacing w:before="5"/>
              <w:rPr>
                <w:sz w:val="18"/>
              </w:rPr>
            </w:pPr>
          </w:p>
          <w:p>
            <w:pPr>
              <w:pStyle w:val="14"/>
              <w:ind w:left="124"/>
              <w:rPr>
                <w:sz w:val="20"/>
              </w:rPr>
            </w:pPr>
            <w:r>
              <w:rPr>
                <w:sz w:val="20"/>
              </w:rPr>
              <w:t>借或贷</w:t>
            </w:r>
          </w:p>
        </w:tc>
        <w:tc>
          <w:tcPr>
            <w:tcW w:w="853" w:type="dxa"/>
            <w:vMerge w:val="restart"/>
          </w:tcPr>
          <w:p>
            <w:pPr>
              <w:pStyle w:val="14"/>
              <w:spacing w:before="5"/>
              <w:rPr>
                <w:sz w:val="18"/>
              </w:rPr>
            </w:pPr>
          </w:p>
          <w:p>
            <w:pPr>
              <w:pStyle w:val="14"/>
              <w:ind w:left="226"/>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52" w:type="dxa"/>
          </w:tcPr>
          <w:p>
            <w:pPr>
              <w:pStyle w:val="14"/>
              <w:spacing w:before="68" w:line="238" w:lineRule="exact"/>
              <w:ind w:left="9"/>
              <w:jc w:val="center"/>
              <w:rPr>
                <w:sz w:val="20"/>
              </w:rPr>
            </w:pPr>
            <w:r>
              <w:rPr>
                <w:w w:val="99"/>
                <w:sz w:val="20"/>
              </w:rPr>
              <w:t>月</w:t>
            </w:r>
          </w:p>
        </w:tc>
        <w:tc>
          <w:tcPr>
            <w:tcW w:w="852" w:type="dxa"/>
          </w:tcPr>
          <w:p>
            <w:pPr>
              <w:pStyle w:val="14"/>
              <w:spacing w:before="68" w:line="238" w:lineRule="exact"/>
              <w:ind w:left="9"/>
              <w:jc w:val="center"/>
              <w:rPr>
                <w:sz w:val="20"/>
              </w:rPr>
            </w:pPr>
            <w:r>
              <w:rPr>
                <w:w w:val="99"/>
                <w:sz w:val="20"/>
              </w:rPr>
              <w:t>日</w:t>
            </w:r>
          </w:p>
        </w:tc>
        <w:tc>
          <w:tcPr>
            <w:tcW w:w="852" w:type="dxa"/>
          </w:tcPr>
          <w:p>
            <w:pPr>
              <w:pStyle w:val="14"/>
              <w:spacing w:before="68" w:line="238" w:lineRule="exact"/>
              <w:ind w:left="225"/>
              <w:rPr>
                <w:sz w:val="20"/>
              </w:rPr>
            </w:pPr>
            <w:r>
              <w:rPr>
                <w:sz w:val="20"/>
              </w:rPr>
              <w:t>种类</w:t>
            </w:r>
          </w:p>
        </w:tc>
        <w:tc>
          <w:tcPr>
            <w:tcW w:w="852" w:type="dxa"/>
          </w:tcPr>
          <w:p>
            <w:pPr>
              <w:pStyle w:val="14"/>
              <w:spacing w:before="68" w:line="238" w:lineRule="exact"/>
              <w:ind w:left="225"/>
              <w:rPr>
                <w:sz w:val="20"/>
              </w:rPr>
            </w:pPr>
            <w:r>
              <w:rPr>
                <w:sz w:val="20"/>
              </w:rPr>
              <w:t>号数</w:t>
            </w:r>
          </w:p>
        </w:tc>
        <w:tc>
          <w:tcPr>
            <w:tcW w:w="852" w:type="dxa"/>
            <w:vMerge w:val="continue"/>
            <w:tcBorders>
              <w:top w:val="nil"/>
            </w:tcBorders>
          </w:tcPr>
          <w:p>
            <w:pPr>
              <w:rPr>
                <w:sz w:val="2"/>
                <w:szCs w:val="2"/>
              </w:rPr>
            </w:pPr>
          </w:p>
        </w:tc>
        <w:tc>
          <w:tcPr>
            <w:tcW w:w="852" w:type="dxa"/>
            <w:vMerge w:val="continue"/>
            <w:tcBorders>
              <w:top w:val="nil"/>
            </w:tcBorders>
          </w:tcPr>
          <w:p>
            <w:pPr>
              <w:rPr>
                <w:sz w:val="2"/>
                <w:szCs w:val="2"/>
              </w:rPr>
            </w:pPr>
          </w:p>
        </w:tc>
        <w:tc>
          <w:tcPr>
            <w:tcW w:w="852" w:type="dxa"/>
            <w:vMerge w:val="continue"/>
            <w:tcBorders>
              <w:top w:val="nil"/>
            </w:tcBorders>
          </w:tcPr>
          <w:p>
            <w:pPr>
              <w:rPr>
                <w:sz w:val="2"/>
                <w:szCs w:val="2"/>
              </w:rPr>
            </w:pPr>
          </w:p>
        </w:tc>
        <w:tc>
          <w:tcPr>
            <w:tcW w:w="852" w:type="dxa"/>
            <w:vMerge w:val="continue"/>
            <w:tcBorders>
              <w:top w:val="nil"/>
            </w:tcBorders>
          </w:tcPr>
          <w:p>
            <w:pPr>
              <w:rPr>
                <w:sz w:val="2"/>
                <w:szCs w:val="2"/>
              </w:rPr>
            </w:pPr>
          </w:p>
        </w:tc>
        <w:tc>
          <w:tcPr>
            <w:tcW w:w="853" w:type="dxa"/>
            <w:vMerge w:val="continue"/>
            <w:tcBorders>
              <w:top w:val="nil"/>
            </w:tcBorders>
          </w:tcPr>
          <w:p>
            <w:pPr>
              <w:rPr>
                <w:sz w:val="2"/>
                <w:szCs w:val="2"/>
              </w:rPr>
            </w:pPr>
          </w:p>
        </w:tc>
        <w:tc>
          <w:tcPr>
            <w:tcW w:w="853"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3" w:type="dxa"/>
          </w:tcPr>
          <w:p>
            <w:pPr>
              <w:pStyle w:val="14"/>
              <w:rPr>
                <w:rFonts w:ascii="Times New Roman"/>
                <w:sz w:val="18"/>
              </w:rPr>
            </w:pPr>
          </w:p>
        </w:tc>
        <w:tc>
          <w:tcPr>
            <w:tcW w:w="853"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3" w:type="dxa"/>
          </w:tcPr>
          <w:p>
            <w:pPr>
              <w:pStyle w:val="14"/>
              <w:rPr>
                <w:rFonts w:ascii="Times New Roman"/>
                <w:sz w:val="18"/>
              </w:rPr>
            </w:pPr>
          </w:p>
        </w:tc>
        <w:tc>
          <w:tcPr>
            <w:tcW w:w="853" w:type="dxa"/>
          </w:tcPr>
          <w:p>
            <w:pPr>
              <w:pStyle w:val="14"/>
              <w:rPr>
                <w:rFonts w:ascii="Times New Roman"/>
                <w:sz w:val="18"/>
              </w:rPr>
            </w:pPr>
          </w:p>
        </w:tc>
      </w:tr>
    </w:tbl>
    <w:p>
      <w:pPr>
        <w:pStyle w:val="6"/>
        <w:spacing w:before="68"/>
      </w:pPr>
      <w:r>
        <mc:AlternateContent>
          <mc:Choice Requires="wps">
            <w:drawing>
              <wp:anchor distT="0" distB="0" distL="114300" distR="114300" simplePos="0" relativeHeight="15764480" behindDoc="0" locked="0" layoutInCell="1" allowOverlap="1">
                <wp:simplePos x="0" y="0"/>
                <wp:positionH relativeFrom="page">
                  <wp:posOffset>1068705</wp:posOffset>
                </wp:positionH>
                <wp:positionV relativeFrom="paragraph">
                  <wp:posOffset>180975</wp:posOffset>
                </wp:positionV>
                <wp:extent cx="251460" cy="5715"/>
                <wp:effectExtent l="0" t="0" r="0" b="0"/>
                <wp:wrapNone/>
                <wp:docPr id="70" name="任意多边形 8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86" o:spid="_x0000_s1026" o:spt="100" style="position:absolute;left:0pt;margin-left:84.15pt;margin-top:14.25pt;height:0.45pt;width:19.8pt;mso-position-horizontal-relative:page;z-index:15764480;mso-width-relative:page;mso-height-relative:page;" filled="f" stroked="t" coordsize="396,9" o:gfxdata="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uhzijdoAAAAJAQAADwAAAAAAAAABACAAAAAiAAAAZHJzL2Rvd25yZXYueG1sUEsBAhQAFAAAAAgA&#10;h07iQEzVhhSVAgAAVQcAAA4AAAAAAAAAAQAgAAAAKQ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w:t>
      </w:r>
      <w:r>
        <w:rPr>
          <w:color w:val="FF0000"/>
          <w:u w:val="double" w:color="FF0000"/>
        </w:rPr>
        <w:t>库存现金日记账、银行存款日记账总分类账以及资本、债权债务明细账可以采用三栏式</w:t>
      </w:r>
      <w:r>
        <w:t>。</w:t>
      </w:r>
    </w:p>
    <w:p>
      <w:pPr>
        <w:pStyle w:val="6"/>
      </w:pPr>
      <w:r>
        <w:t>②</w:t>
      </w:r>
      <w:r>
        <w:rPr>
          <w:color w:val="FF0000"/>
          <w:u w:val="double" w:color="FF0000"/>
        </w:rPr>
        <w:t>多栏式账簿</w:t>
      </w:r>
    </w:p>
    <w:p>
      <w:pPr>
        <w:pStyle w:val="6"/>
        <w:spacing w:line="304" w:lineRule="auto"/>
        <w:ind w:left="322" w:right="647" w:firstLine="400"/>
      </w:pPr>
      <w:r>
        <mc:AlternateContent>
          <mc:Choice Requires="wps">
            <w:drawing>
              <wp:anchor distT="0" distB="0" distL="114300" distR="114300" simplePos="0" relativeHeight="15766528" behindDoc="0" locked="0" layoutInCell="1" allowOverlap="1">
                <wp:simplePos x="0" y="0"/>
                <wp:positionH relativeFrom="page">
                  <wp:posOffset>1071245</wp:posOffset>
                </wp:positionH>
                <wp:positionV relativeFrom="paragraph">
                  <wp:posOffset>414655</wp:posOffset>
                </wp:positionV>
                <wp:extent cx="5420995" cy="1066800"/>
                <wp:effectExtent l="0" t="0" r="0" b="0"/>
                <wp:wrapNone/>
                <wp:docPr id="76" name="文本框 87"/>
                <wp:cNvGraphicFramePr/>
                <a:graphic xmlns:a="http://schemas.openxmlformats.org/drawingml/2006/main">
                  <a:graphicData uri="http://schemas.microsoft.com/office/word/2010/wordprocessingShape">
                    <wps:wsp>
                      <wps:cNvSpPr txBox="1"/>
                      <wps:spPr>
                        <a:xfrm>
                          <a:off x="0" y="0"/>
                          <a:ext cx="5420995" cy="106680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4"/>
                              <w:gridCol w:w="774"/>
                              <w:gridCol w:w="774"/>
                              <w:gridCol w:w="775"/>
                              <w:gridCol w:w="775"/>
                              <w:gridCol w:w="775"/>
                              <w:gridCol w:w="775"/>
                              <w:gridCol w:w="775"/>
                              <w:gridCol w:w="775"/>
                              <w:gridCol w:w="775"/>
                              <w:gridCol w:w="7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48" w:type="dxa"/>
                                  <w:gridSpan w:val="2"/>
                                </w:tcPr>
                                <w:p>
                                  <w:pPr>
                                    <w:pStyle w:val="14"/>
                                    <w:spacing w:before="69" w:line="237" w:lineRule="exact"/>
                                    <w:ind w:left="9"/>
                                    <w:jc w:val="center"/>
                                    <w:rPr>
                                      <w:sz w:val="20"/>
                                    </w:rPr>
                                  </w:pPr>
                                  <w:r>
                                    <w:rPr>
                                      <w:w w:val="99"/>
                                      <w:sz w:val="20"/>
                                    </w:rPr>
                                    <w:t>年</w:t>
                                  </w:r>
                                </w:p>
                              </w:tc>
                              <w:tc>
                                <w:tcPr>
                                  <w:tcW w:w="1549" w:type="dxa"/>
                                  <w:gridSpan w:val="2"/>
                                </w:tcPr>
                                <w:p>
                                  <w:pPr>
                                    <w:pStyle w:val="14"/>
                                    <w:spacing w:before="69" w:line="237" w:lineRule="exact"/>
                                    <w:ind w:left="552" w:right="547"/>
                                    <w:jc w:val="center"/>
                                    <w:rPr>
                                      <w:sz w:val="20"/>
                                    </w:rPr>
                                  </w:pPr>
                                  <w:r>
                                    <w:rPr>
                                      <w:sz w:val="20"/>
                                    </w:rPr>
                                    <w:t>凭证</w:t>
                                  </w:r>
                                </w:p>
                              </w:tc>
                              <w:tc>
                                <w:tcPr>
                                  <w:tcW w:w="775" w:type="dxa"/>
                                  <w:vMerge w:val="restart"/>
                                </w:tcPr>
                                <w:p>
                                  <w:pPr>
                                    <w:pStyle w:val="14"/>
                                    <w:rPr>
                                      <w:sz w:val="20"/>
                                    </w:rPr>
                                  </w:pPr>
                                </w:p>
                                <w:p>
                                  <w:pPr>
                                    <w:pStyle w:val="14"/>
                                    <w:spacing w:before="144"/>
                                    <w:ind w:left="185"/>
                                    <w:rPr>
                                      <w:sz w:val="20"/>
                                    </w:rPr>
                                  </w:pPr>
                                  <w:r>
                                    <w:rPr>
                                      <w:sz w:val="20"/>
                                    </w:rPr>
                                    <w:t>摘要</w:t>
                                  </w:r>
                                </w:p>
                              </w:tc>
                              <w:tc>
                                <w:tcPr>
                                  <w:tcW w:w="3100" w:type="dxa"/>
                                  <w:gridSpan w:val="4"/>
                                </w:tcPr>
                                <w:p>
                                  <w:pPr>
                                    <w:pStyle w:val="14"/>
                                    <w:spacing w:before="69" w:line="237" w:lineRule="exact"/>
                                    <w:ind w:left="949"/>
                                    <w:rPr>
                                      <w:sz w:val="20"/>
                                    </w:rPr>
                                  </w:pPr>
                                  <w:r>
                                    <w:rPr>
                                      <w:sz w:val="20"/>
                                    </w:rPr>
                                    <w:t>借方（项目）</w:t>
                                  </w:r>
                                </w:p>
                              </w:tc>
                              <w:tc>
                                <w:tcPr>
                                  <w:tcW w:w="775" w:type="dxa"/>
                                  <w:vMerge w:val="restart"/>
                                </w:tcPr>
                                <w:p>
                                  <w:pPr>
                                    <w:pStyle w:val="14"/>
                                    <w:rPr>
                                      <w:sz w:val="20"/>
                                    </w:rPr>
                                  </w:pPr>
                                </w:p>
                                <w:p>
                                  <w:pPr>
                                    <w:pStyle w:val="14"/>
                                    <w:spacing w:before="144"/>
                                    <w:ind w:left="186"/>
                                    <w:rPr>
                                      <w:sz w:val="20"/>
                                    </w:rPr>
                                  </w:pPr>
                                  <w:r>
                                    <w:rPr>
                                      <w:sz w:val="20"/>
                                    </w:rPr>
                                    <w:t>贷方</w:t>
                                  </w:r>
                                </w:p>
                              </w:tc>
                              <w:tc>
                                <w:tcPr>
                                  <w:tcW w:w="775" w:type="dxa"/>
                                  <w:vMerge w:val="restart"/>
                                </w:tcPr>
                                <w:p>
                                  <w:pPr>
                                    <w:pStyle w:val="14"/>
                                    <w:rPr>
                                      <w:sz w:val="20"/>
                                    </w:rPr>
                                  </w:pPr>
                                </w:p>
                                <w:p>
                                  <w:pPr>
                                    <w:pStyle w:val="14"/>
                                    <w:spacing w:before="144"/>
                                    <w:ind w:left="187"/>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774" w:type="dxa"/>
                                </w:tcPr>
                                <w:p>
                                  <w:pPr>
                                    <w:pStyle w:val="14"/>
                                    <w:spacing w:before="1"/>
                                    <w:rPr>
                                      <w:sz w:val="18"/>
                                    </w:rPr>
                                  </w:pPr>
                                </w:p>
                                <w:p>
                                  <w:pPr>
                                    <w:pStyle w:val="14"/>
                                    <w:spacing w:before="1"/>
                                    <w:ind w:left="10"/>
                                    <w:jc w:val="center"/>
                                    <w:rPr>
                                      <w:sz w:val="20"/>
                                    </w:rPr>
                                  </w:pPr>
                                  <w:r>
                                    <w:rPr>
                                      <w:w w:val="99"/>
                                      <w:sz w:val="20"/>
                                    </w:rPr>
                                    <w:t>月</w:t>
                                  </w:r>
                                </w:p>
                              </w:tc>
                              <w:tc>
                                <w:tcPr>
                                  <w:tcW w:w="774" w:type="dxa"/>
                                </w:tcPr>
                                <w:p>
                                  <w:pPr>
                                    <w:pStyle w:val="14"/>
                                    <w:spacing w:before="1"/>
                                    <w:rPr>
                                      <w:sz w:val="18"/>
                                    </w:rPr>
                                  </w:pPr>
                                </w:p>
                                <w:p>
                                  <w:pPr>
                                    <w:pStyle w:val="14"/>
                                    <w:spacing w:before="1"/>
                                    <w:ind w:left="8"/>
                                    <w:jc w:val="center"/>
                                    <w:rPr>
                                      <w:sz w:val="20"/>
                                    </w:rPr>
                                  </w:pPr>
                                  <w:r>
                                    <w:rPr>
                                      <w:w w:val="99"/>
                                      <w:sz w:val="20"/>
                                    </w:rPr>
                                    <w:t>日</w:t>
                                  </w:r>
                                </w:p>
                              </w:tc>
                              <w:tc>
                                <w:tcPr>
                                  <w:tcW w:w="774" w:type="dxa"/>
                                </w:tcPr>
                                <w:p>
                                  <w:pPr>
                                    <w:pStyle w:val="14"/>
                                    <w:spacing w:before="1"/>
                                    <w:rPr>
                                      <w:sz w:val="18"/>
                                    </w:rPr>
                                  </w:pPr>
                                </w:p>
                                <w:p>
                                  <w:pPr>
                                    <w:pStyle w:val="14"/>
                                    <w:spacing w:before="1"/>
                                    <w:ind w:left="186"/>
                                    <w:rPr>
                                      <w:sz w:val="20"/>
                                    </w:rPr>
                                  </w:pPr>
                                  <w:r>
                                    <w:rPr>
                                      <w:sz w:val="20"/>
                                    </w:rPr>
                                    <w:t>种类</w:t>
                                  </w:r>
                                </w:p>
                              </w:tc>
                              <w:tc>
                                <w:tcPr>
                                  <w:tcW w:w="775" w:type="dxa"/>
                                </w:tcPr>
                                <w:p>
                                  <w:pPr>
                                    <w:pStyle w:val="14"/>
                                    <w:spacing w:before="1"/>
                                    <w:rPr>
                                      <w:sz w:val="18"/>
                                    </w:rPr>
                                  </w:pPr>
                                </w:p>
                                <w:p>
                                  <w:pPr>
                                    <w:pStyle w:val="14"/>
                                    <w:spacing w:before="1"/>
                                    <w:ind w:left="185"/>
                                    <w:rPr>
                                      <w:sz w:val="20"/>
                                    </w:rPr>
                                  </w:pPr>
                                  <w:r>
                                    <w:rPr>
                                      <w:sz w:val="20"/>
                                    </w:rPr>
                                    <w:t>号数</w:t>
                                  </w:r>
                                </w:p>
                              </w:tc>
                              <w:tc>
                                <w:tcPr>
                                  <w:tcW w:w="775" w:type="dxa"/>
                                  <w:vMerge w:val="continue"/>
                                  <w:tcBorders>
                                    <w:top w:val="nil"/>
                                  </w:tcBorders>
                                </w:tcPr>
                                <w:p>
                                  <w:pPr>
                                    <w:rPr>
                                      <w:sz w:val="2"/>
                                      <w:szCs w:val="2"/>
                                    </w:rPr>
                                  </w:pPr>
                                </w:p>
                              </w:tc>
                              <w:tc>
                                <w:tcPr>
                                  <w:tcW w:w="775" w:type="dxa"/>
                                </w:tcPr>
                                <w:p>
                                  <w:pPr>
                                    <w:pStyle w:val="14"/>
                                    <w:spacing w:before="8" w:line="326" w:lineRule="exact"/>
                                    <w:ind w:left="186" w:right="178"/>
                                    <w:rPr>
                                      <w:sz w:val="20"/>
                                    </w:rPr>
                                  </w:pPr>
                                  <w:r>
                                    <w:rPr>
                                      <w:sz w:val="20"/>
                                    </w:rPr>
                                    <w:t>直接材料</w:t>
                                  </w:r>
                                </w:p>
                              </w:tc>
                              <w:tc>
                                <w:tcPr>
                                  <w:tcW w:w="775" w:type="dxa"/>
                                </w:tcPr>
                                <w:p>
                                  <w:pPr>
                                    <w:pStyle w:val="14"/>
                                    <w:spacing w:before="8" w:line="326" w:lineRule="exact"/>
                                    <w:ind w:left="186" w:right="178"/>
                                    <w:rPr>
                                      <w:sz w:val="20"/>
                                    </w:rPr>
                                  </w:pPr>
                                  <w:r>
                                    <w:rPr>
                                      <w:sz w:val="20"/>
                                    </w:rPr>
                                    <w:t>直接人工</w:t>
                                  </w:r>
                                </w:p>
                              </w:tc>
                              <w:tc>
                                <w:tcPr>
                                  <w:tcW w:w="775" w:type="dxa"/>
                                </w:tcPr>
                                <w:p>
                                  <w:pPr>
                                    <w:pStyle w:val="14"/>
                                    <w:spacing w:before="8" w:line="326" w:lineRule="exact"/>
                                    <w:ind w:left="186" w:right="178"/>
                                    <w:rPr>
                                      <w:sz w:val="20"/>
                                    </w:rPr>
                                  </w:pPr>
                                  <w:r>
                                    <w:rPr>
                                      <w:sz w:val="20"/>
                                    </w:rPr>
                                    <w:t>制造费用</w:t>
                                  </w:r>
                                </w:p>
                              </w:tc>
                              <w:tc>
                                <w:tcPr>
                                  <w:tcW w:w="775" w:type="dxa"/>
                                </w:tcPr>
                                <w:p>
                                  <w:pPr>
                                    <w:pStyle w:val="14"/>
                                    <w:spacing w:before="1"/>
                                    <w:rPr>
                                      <w:sz w:val="18"/>
                                    </w:rPr>
                                  </w:pPr>
                                </w:p>
                                <w:p>
                                  <w:pPr>
                                    <w:pStyle w:val="14"/>
                                    <w:spacing w:before="1"/>
                                    <w:ind w:left="186"/>
                                    <w:rPr>
                                      <w:sz w:val="20"/>
                                    </w:rPr>
                                  </w:pPr>
                                  <w:r>
                                    <w:rPr>
                                      <w:sz w:val="20"/>
                                    </w:rPr>
                                    <w:t>合计</w:t>
                                  </w:r>
                                </w:p>
                              </w:tc>
                              <w:tc>
                                <w:tcPr>
                                  <w:tcW w:w="775" w:type="dxa"/>
                                  <w:vMerge w:val="continue"/>
                                  <w:tcBorders>
                                    <w:top w:val="nil"/>
                                  </w:tcBorders>
                                </w:tcPr>
                                <w:p>
                                  <w:pPr>
                                    <w:rPr>
                                      <w:sz w:val="2"/>
                                      <w:szCs w:val="2"/>
                                    </w:rPr>
                                  </w:pPr>
                                </w:p>
                              </w:tc>
                              <w:tc>
                                <w:tcPr>
                                  <w:tcW w:w="77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774" w:type="dxa"/>
                                </w:tcPr>
                                <w:p>
                                  <w:pPr>
                                    <w:pStyle w:val="14"/>
                                    <w:rPr>
                                      <w:rFonts w:ascii="Times New Roman"/>
                                      <w:sz w:val="18"/>
                                    </w:rPr>
                                  </w:pPr>
                                </w:p>
                              </w:tc>
                              <w:tc>
                                <w:tcPr>
                                  <w:tcW w:w="774" w:type="dxa"/>
                                </w:tcPr>
                                <w:p>
                                  <w:pPr>
                                    <w:pStyle w:val="14"/>
                                    <w:rPr>
                                      <w:rFonts w:ascii="Times New Roman"/>
                                      <w:sz w:val="18"/>
                                    </w:rPr>
                                  </w:pPr>
                                </w:p>
                              </w:tc>
                              <w:tc>
                                <w:tcPr>
                                  <w:tcW w:w="774"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774" w:type="dxa"/>
                                </w:tcPr>
                                <w:p>
                                  <w:pPr>
                                    <w:pStyle w:val="14"/>
                                    <w:rPr>
                                      <w:rFonts w:ascii="Times New Roman"/>
                                      <w:sz w:val="18"/>
                                    </w:rPr>
                                  </w:pPr>
                                </w:p>
                              </w:tc>
                              <w:tc>
                                <w:tcPr>
                                  <w:tcW w:w="774" w:type="dxa"/>
                                </w:tcPr>
                                <w:p>
                                  <w:pPr>
                                    <w:pStyle w:val="14"/>
                                    <w:rPr>
                                      <w:rFonts w:ascii="Times New Roman"/>
                                      <w:sz w:val="18"/>
                                    </w:rPr>
                                  </w:pPr>
                                </w:p>
                              </w:tc>
                              <w:tc>
                                <w:tcPr>
                                  <w:tcW w:w="774"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r>
                          </w:tbl>
                          <w:p>
                            <w:pPr>
                              <w:pStyle w:val="6"/>
                              <w:spacing w:before="0"/>
                              <w:ind w:left="0"/>
                            </w:pPr>
                          </w:p>
                        </w:txbxContent>
                      </wps:txbx>
                      <wps:bodyPr lIns="0" tIns="0" rIns="0" bIns="0" upright="1"/>
                    </wps:wsp>
                  </a:graphicData>
                </a:graphic>
              </wp:anchor>
            </w:drawing>
          </mc:Choice>
          <mc:Fallback>
            <w:pict>
              <v:shape id="文本框 87" o:spid="_x0000_s1026" o:spt="202" type="#_x0000_t202" style="position:absolute;left:0pt;margin-left:84.35pt;margin-top:32.65pt;height:84pt;width:426.85pt;mso-position-horizontal-relative:page;z-index:15766528;mso-width-relative:page;mso-height-relative:page;" filled="f" stroked="f" coordsize="21600,21600" o:gfxdata="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NOm8naAAAACwEAAA8A&#10;AAAAAAAAAQAgAAAAIgAAAGRycy9kb3ducmV2LnhtbFBLAQIUABQAAAAIAIdO4kDuj0ZiowEAACcD&#10;AAAOAAAAAAAAAAEAIAAAACk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4"/>
                        <w:gridCol w:w="774"/>
                        <w:gridCol w:w="774"/>
                        <w:gridCol w:w="775"/>
                        <w:gridCol w:w="775"/>
                        <w:gridCol w:w="775"/>
                        <w:gridCol w:w="775"/>
                        <w:gridCol w:w="775"/>
                        <w:gridCol w:w="775"/>
                        <w:gridCol w:w="775"/>
                        <w:gridCol w:w="7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48" w:type="dxa"/>
                            <w:gridSpan w:val="2"/>
                          </w:tcPr>
                          <w:p>
                            <w:pPr>
                              <w:pStyle w:val="14"/>
                              <w:spacing w:before="69" w:line="237" w:lineRule="exact"/>
                              <w:ind w:left="9"/>
                              <w:jc w:val="center"/>
                              <w:rPr>
                                <w:sz w:val="20"/>
                              </w:rPr>
                            </w:pPr>
                            <w:r>
                              <w:rPr>
                                <w:w w:val="99"/>
                                <w:sz w:val="20"/>
                              </w:rPr>
                              <w:t>年</w:t>
                            </w:r>
                          </w:p>
                        </w:tc>
                        <w:tc>
                          <w:tcPr>
                            <w:tcW w:w="1549" w:type="dxa"/>
                            <w:gridSpan w:val="2"/>
                          </w:tcPr>
                          <w:p>
                            <w:pPr>
                              <w:pStyle w:val="14"/>
                              <w:spacing w:before="69" w:line="237" w:lineRule="exact"/>
                              <w:ind w:left="552" w:right="547"/>
                              <w:jc w:val="center"/>
                              <w:rPr>
                                <w:sz w:val="20"/>
                              </w:rPr>
                            </w:pPr>
                            <w:r>
                              <w:rPr>
                                <w:sz w:val="20"/>
                              </w:rPr>
                              <w:t>凭证</w:t>
                            </w:r>
                          </w:p>
                        </w:tc>
                        <w:tc>
                          <w:tcPr>
                            <w:tcW w:w="775" w:type="dxa"/>
                            <w:vMerge w:val="restart"/>
                          </w:tcPr>
                          <w:p>
                            <w:pPr>
                              <w:pStyle w:val="14"/>
                              <w:rPr>
                                <w:sz w:val="20"/>
                              </w:rPr>
                            </w:pPr>
                          </w:p>
                          <w:p>
                            <w:pPr>
                              <w:pStyle w:val="14"/>
                              <w:spacing w:before="144"/>
                              <w:ind w:left="185"/>
                              <w:rPr>
                                <w:sz w:val="20"/>
                              </w:rPr>
                            </w:pPr>
                            <w:r>
                              <w:rPr>
                                <w:sz w:val="20"/>
                              </w:rPr>
                              <w:t>摘要</w:t>
                            </w:r>
                          </w:p>
                        </w:tc>
                        <w:tc>
                          <w:tcPr>
                            <w:tcW w:w="3100" w:type="dxa"/>
                            <w:gridSpan w:val="4"/>
                          </w:tcPr>
                          <w:p>
                            <w:pPr>
                              <w:pStyle w:val="14"/>
                              <w:spacing w:before="69" w:line="237" w:lineRule="exact"/>
                              <w:ind w:left="949"/>
                              <w:rPr>
                                <w:sz w:val="20"/>
                              </w:rPr>
                            </w:pPr>
                            <w:r>
                              <w:rPr>
                                <w:sz w:val="20"/>
                              </w:rPr>
                              <w:t>借方（项目）</w:t>
                            </w:r>
                          </w:p>
                        </w:tc>
                        <w:tc>
                          <w:tcPr>
                            <w:tcW w:w="775" w:type="dxa"/>
                            <w:vMerge w:val="restart"/>
                          </w:tcPr>
                          <w:p>
                            <w:pPr>
                              <w:pStyle w:val="14"/>
                              <w:rPr>
                                <w:sz w:val="20"/>
                              </w:rPr>
                            </w:pPr>
                          </w:p>
                          <w:p>
                            <w:pPr>
                              <w:pStyle w:val="14"/>
                              <w:spacing w:before="144"/>
                              <w:ind w:left="186"/>
                              <w:rPr>
                                <w:sz w:val="20"/>
                              </w:rPr>
                            </w:pPr>
                            <w:r>
                              <w:rPr>
                                <w:sz w:val="20"/>
                              </w:rPr>
                              <w:t>贷方</w:t>
                            </w:r>
                          </w:p>
                        </w:tc>
                        <w:tc>
                          <w:tcPr>
                            <w:tcW w:w="775" w:type="dxa"/>
                            <w:vMerge w:val="restart"/>
                          </w:tcPr>
                          <w:p>
                            <w:pPr>
                              <w:pStyle w:val="14"/>
                              <w:rPr>
                                <w:sz w:val="20"/>
                              </w:rPr>
                            </w:pPr>
                          </w:p>
                          <w:p>
                            <w:pPr>
                              <w:pStyle w:val="14"/>
                              <w:spacing w:before="144"/>
                              <w:ind w:left="187"/>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774" w:type="dxa"/>
                          </w:tcPr>
                          <w:p>
                            <w:pPr>
                              <w:pStyle w:val="14"/>
                              <w:spacing w:before="1"/>
                              <w:rPr>
                                <w:sz w:val="18"/>
                              </w:rPr>
                            </w:pPr>
                          </w:p>
                          <w:p>
                            <w:pPr>
                              <w:pStyle w:val="14"/>
                              <w:spacing w:before="1"/>
                              <w:ind w:left="10"/>
                              <w:jc w:val="center"/>
                              <w:rPr>
                                <w:sz w:val="20"/>
                              </w:rPr>
                            </w:pPr>
                            <w:r>
                              <w:rPr>
                                <w:w w:val="99"/>
                                <w:sz w:val="20"/>
                              </w:rPr>
                              <w:t>月</w:t>
                            </w:r>
                          </w:p>
                        </w:tc>
                        <w:tc>
                          <w:tcPr>
                            <w:tcW w:w="774" w:type="dxa"/>
                          </w:tcPr>
                          <w:p>
                            <w:pPr>
                              <w:pStyle w:val="14"/>
                              <w:spacing w:before="1"/>
                              <w:rPr>
                                <w:sz w:val="18"/>
                              </w:rPr>
                            </w:pPr>
                          </w:p>
                          <w:p>
                            <w:pPr>
                              <w:pStyle w:val="14"/>
                              <w:spacing w:before="1"/>
                              <w:ind w:left="8"/>
                              <w:jc w:val="center"/>
                              <w:rPr>
                                <w:sz w:val="20"/>
                              </w:rPr>
                            </w:pPr>
                            <w:r>
                              <w:rPr>
                                <w:w w:val="99"/>
                                <w:sz w:val="20"/>
                              </w:rPr>
                              <w:t>日</w:t>
                            </w:r>
                          </w:p>
                        </w:tc>
                        <w:tc>
                          <w:tcPr>
                            <w:tcW w:w="774" w:type="dxa"/>
                          </w:tcPr>
                          <w:p>
                            <w:pPr>
                              <w:pStyle w:val="14"/>
                              <w:spacing w:before="1"/>
                              <w:rPr>
                                <w:sz w:val="18"/>
                              </w:rPr>
                            </w:pPr>
                          </w:p>
                          <w:p>
                            <w:pPr>
                              <w:pStyle w:val="14"/>
                              <w:spacing w:before="1"/>
                              <w:ind w:left="186"/>
                              <w:rPr>
                                <w:sz w:val="20"/>
                              </w:rPr>
                            </w:pPr>
                            <w:r>
                              <w:rPr>
                                <w:sz w:val="20"/>
                              </w:rPr>
                              <w:t>种类</w:t>
                            </w:r>
                          </w:p>
                        </w:tc>
                        <w:tc>
                          <w:tcPr>
                            <w:tcW w:w="775" w:type="dxa"/>
                          </w:tcPr>
                          <w:p>
                            <w:pPr>
                              <w:pStyle w:val="14"/>
                              <w:spacing w:before="1"/>
                              <w:rPr>
                                <w:sz w:val="18"/>
                              </w:rPr>
                            </w:pPr>
                          </w:p>
                          <w:p>
                            <w:pPr>
                              <w:pStyle w:val="14"/>
                              <w:spacing w:before="1"/>
                              <w:ind w:left="185"/>
                              <w:rPr>
                                <w:sz w:val="20"/>
                              </w:rPr>
                            </w:pPr>
                            <w:r>
                              <w:rPr>
                                <w:sz w:val="20"/>
                              </w:rPr>
                              <w:t>号数</w:t>
                            </w:r>
                          </w:p>
                        </w:tc>
                        <w:tc>
                          <w:tcPr>
                            <w:tcW w:w="775" w:type="dxa"/>
                            <w:vMerge w:val="continue"/>
                            <w:tcBorders>
                              <w:top w:val="nil"/>
                            </w:tcBorders>
                          </w:tcPr>
                          <w:p>
                            <w:pPr>
                              <w:rPr>
                                <w:sz w:val="2"/>
                                <w:szCs w:val="2"/>
                              </w:rPr>
                            </w:pPr>
                          </w:p>
                        </w:tc>
                        <w:tc>
                          <w:tcPr>
                            <w:tcW w:w="775" w:type="dxa"/>
                          </w:tcPr>
                          <w:p>
                            <w:pPr>
                              <w:pStyle w:val="14"/>
                              <w:spacing w:before="8" w:line="326" w:lineRule="exact"/>
                              <w:ind w:left="186" w:right="178"/>
                              <w:rPr>
                                <w:sz w:val="20"/>
                              </w:rPr>
                            </w:pPr>
                            <w:r>
                              <w:rPr>
                                <w:sz w:val="20"/>
                              </w:rPr>
                              <w:t>直接材料</w:t>
                            </w:r>
                          </w:p>
                        </w:tc>
                        <w:tc>
                          <w:tcPr>
                            <w:tcW w:w="775" w:type="dxa"/>
                          </w:tcPr>
                          <w:p>
                            <w:pPr>
                              <w:pStyle w:val="14"/>
                              <w:spacing w:before="8" w:line="326" w:lineRule="exact"/>
                              <w:ind w:left="186" w:right="178"/>
                              <w:rPr>
                                <w:sz w:val="20"/>
                              </w:rPr>
                            </w:pPr>
                            <w:r>
                              <w:rPr>
                                <w:sz w:val="20"/>
                              </w:rPr>
                              <w:t>直接人工</w:t>
                            </w:r>
                          </w:p>
                        </w:tc>
                        <w:tc>
                          <w:tcPr>
                            <w:tcW w:w="775" w:type="dxa"/>
                          </w:tcPr>
                          <w:p>
                            <w:pPr>
                              <w:pStyle w:val="14"/>
                              <w:spacing w:before="8" w:line="326" w:lineRule="exact"/>
                              <w:ind w:left="186" w:right="178"/>
                              <w:rPr>
                                <w:sz w:val="20"/>
                              </w:rPr>
                            </w:pPr>
                            <w:r>
                              <w:rPr>
                                <w:sz w:val="20"/>
                              </w:rPr>
                              <w:t>制造费用</w:t>
                            </w:r>
                          </w:p>
                        </w:tc>
                        <w:tc>
                          <w:tcPr>
                            <w:tcW w:w="775" w:type="dxa"/>
                          </w:tcPr>
                          <w:p>
                            <w:pPr>
                              <w:pStyle w:val="14"/>
                              <w:spacing w:before="1"/>
                              <w:rPr>
                                <w:sz w:val="18"/>
                              </w:rPr>
                            </w:pPr>
                          </w:p>
                          <w:p>
                            <w:pPr>
                              <w:pStyle w:val="14"/>
                              <w:spacing w:before="1"/>
                              <w:ind w:left="186"/>
                              <w:rPr>
                                <w:sz w:val="20"/>
                              </w:rPr>
                            </w:pPr>
                            <w:r>
                              <w:rPr>
                                <w:sz w:val="20"/>
                              </w:rPr>
                              <w:t>合计</w:t>
                            </w:r>
                          </w:p>
                        </w:tc>
                        <w:tc>
                          <w:tcPr>
                            <w:tcW w:w="775" w:type="dxa"/>
                            <w:vMerge w:val="continue"/>
                            <w:tcBorders>
                              <w:top w:val="nil"/>
                            </w:tcBorders>
                          </w:tcPr>
                          <w:p>
                            <w:pPr>
                              <w:rPr>
                                <w:sz w:val="2"/>
                                <w:szCs w:val="2"/>
                              </w:rPr>
                            </w:pPr>
                          </w:p>
                        </w:tc>
                        <w:tc>
                          <w:tcPr>
                            <w:tcW w:w="77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774" w:type="dxa"/>
                          </w:tcPr>
                          <w:p>
                            <w:pPr>
                              <w:pStyle w:val="14"/>
                              <w:rPr>
                                <w:rFonts w:ascii="Times New Roman"/>
                                <w:sz w:val="18"/>
                              </w:rPr>
                            </w:pPr>
                          </w:p>
                        </w:tc>
                        <w:tc>
                          <w:tcPr>
                            <w:tcW w:w="774" w:type="dxa"/>
                          </w:tcPr>
                          <w:p>
                            <w:pPr>
                              <w:pStyle w:val="14"/>
                              <w:rPr>
                                <w:rFonts w:ascii="Times New Roman"/>
                                <w:sz w:val="18"/>
                              </w:rPr>
                            </w:pPr>
                          </w:p>
                        </w:tc>
                        <w:tc>
                          <w:tcPr>
                            <w:tcW w:w="774"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774" w:type="dxa"/>
                          </w:tcPr>
                          <w:p>
                            <w:pPr>
                              <w:pStyle w:val="14"/>
                              <w:rPr>
                                <w:rFonts w:ascii="Times New Roman"/>
                                <w:sz w:val="18"/>
                              </w:rPr>
                            </w:pPr>
                          </w:p>
                        </w:tc>
                        <w:tc>
                          <w:tcPr>
                            <w:tcW w:w="774" w:type="dxa"/>
                          </w:tcPr>
                          <w:p>
                            <w:pPr>
                              <w:pStyle w:val="14"/>
                              <w:rPr>
                                <w:rFonts w:ascii="Times New Roman"/>
                                <w:sz w:val="18"/>
                              </w:rPr>
                            </w:pPr>
                          </w:p>
                        </w:tc>
                        <w:tc>
                          <w:tcPr>
                            <w:tcW w:w="774"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c>
                          <w:tcPr>
                            <w:tcW w:w="775" w:type="dxa"/>
                          </w:tcPr>
                          <w:p>
                            <w:pPr>
                              <w:pStyle w:val="14"/>
                              <w:rPr>
                                <w:rFonts w:ascii="Times New Roman"/>
                                <w:sz w:val="18"/>
                              </w:rPr>
                            </w:pPr>
                          </w:p>
                        </w:tc>
                      </w:tr>
                    </w:tbl>
                    <w:p>
                      <w:pPr>
                        <w:pStyle w:val="6"/>
                        <w:spacing w:before="0"/>
                        <w:ind w:left="0"/>
                      </w:pPr>
                    </w:p>
                  </w:txbxContent>
                </v:textbox>
              </v:shape>
            </w:pict>
          </mc:Fallback>
        </mc:AlternateContent>
      </w:r>
      <w:r>
        <w:rPr>
          <w:w w:val="95"/>
        </w:rPr>
        <w:t>多栏式账簿是指在账簿的两个金额栏目（借方和贷方）按需要分设若干专栏的账簿。多栏式账簿又分为</w:t>
      </w:r>
      <w:r>
        <w:rPr>
          <w:color w:val="FF0000"/>
          <w:w w:val="95"/>
          <w:u w:val="double" w:color="FF0000"/>
        </w:rPr>
        <w:t xml:space="preserve">借方   </w:t>
      </w:r>
      <w:r>
        <w:rPr>
          <w:color w:val="FF0000"/>
          <w:u w:val="double" w:color="FF0000"/>
        </w:rPr>
        <w:t>多栏式、贷方多栏式和借贷方多栏式</w:t>
      </w:r>
      <w: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2"/>
        <w:ind w:left="0"/>
      </w:pPr>
    </w:p>
    <w:p>
      <w:pPr>
        <w:tabs>
          <w:tab w:val="left" w:pos="2410"/>
        </w:tabs>
        <w:spacing w:before="0"/>
        <w:ind w:left="999" w:right="0" w:firstLine="0"/>
        <w:jc w:val="left"/>
        <w:rPr>
          <w:sz w:val="18"/>
        </w:rPr>
      </w:pPr>
      <w:r>
        <mc:AlternateContent>
          <mc:Choice Requires="wps">
            <w:drawing>
              <wp:anchor distT="0" distB="0" distL="114300" distR="114300" simplePos="0" relativeHeight="482398208" behindDoc="1" locked="0" layoutInCell="1" allowOverlap="1">
                <wp:simplePos x="0" y="0"/>
                <wp:positionH relativeFrom="page">
                  <wp:posOffset>995045</wp:posOffset>
                </wp:positionH>
                <wp:positionV relativeFrom="paragraph">
                  <wp:posOffset>-85725</wp:posOffset>
                </wp:positionV>
                <wp:extent cx="1766570" cy="498475"/>
                <wp:effectExtent l="0" t="0" r="5080" b="15875"/>
                <wp:wrapNone/>
                <wp:docPr id="250" name="任意多边形 88"/>
                <wp:cNvGraphicFramePr/>
                <a:graphic xmlns:a="http://schemas.openxmlformats.org/drawingml/2006/main">
                  <a:graphicData uri="http://schemas.microsoft.com/office/word/2010/wordprocessingShape">
                    <wps:wsp>
                      <wps:cNvSpPr/>
                      <wps:spPr>
                        <a:xfrm>
                          <a:off x="0" y="0"/>
                          <a:ext cx="1766570" cy="498475"/>
                        </a:xfrm>
                        <a:custGeom>
                          <a:avLst/>
                          <a:gdLst/>
                          <a:ahLst/>
                          <a:cxnLst/>
                          <a:pathLst>
                            <a:path w="2782" h="785">
                              <a:moveTo>
                                <a:pt x="1284" y="0"/>
                              </a:moveTo>
                              <a:lnTo>
                                <a:pt x="0" y="0"/>
                              </a:lnTo>
                              <a:lnTo>
                                <a:pt x="0" y="504"/>
                              </a:lnTo>
                              <a:lnTo>
                                <a:pt x="749" y="504"/>
                              </a:lnTo>
                              <a:lnTo>
                                <a:pt x="845" y="737"/>
                              </a:lnTo>
                              <a:lnTo>
                                <a:pt x="1071" y="504"/>
                              </a:lnTo>
                              <a:lnTo>
                                <a:pt x="1284" y="504"/>
                              </a:lnTo>
                              <a:lnTo>
                                <a:pt x="1284" y="0"/>
                              </a:lnTo>
                              <a:close/>
                              <a:moveTo>
                                <a:pt x="2782" y="10"/>
                              </a:moveTo>
                              <a:lnTo>
                                <a:pt x="1325" y="10"/>
                              </a:lnTo>
                              <a:lnTo>
                                <a:pt x="1325" y="514"/>
                              </a:lnTo>
                              <a:lnTo>
                                <a:pt x="1567" y="514"/>
                              </a:lnTo>
                              <a:lnTo>
                                <a:pt x="1930" y="785"/>
                              </a:lnTo>
                              <a:lnTo>
                                <a:pt x="1932" y="514"/>
                              </a:lnTo>
                              <a:lnTo>
                                <a:pt x="2782" y="514"/>
                              </a:lnTo>
                              <a:lnTo>
                                <a:pt x="2782" y="10"/>
                              </a:lnTo>
                              <a:close/>
                            </a:path>
                          </a:pathLst>
                        </a:custGeom>
                        <a:solidFill>
                          <a:srgbClr val="F1F1F1"/>
                        </a:solidFill>
                        <a:ln>
                          <a:noFill/>
                        </a:ln>
                      </wps:spPr>
                      <wps:bodyPr upright="1"/>
                    </wps:wsp>
                  </a:graphicData>
                </a:graphic>
              </wp:anchor>
            </w:drawing>
          </mc:Choice>
          <mc:Fallback>
            <w:pict>
              <v:shape id="任意多边形 88" o:spid="_x0000_s1026" o:spt="100" style="position:absolute;left:0pt;margin-left:78.35pt;margin-top:-6.75pt;height:39.25pt;width:139.1pt;mso-position-horizontal-relative:page;z-index:-20918272;mso-width-relative:page;mso-height-relative:page;" fillcolor="#F1F1F1" filled="t" stroked="f" coordsize="2782,785" o:gfxdata="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oFJGNsAAAAKAQAADwAAAAAAAAABACAAAAAiAAAAZHJzL2Rvd25yZXYueG1sUEsB&#10;AhQAFAAAAAgAh07iQMG+fAhkAgAABAYAAA4AAAAAAAAAAQAgAAAAKgEAAGRycy9lMm9Eb2MueG1s&#10;UEsFBgAAAAAGAAYAWQEAAAAGAAAAAA==&#10;" path="m1284,0l0,0,0,504,749,504,845,737,1071,504,1284,504,1284,0xm2782,10l1325,10,1325,514,1567,514,1930,785,1932,514,2782,514,2782,10xe">
                <v:fill on="t" focussize="0,0"/>
                <v:stroke on="f"/>
                <v:imagedata o:title=""/>
                <o:lock v:ext="edit" aspectratio="f"/>
              </v:shape>
            </w:pict>
          </mc:Fallback>
        </mc:AlternateContent>
      </w:r>
      <w:r>
        <w:rPr>
          <w:position w:val="1"/>
          <w:sz w:val="18"/>
        </w:rPr>
        <w:t>贷方多栏式</w:t>
      </w:r>
      <w:r>
        <w:rPr>
          <w:position w:val="1"/>
          <w:sz w:val="18"/>
        </w:rPr>
        <w:tab/>
      </w:r>
      <w:r>
        <w:rPr>
          <w:sz w:val="18"/>
        </w:rPr>
        <w:t>借方多栏式</w:t>
      </w:r>
    </w:p>
    <w:p>
      <w:pPr>
        <w:pStyle w:val="6"/>
        <w:spacing w:before="7"/>
        <w:ind w:left="0"/>
        <w:rPr>
          <w:sz w:val="17"/>
        </w:rPr>
      </w:pPr>
    </w:p>
    <w:p>
      <w:pPr>
        <w:pStyle w:val="6"/>
        <w:spacing w:before="72"/>
      </w:pPr>
      <w:r>
        <mc:AlternateContent>
          <mc:Choice Requires="wps">
            <w:drawing>
              <wp:anchor distT="0" distB="0" distL="114300" distR="114300" simplePos="0" relativeHeight="15765504" behindDoc="0" locked="0" layoutInCell="1" allowOverlap="1">
                <wp:simplePos x="0" y="0"/>
                <wp:positionH relativeFrom="page">
                  <wp:posOffset>1068705</wp:posOffset>
                </wp:positionH>
                <wp:positionV relativeFrom="paragraph">
                  <wp:posOffset>184150</wp:posOffset>
                </wp:positionV>
                <wp:extent cx="251460" cy="5715"/>
                <wp:effectExtent l="0" t="0" r="0" b="0"/>
                <wp:wrapNone/>
                <wp:docPr id="72" name="任意多边形 8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89" o:spid="_x0000_s1026" o:spt="100" style="position:absolute;left:0pt;margin-left:84.15pt;margin-top:14.5pt;height:0.45pt;width:19.8pt;mso-position-horizontal-relative:page;z-index:15765504;mso-width-relative:page;mso-height-relative:page;" filled="f" stroked="t" coordsize="396,9" o:gfxdata="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YFxmX2AAA&#10;AAkBAAAPAAAAAAAAAAEAIAAAACIAAABkcnMvZG93bnJldi54bWxQSwECFAAUAAAACACHTuJArBB3&#10;nJACAABVBwAADgAAAAAAAAABACAAAAAnAQAAZHJzL2Uyb0RvYy54bWxQSwUGAAAAAAYABgBZAQAA&#10;KQ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】收入、成本、费用、本年利润和利润分配明细账采用多栏式</w:t>
      </w:r>
    </w:p>
    <w:p>
      <w:pPr>
        <w:pStyle w:val="6"/>
      </w:pPr>
      <w:r>
        <w:t>③</w:t>
      </w:r>
      <w:r>
        <w:rPr>
          <w:color w:val="FF0000"/>
          <w:u w:val="double" w:color="FF0000"/>
        </w:rPr>
        <w:t>数量金额式账簿</w:t>
      </w:r>
    </w:p>
    <w:p>
      <w:pPr>
        <w:pStyle w:val="6"/>
        <w:spacing w:line="304" w:lineRule="auto"/>
        <w:ind w:left="322" w:right="722" w:firstLine="400"/>
      </w:pPr>
      <w:r>
        <w:rPr>
          <w:spacing w:val="-1"/>
          <w:w w:val="95"/>
        </w:rPr>
        <w:t>数量金额式账簿是指在账簿的借方、贷方和余额三个栏目内，每个栏目再分设</w:t>
      </w:r>
      <w:r>
        <w:rPr>
          <w:color w:val="FF0000"/>
          <w:spacing w:val="-2"/>
          <w:w w:val="95"/>
          <w:u w:val="double" w:color="FF0000"/>
        </w:rPr>
        <w:t>数量、单价和金额三小栏</w:t>
      </w:r>
      <w:r>
        <w:rPr>
          <w:spacing w:val="-2"/>
          <w:w w:val="95"/>
        </w:rPr>
        <w:t xml:space="preserve">，借   </w:t>
      </w:r>
      <w:r>
        <w:rPr>
          <w:spacing w:val="-2"/>
        </w:rPr>
        <w:t>以反映财产物资的</w:t>
      </w:r>
      <w:r>
        <w:rPr>
          <w:color w:val="FF0000"/>
          <w:spacing w:val="-2"/>
          <w:u w:val="double" w:color="FF0000"/>
        </w:rPr>
        <w:t>实物数量和价值量</w:t>
      </w:r>
      <w:r>
        <w:rPr>
          <w:spacing w:val="-2"/>
        </w:rPr>
        <w:t>的账簿。</w:t>
      </w:r>
    </w:p>
    <w:p>
      <w:pPr>
        <w:pStyle w:val="6"/>
        <w:spacing w:before="2"/>
      </w:pPr>
      <w:r>
        <w:t>原材料、库存商品、产成品等存货明细账采用数量金额式。</w:t>
      </w:r>
    </w:p>
    <w:tbl>
      <w:tblPr>
        <w:tblStyle w:val="10"/>
        <w:tblW w:w="0" w:type="auto"/>
        <w:tblInd w:w="5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9"/>
        <w:gridCol w:w="659"/>
        <w:gridCol w:w="659"/>
        <w:gridCol w:w="659"/>
        <w:gridCol w:w="660"/>
        <w:gridCol w:w="660"/>
        <w:gridCol w:w="660"/>
        <w:gridCol w:w="660"/>
        <w:gridCol w:w="660"/>
        <w:gridCol w:w="660"/>
        <w:gridCol w:w="660"/>
        <w:gridCol w:w="660"/>
        <w:gridCol w:w="660"/>
        <w:gridCol w:w="6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18" w:type="dxa"/>
            <w:gridSpan w:val="2"/>
          </w:tcPr>
          <w:p>
            <w:pPr>
              <w:pStyle w:val="14"/>
              <w:spacing w:before="69" w:line="236" w:lineRule="exact"/>
              <w:ind w:left="7"/>
              <w:jc w:val="center"/>
              <w:rPr>
                <w:sz w:val="20"/>
              </w:rPr>
            </w:pPr>
            <w:r>
              <w:rPr>
                <w:w w:val="99"/>
                <w:sz w:val="20"/>
              </w:rPr>
              <w:t>年</w:t>
            </w:r>
          </w:p>
        </w:tc>
        <w:tc>
          <w:tcPr>
            <w:tcW w:w="1318" w:type="dxa"/>
            <w:gridSpan w:val="2"/>
          </w:tcPr>
          <w:p>
            <w:pPr>
              <w:pStyle w:val="14"/>
              <w:spacing w:before="69" w:line="236" w:lineRule="exact"/>
              <w:ind w:left="438" w:right="429"/>
              <w:jc w:val="center"/>
              <w:rPr>
                <w:sz w:val="20"/>
              </w:rPr>
            </w:pPr>
            <w:r>
              <w:rPr>
                <w:sz w:val="20"/>
              </w:rPr>
              <w:t>凭证</w:t>
            </w:r>
          </w:p>
        </w:tc>
        <w:tc>
          <w:tcPr>
            <w:tcW w:w="660" w:type="dxa"/>
            <w:vMerge w:val="restart"/>
          </w:tcPr>
          <w:p>
            <w:pPr>
              <w:pStyle w:val="14"/>
              <w:spacing w:before="10"/>
              <w:rPr>
                <w:sz w:val="26"/>
              </w:rPr>
            </w:pPr>
          </w:p>
          <w:p>
            <w:pPr>
              <w:pStyle w:val="14"/>
              <w:ind w:left="130"/>
              <w:rPr>
                <w:sz w:val="20"/>
              </w:rPr>
            </w:pPr>
            <w:r>
              <w:rPr>
                <w:sz w:val="20"/>
              </w:rPr>
              <w:t>摘要</w:t>
            </w:r>
          </w:p>
        </w:tc>
        <w:tc>
          <w:tcPr>
            <w:tcW w:w="1980" w:type="dxa"/>
            <w:gridSpan w:val="3"/>
          </w:tcPr>
          <w:p>
            <w:pPr>
              <w:pStyle w:val="14"/>
              <w:spacing w:before="69" w:line="236" w:lineRule="exact"/>
              <w:ind w:left="389"/>
              <w:rPr>
                <w:sz w:val="20"/>
              </w:rPr>
            </w:pPr>
            <w:r>
              <w:rPr>
                <w:sz w:val="20"/>
              </w:rPr>
              <w:t>借方（收入）</w:t>
            </w:r>
          </w:p>
        </w:tc>
        <w:tc>
          <w:tcPr>
            <w:tcW w:w="1980" w:type="dxa"/>
            <w:gridSpan w:val="3"/>
          </w:tcPr>
          <w:p>
            <w:pPr>
              <w:pStyle w:val="14"/>
              <w:spacing w:before="69" w:line="236" w:lineRule="exact"/>
              <w:ind w:left="389"/>
              <w:rPr>
                <w:sz w:val="20"/>
              </w:rPr>
            </w:pPr>
            <w:r>
              <w:rPr>
                <w:sz w:val="20"/>
              </w:rPr>
              <w:t>贷方（发出）</w:t>
            </w:r>
          </w:p>
        </w:tc>
        <w:tc>
          <w:tcPr>
            <w:tcW w:w="1980" w:type="dxa"/>
            <w:gridSpan w:val="3"/>
          </w:tcPr>
          <w:p>
            <w:pPr>
              <w:pStyle w:val="14"/>
              <w:spacing w:before="69" w:line="236" w:lineRule="exact"/>
              <w:ind w:left="389"/>
              <w:rPr>
                <w:sz w:val="20"/>
              </w:rPr>
            </w:pPr>
            <w:r>
              <w:rPr>
                <w:sz w:val="20"/>
              </w:rPr>
              <w:t>余额（结存）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659" w:type="dxa"/>
          </w:tcPr>
          <w:p>
            <w:pPr>
              <w:pStyle w:val="14"/>
              <w:spacing w:before="175"/>
              <w:ind w:left="9"/>
              <w:jc w:val="center"/>
              <w:rPr>
                <w:sz w:val="20"/>
              </w:rPr>
            </w:pPr>
            <w:r>
              <w:rPr>
                <w:w w:val="99"/>
                <w:sz w:val="20"/>
              </w:rPr>
              <w:t>月</w:t>
            </w:r>
          </w:p>
        </w:tc>
        <w:tc>
          <w:tcPr>
            <w:tcW w:w="659" w:type="dxa"/>
          </w:tcPr>
          <w:p>
            <w:pPr>
              <w:pStyle w:val="14"/>
              <w:spacing w:before="175"/>
              <w:ind w:left="6"/>
              <w:jc w:val="center"/>
              <w:rPr>
                <w:sz w:val="20"/>
              </w:rPr>
            </w:pPr>
            <w:r>
              <w:rPr>
                <w:w w:val="99"/>
                <w:sz w:val="20"/>
              </w:rPr>
              <w:t>日</w:t>
            </w:r>
          </w:p>
        </w:tc>
        <w:tc>
          <w:tcPr>
            <w:tcW w:w="659" w:type="dxa"/>
          </w:tcPr>
          <w:p>
            <w:pPr>
              <w:pStyle w:val="14"/>
              <w:spacing w:before="175"/>
              <w:ind w:left="128"/>
              <w:rPr>
                <w:sz w:val="20"/>
              </w:rPr>
            </w:pPr>
            <w:r>
              <w:rPr>
                <w:sz w:val="20"/>
              </w:rPr>
              <w:t>种类</w:t>
            </w:r>
          </w:p>
        </w:tc>
        <w:tc>
          <w:tcPr>
            <w:tcW w:w="659" w:type="dxa"/>
          </w:tcPr>
          <w:p>
            <w:pPr>
              <w:pStyle w:val="14"/>
              <w:spacing w:before="175"/>
              <w:ind w:left="129"/>
              <w:rPr>
                <w:sz w:val="20"/>
              </w:rPr>
            </w:pPr>
            <w:r>
              <w:rPr>
                <w:sz w:val="20"/>
              </w:rPr>
              <w:t>号数</w:t>
            </w:r>
          </w:p>
        </w:tc>
        <w:tc>
          <w:tcPr>
            <w:tcW w:w="660" w:type="dxa"/>
            <w:vMerge w:val="continue"/>
            <w:tcBorders>
              <w:top w:val="nil"/>
            </w:tcBorders>
          </w:tcPr>
          <w:p>
            <w:pPr>
              <w:rPr>
                <w:sz w:val="2"/>
                <w:szCs w:val="2"/>
              </w:rPr>
            </w:pPr>
          </w:p>
        </w:tc>
        <w:tc>
          <w:tcPr>
            <w:tcW w:w="660" w:type="dxa"/>
          </w:tcPr>
          <w:p>
            <w:pPr>
              <w:pStyle w:val="14"/>
              <w:spacing w:before="175"/>
              <w:ind w:left="130"/>
              <w:rPr>
                <w:sz w:val="20"/>
              </w:rPr>
            </w:pPr>
            <w:r>
              <w:rPr>
                <w:sz w:val="20"/>
              </w:rPr>
              <w:t>数量</w:t>
            </w:r>
          </w:p>
        </w:tc>
        <w:tc>
          <w:tcPr>
            <w:tcW w:w="660" w:type="dxa"/>
          </w:tcPr>
          <w:p>
            <w:pPr>
              <w:pStyle w:val="14"/>
              <w:spacing w:before="175"/>
              <w:ind w:left="130"/>
              <w:rPr>
                <w:sz w:val="20"/>
              </w:rPr>
            </w:pPr>
            <w:r>
              <w:rPr>
                <w:sz w:val="20"/>
              </w:rPr>
              <w:t>单价</w:t>
            </w:r>
          </w:p>
        </w:tc>
        <w:tc>
          <w:tcPr>
            <w:tcW w:w="660" w:type="dxa"/>
          </w:tcPr>
          <w:p>
            <w:pPr>
              <w:pStyle w:val="14"/>
              <w:spacing w:before="175"/>
              <w:ind w:left="130"/>
              <w:rPr>
                <w:sz w:val="20"/>
              </w:rPr>
            </w:pPr>
            <w:r>
              <w:rPr>
                <w:sz w:val="20"/>
              </w:rPr>
              <w:t>金额</w:t>
            </w:r>
          </w:p>
        </w:tc>
        <w:tc>
          <w:tcPr>
            <w:tcW w:w="660" w:type="dxa"/>
          </w:tcPr>
          <w:p>
            <w:pPr>
              <w:pStyle w:val="14"/>
              <w:spacing w:before="175"/>
              <w:ind w:left="130"/>
              <w:rPr>
                <w:sz w:val="20"/>
              </w:rPr>
            </w:pPr>
            <w:r>
              <w:rPr>
                <w:sz w:val="20"/>
              </w:rPr>
              <w:t>数量</w:t>
            </w:r>
          </w:p>
        </w:tc>
        <w:tc>
          <w:tcPr>
            <w:tcW w:w="660" w:type="dxa"/>
          </w:tcPr>
          <w:p>
            <w:pPr>
              <w:pStyle w:val="14"/>
              <w:spacing w:before="175"/>
              <w:ind w:left="130"/>
              <w:rPr>
                <w:sz w:val="20"/>
              </w:rPr>
            </w:pPr>
            <w:r>
              <w:rPr>
                <w:sz w:val="20"/>
              </w:rPr>
              <w:t>单价</w:t>
            </w:r>
          </w:p>
        </w:tc>
        <w:tc>
          <w:tcPr>
            <w:tcW w:w="660" w:type="dxa"/>
          </w:tcPr>
          <w:p>
            <w:pPr>
              <w:pStyle w:val="14"/>
              <w:spacing w:before="175"/>
              <w:ind w:left="130"/>
              <w:rPr>
                <w:sz w:val="20"/>
              </w:rPr>
            </w:pPr>
            <w:r>
              <w:rPr>
                <w:sz w:val="20"/>
              </w:rPr>
              <w:t>金额</w:t>
            </w:r>
          </w:p>
        </w:tc>
        <w:tc>
          <w:tcPr>
            <w:tcW w:w="660" w:type="dxa"/>
          </w:tcPr>
          <w:p>
            <w:pPr>
              <w:pStyle w:val="14"/>
              <w:spacing w:before="175"/>
              <w:ind w:left="130"/>
              <w:rPr>
                <w:sz w:val="20"/>
              </w:rPr>
            </w:pPr>
            <w:r>
              <w:rPr>
                <w:sz w:val="20"/>
              </w:rPr>
              <w:t>数量</w:t>
            </w:r>
          </w:p>
        </w:tc>
        <w:tc>
          <w:tcPr>
            <w:tcW w:w="660" w:type="dxa"/>
          </w:tcPr>
          <w:p>
            <w:pPr>
              <w:pStyle w:val="14"/>
              <w:spacing w:before="175"/>
              <w:ind w:left="130"/>
              <w:rPr>
                <w:sz w:val="20"/>
              </w:rPr>
            </w:pPr>
            <w:r>
              <w:rPr>
                <w:sz w:val="20"/>
              </w:rPr>
              <w:t>单价</w:t>
            </w:r>
          </w:p>
        </w:tc>
        <w:tc>
          <w:tcPr>
            <w:tcW w:w="660" w:type="dxa"/>
          </w:tcPr>
          <w:p>
            <w:pPr>
              <w:pStyle w:val="14"/>
              <w:spacing w:before="175"/>
              <w:ind w:left="130"/>
              <w:rPr>
                <w:sz w:val="20"/>
              </w:rPr>
            </w:pPr>
            <w:r>
              <w:rPr>
                <w:sz w:val="20"/>
              </w:rPr>
              <w:t>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659" w:type="dxa"/>
          </w:tcPr>
          <w:p>
            <w:pPr>
              <w:pStyle w:val="14"/>
              <w:rPr>
                <w:rFonts w:ascii="Times New Roman"/>
                <w:sz w:val="18"/>
              </w:rPr>
            </w:pPr>
          </w:p>
        </w:tc>
        <w:tc>
          <w:tcPr>
            <w:tcW w:w="659" w:type="dxa"/>
          </w:tcPr>
          <w:p>
            <w:pPr>
              <w:pStyle w:val="14"/>
              <w:rPr>
                <w:rFonts w:ascii="Times New Roman"/>
                <w:sz w:val="18"/>
              </w:rPr>
            </w:pPr>
          </w:p>
        </w:tc>
        <w:tc>
          <w:tcPr>
            <w:tcW w:w="659" w:type="dxa"/>
          </w:tcPr>
          <w:p>
            <w:pPr>
              <w:pStyle w:val="14"/>
              <w:rPr>
                <w:rFonts w:ascii="Times New Roman"/>
                <w:sz w:val="18"/>
              </w:rPr>
            </w:pPr>
          </w:p>
        </w:tc>
        <w:tc>
          <w:tcPr>
            <w:tcW w:w="659"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c>
          <w:tcPr>
            <w:tcW w:w="660" w:type="dxa"/>
          </w:tcPr>
          <w:p>
            <w:pPr>
              <w:pStyle w:val="14"/>
              <w:rPr>
                <w:rFonts w:ascii="Times New Roman"/>
                <w:sz w:val="18"/>
              </w:rPr>
            </w:pPr>
          </w:p>
        </w:tc>
      </w:tr>
    </w:tbl>
    <w:p>
      <w:pPr>
        <w:pStyle w:val="5"/>
        <w:numPr>
          <w:ilvl w:val="0"/>
          <w:numId w:val="31"/>
        </w:numPr>
        <w:tabs>
          <w:tab w:val="left" w:pos="1225"/>
        </w:tabs>
        <w:spacing w:before="68" w:after="0" w:line="240" w:lineRule="auto"/>
        <w:ind w:left="1224" w:right="0" w:hanging="502"/>
        <w:jc w:val="left"/>
        <w:rPr>
          <w:sz w:val="18"/>
        </w:rPr>
      </w:pPr>
      <w:r>
        <w:t>按外形特征分类</w:t>
      </w:r>
    </w:p>
    <w:p>
      <w:pPr>
        <w:pStyle w:val="6"/>
        <w:spacing w:line="304" w:lineRule="auto"/>
        <w:ind w:left="716" w:right="888" w:firstLine="7"/>
      </w:pPr>
      <w:r>
        <w:rPr>
          <w:w w:val="95"/>
        </w:rPr>
        <w:t>①</w:t>
      </w:r>
      <w:r>
        <w:rPr>
          <w:color w:val="FF0000"/>
          <w:w w:val="95"/>
          <w:u w:val="double" w:color="FF0000"/>
        </w:rPr>
        <w:t>订本式账簿</w:t>
      </w:r>
      <w:r>
        <w:rPr>
          <w:color w:val="FF0000"/>
          <w:w w:val="95"/>
        </w:rPr>
        <w:t>：</w:t>
      </w:r>
      <w:r>
        <w:rPr>
          <w:w w:val="95"/>
        </w:rPr>
        <w:t xml:space="preserve">订本式账簿，简称订本账，是在启用前将编有顺序页码的一定数量账页装订成册的账簿。   </w:t>
      </w:r>
      <w:r>
        <w:rPr>
          <w:color w:val="FF0000"/>
          <w:u w:val="double" w:color="FF0000"/>
        </w:rPr>
        <w:t>总分类账、库存现金和银行存日记账采用订本式</w:t>
      </w:r>
      <w:r>
        <w:t>。</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6"/>
        <w:spacing w:before="71" w:line="304" w:lineRule="auto"/>
        <w:ind w:left="322" w:right="647" w:firstLine="400"/>
      </w:pPr>
      <w:r>
        <w:rPr>
          <w:w w:val="95"/>
        </w:rPr>
        <w:t>②</w:t>
      </w:r>
      <w:r>
        <w:rPr>
          <w:color w:val="FF0000"/>
          <w:w w:val="95"/>
          <w:u w:val="double" w:color="FF0000"/>
        </w:rPr>
        <w:t>活页式账簿</w:t>
      </w:r>
      <w:r>
        <w:rPr>
          <w:color w:val="FF0000"/>
          <w:w w:val="95"/>
        </w:rPr>
        <w:t>：</w:t>
      </w:r>
      <w:r>
        <w:rPr>
          <w:w w:val="95"/>
        </w:rPr>
        <w:t xml:space="preserve">活页式账簿，简称活页账，是将一定数量的账页置于活页夹内，可根据记账内容的变化而随   </w:t>
      </w:r>
      <w:r>
        <w:t>时增加或减少部分账页的账簿。</w:t>
      </w:r>
      <w:r>
        <w:rPr>
          <w:color w:val="FF0000"/>
          <w:u w:val="double" w:color="FF0000"/>
        </w:rPr>
        <w:t>各种明细分类账一般采用活页式</w:t>
      </w:r>
      <w:r>
        <w:t>。</w:t>
      </w:r>
    </w:p>
    <w:p>
      <w:pPr>
        <w:pStyle w:val="6"/>
        <w:spacing w:before="2"/>
      </w:pPr>
      <w:r>
        <w:t>③</w:t>
      </w:r>
      <w:r>
        <w:rPr>
          <w:color w:val="FF0000"/>
          <w:u w:val="double" w:color="FF0000"/>
        </w:rPr>
        <w:t>卡片式账簿</w:t>
      </w:r>
    </w:p>
    <w:p>
      <w:pPr>
        <w:pStyle w:val="6"/>
        <w:spacing w:line="304" w:lineRule="auto"/>
        <w:ind w:left="322" w:right="720" w:firstLine="400"/>
      </w:pPr>
      <w:r>
        <w:rPr>
          <w:spacing w:val="-7"/>
          <w:w w:val="95"/>
        </w:rPr>
        <w:t xml:space="preserve">卡片式账簿，简称卡片账，是将一定数量的卡片式账页存放于专设的卡片箱中，可以根据需要随时增添账页   </w:t>
      </w:r>
      <w:r>
        <w:rPr>
          <w:spacing w:val="-7"/>
        </w:rPr>
        <w:t>的账簿。在我国一般只针对</w:t>
      </w:r>
      <w:r>
        <w:rPr>
          <w:color w:val="FF0000"/>
          <w:spacing w:val="-7"/>
          <w:u w:val="double" w:color="FF0000"/>
        </w:rPr>
        <w:t>固定资产</w:t>
      </w:r>
      <w:r>
        <w:rPr>
          <w:spacing w:val="-7"/>
        </w:rPr>
        <w:t>的核算采用卡片式，也有少数企业在材料核算中使用材料卡片。</w:t>
      </w:r>
    </w:p>
    <w:p>
      <w:pPr>
        <w:spacing w:before="0" w:line="223" w:lineRule="exact"/>
        <w:ind w:left="742" w:right="0" w:firstLine="0"/>
        <w:jc w:val="left"/>
        <w:rPr>
          <w:b/>
          <w:sz w:val="21"/>
        </w:rPr>
      </w:pPr>
      <w:r>
        <w:rPr>
          <w:b/>
          <w:sz w:val="21"/>
        </w:rPr>
        <w:t>（二）会计账簿的启用与登记要求</w:t>
      </w:r>
    </w:p>
    <w:p>
      <w:pPr>
        <w:pStyle w:val="5"/>
        <w:numPr>
          <w:ilvl w:val="0"/>
          <w:numId w:val="33"/>
        </w:numPr>
        <w:tabs>
          <w:tab w:val="left" w:pos="925"/>
        </w:tabs>
        <w:spacing w:before="89" w:after="0" w:line="240" w:lineRule="auto"/>
        <w:ind w:left="924" w:right="0" w:hanging="202"/>
        <w:jc w:val="left"/>
      </w:pPr>
      <w:r>
        <w:t>会计账簿的启用要求</w:t>
      </w:r>
    </w:p>
    <w:p>
      <w:pPr>
        <w:pStyle w:val="6"/>
        <w:spacing w:line="304" w:lineRule="auto"/>
        <w:ind w:left="322" w:right="720" w:firstLine="400"/>
        <w:jc w:val="both"/>
      </w:pPr>
      <w:r>
        <mc:AlternateContent>
          <mc:Choice Requires="wps">
            <w:drawing>
              <wp:anchor distT="0" distB="0" distL="114300" distR="114300" simplePos="0" relativeHeight="15768576" behindDoc="0" locked="0" layoutInCell="1" allowOverlap="1">
                <wp:simplePos x="0" y="0"/>
                <wp:positionH relativeFrom="page">
                  <wp:posOffset>1230630</wp:posOffset>
                </wp:positionH>
                <wp:positionV relativeFrom="paragraph">
                  <wp:posOffset>621665</wp:posOffset>
                </wp:positionV>
                <wp:extent cx="5102225" cy="2139950"/>
                <wp:effectExtent l="0" t="0" r="0" b="0"/>
                <wp:wrapNone/>
                <wp:docPr id="86" name="文本框 90"/>
                <wp:cNvGraphicFramePr/>
                <a:graphic xmlns:a="http://schemas.openxmlformats.org/drawingml/2006/main">
                  <a:graphicData uri="http://schemas.microsoft.com/office/word/2010/wordprocessingShape">
                    <wps:wsp>
                      <wps:cNvSpPr txBox="1"/>
                      <wps:spPr>
                        <a:xfrm>
                          <a:off x="0" y="0"/>
                          <a:ext cx="5102225" cy="213995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6"/>
                              <w:gridCol w:w="1336"/>
                              <w:gridCol w:w="1337"/>
                              <w:gridCol w:w="1335"/>
                              <w:gridCol w:w="1336"/>
                              <w:gridCol w:w="1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020" w:type="dxa"/>
                                  <w:gridSpan w:val="6"/>
                                </w:tcPr>
                                <w:p>
                                  <w:pPr>
                                    <w:pStyle w:val="14"/>
                                    <w:spacing w:before="69" w:line="237" w:lineRule="exact"/>
                                    <w:ind w:left="2989" w:right="2584"/>
                                    <w:jc w:val="center"/>
                                    <w:rPr>
                                      <w:sz w:val="20"/>
                                    </w:rPr>
                                  </w:pPr>
                                  <w:r>
                                    <w:rPr>
                                      <w:sz w:val="20"/>
                                    </w:rPr>
                                    <w:t>账簿启用表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009" w:type="dxa"/>
                                  <w:gridSpan w:val="3"/>
                                </w:tcPr>
                                <w:p>
                                  <w:pPr>
                                    <w:pStyle w:val="14"/>
                                    <w:spacing w:before="69" w:line="237" w:lineRule="exact"/>
                                    <w:ind w:left="108"/>
                                    <w:rPr>
                                      <w:sz w:val="20"/>
                                    </w:rPr>
                                  </w:pPr>
                                  <w:r>
                                    <w:rPr>
                                      <w:sz w:val="20"/>
                                    </w:rPr>
                                    <w:t>单位名称：</w:t>
                                  </w:r>
                                </w:p>
                              </w:tc>
                              <w:tc>
                                <w:tcPr>
                                  <w:tcW w:w="4011" w:type="dxa"/>
                                  <w:gridSpan w:val="3"/>
                                </w:tcPr>
                                <w:p>
                                  <w:pPr>
                                    <w:pStyle w:val="14"/>
                                    <w:spacing w:before="69" w:line="237" w:lineRule="exact"/>
                                    <w:ind w:left="107"/>
                                    <w:rPr>
                                      <w:sz w:val="20"/>
                                    </w:rPr>
                                  </w:pPr>
                                  <w:r>
                                    <w:rPr>
                                      <w:sz w:val="20"/>
                                    </w:rPr>
                                    <w:t>账簿名称：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009" w:type="dxa"/>
                                  <w:gridSpan w:val="3"/>
                                </w:tcPr>
                                <w:p>
                                  <w:pPr>
                                    <w:pStyle w:val="14"/>
                                    <w:spacing w:before="69" w:line="237" w:lineRule="exact"/>
                                    <w:ind w:left="108"/>
                                    <w:rPr>
                                      <w:sz w:val="20"/>
                                    </w:rPr>
                                  </w:pPr>
                                  <w:r>
                                    <w:rPr>
                                      <w:sz w:val="20"/>
                                    </w:rPr>
                                    <w:t>账簿编号：</w:t>
                                  </w:r>
                                </w:p>
                              </w:tc>
                              <w:tc>
                                <w:tcPr>
                                  <w:tcW w:w="4011" w:type="dxa"/>
                                  <w:gridSpan w:val="3"/>
                                </w:tcPr>
                                <w:p>
                                  <w:pPr>
                                    <w:pStyle w:val="14"/>
                                    <w:spacing w:before="69" w:line="237" w:lineRule="exact"/>
                                    <w:ind w:left="107"/>
                                    <w:rPr>
                                      <w:sz w:val="20"/>
                                    </w:rPr>
                                  </w:pPr>
                                  <w:r>
                                    <w:rPr>
                                      <w:sz w:val="20"/>
                                    </w:rPr>
                                    <w:t>账簿册数：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009" w:type="dxa"/>
                                  <w:gridSpan w:val="3"/>
                                </w:tcPr>
                                <w:p>
                                  <w:pPr>
                                    <w:pStyle w:val="14"/>
                                    <w:spacing w:before="69" w:line="237" w:lineRule="exact"/>
                                    <w:ind w:left="108"/>
                                    <w:rPr>
                                      <w:sz w:val="20"/>
                                    </w:rPr>
                                  </w:pPr>
                                  <w:r>
                                    <w:rPr>
                                      <w:sz w:val="20"/>
                                    </w:rPr>
                                    <w:t>启用日期：</w:t>
                                  </w:r>
                                </w:p>
                              </w:tc>
                              <w:tc>
                                <w:tcPr>
                                  <w:tcW w:w="4011" w:type="dxa"/>
                                  <w:gridSpan w:val="3"/>
                                </w:tcPr>
                                <w:p>
                                  <w:pPr>
                                    <w:pStyle w:val="14"/>
                                    <w:spacing w:before="69" w:line="237" w:lineRule="exact"/>
                                    <w:ind w:left="107"/>
                                    <w:rPr>
                                      <w:sz w:val="20"/>
                                    </w:rPr>
                                  </w:pPr>
                                  <w:r>
                                    <w:rPr>
                                      <w:sz w:val="20"/>
                                    </w:rPr>
                                    <w:t>账簿页数：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009" w:type="dxa"/>
                                  <w:gridSpan w:val="3"/>
                                </w:tcPr>
                                <w:p>
                                  <w:pPr>
                                    <w:pStyle w:val="14"/>
                                    <w:spacing w:before="69" w:line="237" w:lineRule="exact"/>
                                    <w:ind w:left="108"/>
                                    <w:rPr>
                                      <w:sz w:val="20"/>
                                    </w:rPr>
                                  </w:pPr>
                                  <w:r>
                                    <w:rPr>
                                      <w:sz w:val="20"/>
                                    </w:rPr>
                                    <w:t>会计主管：</w:t>
                                  </w:r>
                                </w:p>
                              </w:tc>
                              <w:tc>
                                <w:tcPr>
                                  <w:tcW w:w="4011" w:type="dxa"/>
                                  <w:gridSpan w:val="3"/>
                                </w:tcPr>
                                <w:p>
                                  <w:pPr>
                                    <w:pStyle w:val="14"/>
                                    <w:spacing w:before="69" w:line="237" w:lineRule="exact"/>
                                    <w:ind w:left="107"/>
                                    <w:rPr>
                                      <w:sz w:val="20"/>
                                    </w:rPr>
                                  </w:pPr>
                                  <w:r>
                                    <w:rPr>
                                      <w:sz w:val="20"/>
                                    </w:rPr>
                                    <w:t>记账人员：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020" w:type="dxa"/>
                                  <w:gridSpan w:val="6"/>
                                </w:tcPr>
                                <w:p>
                                  <w:pPr>
                                    <w:pStyle w:val="14"/>
                                    <w:spacing w:before="69" w:line="237" w:lineRule="exact"/>
                                    <w:ind w:left="2989" w:right="2980"/>
                                    <w:jc w:val="center"/>
                                    <w:rPr>
                                      <w:sz w:val="20"/>
                                    </w:rPr>
                                  </w:pPr>
                                  <w:r>
                                    <w:rPr>
                                      <w:sz w:val="20"/>
                                    </w:rPr>
                                    <w:t>经营本账簿人员一览表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36" w:type="dxa"/>
                                </w:tcPr>
                                <w:p>
                                  <w:pPr>
                                    <w:pStyle w:val="14"/>
                                    <w:spacing w:before="69" w:line="237" w:lineRule="exact"/>
                                    <w:ind w:left="446" w:right="437"/>
                                    <w:jc w:val="center"/>
                                    <w:rPr>
                                      <w:sz w:val="20"/>
                                    </w:rPr>
                                  </w:pPr>
                                  <w:r>
                                    <w:rPr>
                                      <w:sz w:val="20"/>
                                    </w:rPr>
                                    <w:t>姓名</w:t>
                                  </w:r>
                                </w:p>
                              </w:tc>
                              <w:tc>
                                <w:tcPr>
                                  <w:tcW w:w="1336" w:type="dxa"/>
                                </w:tcPr>
                                <w:p>
                                  <w:pPr>
                                    <w:pStyle w:val="14"/>
                                    <w:spacing w:before="69" w:line="237" w:lineRule="exact"/>
                                    <w:ind w:left="444" w:right="438"/>
                                    <w:jc w:val="center"/>
                                    <w:rPr>
                                      <w:sz w:val="20"/>
                                    </w:rPr>
                                  </w:pPr>
                                  <w:r>
                                    <w:rPr>
                                      <w:sz w:val="20"/>
                                    </w:rPr>
                                    <w:t>接管</w:t>
                                  </w:r>
                                </w:p>
                              </w:tc>
                              <w:tc>
                                <w:tcPr>
                                  <w:tcW w:w="2672" w:type="dxa"/>
                                  <w:gridSpan w:val="2"/>
                                </w:tcPr>
                                <w:p>
                                  <w:pPr>
                                    <w:pStyle w:val="14"/>
                                    <w:spacing w:before="69" w:line="237" w:lineRule="exact"/>
                                    <w:ind w:left="1114" w:right="1108"/>
                                    <w:jc w:val="center"/>
                                    <w:rPr>
                                      <w:sz w:val="20"/>
                                    </w:rPr>
                                  </w:pPr>
                                  <w:r>
                                    <w:rPr>
                                      <w:sz w:val="20"/>
                                    </w:rPr>
                                    <w:t>移交</w:t>
                                  </w:r>
                                </w:p>
                              </w:tc>
                              <w:tc>
                                <w:tcPr>
                                  <w:tcW w:w="1336" w:type="dxa"/>
                                </w:tcPr>
                                <w:p>
                                  <w:pPr>
                                    <w:pStyle w:val="14"/>
                                    <w:spacing w:before="69" w:line="237" w:lineRule="exact"/>
                                    <w:ind w:left="444" w:right="438"/>
                                    <w:jc w:val="center"/>
                                    <w:rPr>
                                      <w:sz w:val="20"/>
                                    </w:rPr>
                                  </w:pPr>
                                  <w:r>
                                    <w:rPr>
                                      <w:sz w:val="20"/>
                                    </w:rPr>
                                    <w:t>监交</w:t>
                                  </w:r>
                                </w:p>
                              </w:tc>
                              <w:tc>
                                <w:tcPr>
                                  <w:tcW w:w="1340" w:type="dxa"/>
                                  <w:vMerge w:val="restart"/>
                                </w:tcPr>
                                <w:p>
                                  <w:pPr>
                                    <w:pStyle w:val="14"/>
                                    <w:rPr>
                                      <w:sz w:val="20"/>
                                    </w:rPr>
                                  </w:pPr>
                                </w:p>
                                <w:p>
                                  <w:pPr>
                                    <w:pStyle w:val="14"/>
                                    <w:spacing w:before="9"/>
                                    <w:rPr>
                                      <w:sz w:val="24"/>
                                    </w:rPr>
                                  </w:pPr>
                                </w:p>
                                <w:p>
                                  <w:pPr>
                                    <w:pStyle w:val="14"/>
                                    <w:ind w:left="170"/>
                                    <w:rPr>
                                      <w:sz w:val="20"/>
                                    </w:rPr>
                                  </w:pPr>
                                  <w:r>
                                    <w:rPr>
                                      <w:sz w:val="20"/>
                                    </w:rPr>
                                    <w:t>印花粘贴处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36" w:type="dxa"/>
                                </w:tcPr>
                                <w:p>
                                  <w:pPr>
                                    <w:pStyle w:val="14"/>
                                    <w:rPr>
                                      <w:rFonts w:ascii="Times New Roman"/>
                                      <w:sz w:val="18"/>
                                    </w:rPr>
                                  </w:pPr>
                                </w:p>
                              </w:tc>
                              <w:tc>
                                <w:tcPr>
                                  <w:tcW w:w="1336" w:type="dxa"/>
                                </w:tcPr>
                                <w:p>
                                  <w:pPr>
                                    <w:pStyle w:val="14"/>
                                    <w:rPr>
                                      <w:rFonts w:ascii="Times New Roman"/>
                                      <w:sz w:val="18"/>
                                    </w:rPr>
                                  </w:pPr>
                                </w:p>
                              </w:tc>
                              <w:tc>
                                <w:tcPr>
                                  <w:tcW w:w="2672" w:type="dxa"/>
                                  <w:gridSpan w:val="2"/>
                                </w:tcPr>
                                <w:p>
                                  <w:pPr>
                                    <w:pStyle w:val="14"/>
                                    <w:rPr>
                                      <w:rFonts w:ascii="Times New Roman"/>
                                      <w:sz w:val="18"/>
                                    </w:rPr>
                                  </w:pPr>
                                </w:p>
                              </w:tc>
                              <w:tc>
                                <w:tcPr>
                                  <w:tcW w:w="1336" w:type="dxa"/>
                                </w:tcPr>
                                <w:p>
                                  <w:pPr>
                                    <w:pStyle w:val="14"/>
                                    <w:rPr>
                                      <w:rFonts w:ascii="Times New Roman"/>
                                      <w:sz w:val="18"/>
                                    </w:rPr>
                                  </w:pPr>
                                </w:p>
                              </w:tc>
                              <w:tc>
                                <w:tcPr>
                                  <w:tcW w:w="134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36" w:type="dxa"/>
                                </w:tcPr>
                                <w:p>
                                  <w:pPr>
                                    <w:pStyle w:val="14"/>
                                    <w:rPr>
                                      <w:rFonts w:ascii="Times New Roman"/>
                                      <w:sz w:val="18"/>
                                    </w:rPr>
                                  </w:pPr>
                                </w:p>
                              </w:tc>
                              <w:tc>
                                <w:tcPr>
                                  <w:tcW w:w="1336" w:type="dxa"/>
                                </w:tcPr>
                                <w:p>
                                  <w:pPr>
                                    <w:pStyle w:val="14"/>
                                    <w:rPr>
                                      <w:rFonts w:ascii="Times New Roman"/>
                                      <w:sz w:val="18"/>
                                    </w:rPr>
                                  </w:pPr>
                                </w:p>
                              </w:tc>
                              <w:tc>
                                <w:tcPr>
                                  <w:tcW w:w="2672" w:type="dxa"/>
                                  <w:gridSpan w:val="2"/>
                                </w:tcPr>
                                <w:p>
                                  <w:pPr>
                                    <w:pStyle w:val="14"/>
                                    <w:rPr>
                                      <w:rFonts w:ascii="Times New Roman"/>
                                      <w:sz w:val="18"/>
                                    </w:rPr>
                                  </w:pPr>
                                </w:p>
                              </w:tc>
                              <w:tc>
                                <w:tcPr>
                                  <w:tcW w:w="1336" w:type="dxa"/>
                                </w:tcPr>
                                <w:p>
                                  <w:pPr>
                                    <w:pStyle w:val="14"/>
                                    <w:rPr>
                                      <w:rFonts w:ascii="Times New Roman"/>
                                      <w:sz w:val="18"/>
                                    </w:rPr>
                                  </w:pPr>
                                </w:p>
                              </w:tc>
                              <w:tc>
                                <w:tcPr>
                                  <w:tcW w:w="134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36" w:type="dxa"/>
                                </w:tcPr>
                                <w:p>
                                  <w:pPr>
                                    <w:pStyle w:val="14"/>
                                    <w:rPr>
                                      <w:rFonts w:ascii="Times New Roman"/>
                                      <w:sz w:val="18"/>
                                    </w:rPr>
                                  </w:pPr>
                                </w:p>
                              </w:tc>
                              <w:tc>
                                <w:tcPr>
                                  <w:tcW w:w="1336" w:type="dxa"/>
                                </w:tcPr>
                                <w:p>
                                  <w:pPr>
                                    <w:pStyle w:val="14"/>
                                    <w:rPr>
                                      <w:rFonts w:ascii="Times New Roman"/>
                                      <w:sz w:val="18"/>
                                    </w:rPr>
                                  </w:pPr>
                                </w:p>
                              </w:tc>
                              <w:tc>
                                <w:tcPr>
                                  <w:tcW w:w="2672" w:type="dxa"/>
                                  <w:gridSpan w:val="2"/>
                                </w:tcPr>
                                <w:p>
                                  <w:pPr>
                                    <w:pStyle w:val="14"/>
                                    <w:rPr>
                                      <w:rFonts w:ascii="Times New Roman"/>
                                      <w:sz w:val="18"/>
                                    </w:rPr>
                                  </w:pPr>
                                </w:p>
                              </w:tc>
                              <w:tc>
                                <w:tcPr>
                                  <w:tcW w:w="1336" w:type="dxa"/>
                                </w:tcPr>
                                <w:p>
                                  <w:pPr>
                                    <w:pStyle w:val="14"/>
                                    <w:rPr>
                                      <w:rFonts w:ascii="Times New Roman"/>
                                      <w:sz w:val="18"/>
                                    </w:rPr>
                                  </w:pPr>
                                </w:p>
                              </w:tc>
                              <w:tc>
                                <w:tcPr>
                                  <w:tcW w:w="1340" w:type="dxa"/>
                                  <w:vMerge w:val="continue"/>
                                  <w:tcBorders>
                                    <w:top w:val="nil"/>
                                  </w:tcBorders>
                                </w:tcPr>
                                <w:p>
                                  <w:pPr>
                                    <w:rPr>
                                      <w:sz w:val="2"/>
                                      <w:szCs w:val="2"/>
                                    </w:rPr>
                                  </w:pPr>
                                </w:p>
                              </w:tc>
                            </w:tr>
                          </w:tbl>
                          <w:p>
                            <w:pPr>
                              <w:pStyle w:val="6"/>
                              <w:spacing w:before="0"/>
                              <w:ind w:left="0"/>
                            </w:pPr>
                          </w:p>
                        </w:txbxContent>
                      </wps:txbx>
                      <wps:bodyPr lIns="0" tIns="0" rIns="0" bIns="0" upright="1"/>
                    </wps:wsp>
                  </a:graphicData>
                </a:graphic>
              </wp:anchor>
            </w:drawing>
          </mc:Choice>
          <mc:Fallback>
            <w:pict>
              <v:shape id="文本框 90" o:spid="_x0000_s1026" o:spt="202" type="#_x0000_t202" style="position:absolute;left:0pt;margin-left:96.9pt;margin-top:48.95pt;height:168.5pt;width:401.75pt;mso-position-horizontal-relative:page;z-index:15768576;mso-width-relative:page;mso-height-relative:page;" filled="f" stroked="f" coordsize="21600,21600" o:gfxdata="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k773H2QAAAAoBAAAPAAAA&#10;AAAAAAEAIAAAACIAAABkcnMvZG93bnJldi54bWxQSwECFAAUAAAACACHTuJAvqW6IKIBAAAnAwAA&#10;DgAAAAAAAAABACAAAAAo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6"/>
                        <w:gridCol w:w="1336"/>
                        <w:gridCol w:w="1337"/>
                        <w:gridCol w:w="1335"/>
                        <w:gridCol w:w="1336"/>
                        <w:gridCol w:w="13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020" w:type="dxa"/>
                            <w:gridSpan w:val="6"/>
                          </w:tcPr>
                          <w:p>
                            <w:pPr>
                              <w:pStyle w:val="14"/>
                              <w:spacing w:before="69" w:line="237" w:lineRule="exact"/>
                              <w:ind w:left="2989" w:right="2584"/>
                              <w:jc w:val="center"/>
                              <w:rPr>
                                <w:sz w:val="20"/>
                              </w:rPr>
                            </w:pPr>
                            <w:r>
                              <w:rPr>
                                <w:sz w:val="20"/>
                              </w:rPr>
                              <w:t>账簿启用表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009" w:type="dxa"/>
                            <w:gridSpan w:val="3"/>
                          </w:tcPr>
                          <w:p>
                            <w:pPr>
                              <w:pStyle w:val="14"/>
                              <w:spacing w:before="69" w:line="237" w:lineRule="exact"/>
                              <w:ind w:left="108"/>
                              <w:rPr>
                                <w:sz w:val="20"/>
                              </w:rPr>
                            </w:pPr>
                            <w:r>
                              <w:rPr>
                                <w:sz w:val="20"/>
                              </w:rPr>
                              <w:t>单位名称：</w:t>
                            </w:r>
                          </w:p>
                        </w:tc>
                        <w:tc>
                          <w:tcPr>
                            <w:tcW w:w="4011" w:type="dxa"/>
                            <w:gridSpan w:val="3"/>
                          </w:tcPr>
                          <w:p>
                            <w:pPr>
                              <w:pStyle w:val="14"/>
                              <w:spacing w:before="69" w:line="237" w:lineRule="exact"/>
                              <w:ind w:left="107"/>
                              <w:rPr>
                                <w:sz w:val="20"/>
                              </w:rPr>
                            </w:pPr>
                            <w:r>
                              <w:rPr>
                                <w:sz w:val="20"/>
                              </w:rPr>
                              <w:t>账簿名称：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009" w:type="dxa"/>
                            <w:gridSpan w:val="3"/>
                          </w:tcPr>
                          <w:p>
                            <w:pPr>
                              <w:pStyle w:val="14"/>
                              <w:spacing w:before="69" w:line="237" w:lineRule="exact"/>
                              <w:ind w:left="108"/>
                              <w:rPr>
                                <w:sz w:val="20"/>
                              </w:rPr>
                            </w:pPr>
                            <w:r>
                              <w:rPr>
                                <w:sz w:val="20"/>
                              </w:rPr>
                              <w:t>账簿编号：</w:t>
                            </w:r>
                          </w:p>
                        </w:tc>
                        <w:tc>
                          <w:tcPr>
                            <w:tcW w:w="4011" w:type="dxa"/>
                            <w:gridSpan w:val="3"/>
                          </w:tcPr>
                          <w:p>
                            <w:pPr>
                              <w:pStyle w:val="14"/>
                              <w:spacing w:before="69" w:line="237" w:lineRule="exact"/>
                              <w:ind w:left="107"/>
                              <w:rPr>
                                <w:sz w:val="20"/>
                              </w:rPr>
                            </w:pPr>
                            <w:r>
                              <w:rPr>
                                <w:sz w:val="20"/>
                              </w:rPr>
                              <w:t>账簿册数：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009" w:type="dxa"/>
                            <w:gridSpan w:val="3"/>
                          </w:tcPr>
                          <w:p>
                            <w:pPr>
                              <w:pStyle w:val="14"/>
                              <w:spacing w:before="69" w:line="237" w:lineRule="exact"/>
                              <w:ind w:left="108"/>
                              <w:rPr>
                                <w:sz w:val="20"/>
                              </w:rPr>
                            </w:pPr>
                            <w:r>
                              <w:rPr>
                                <w:sz w:val="20"/>
                              </w:rPr>
                              <w:t>启用日期：</w:t>
                            </w:r>
                          </w:p>
                        </w:tc>
                        <w:tc>
                          <w:tcPr>
                            <w:tcW w:w="4011" w:type="dxa"/>
                            <w:gridSpan w:val="3"/>
                          </w:tcPr>
                          <w:p>
                            <w:pPr>
                              <w:pStyle w:val="14"/>
                              <w:spacing w:before="69" w:line="237" w:lineRule="exact"/>
                              <w:ind w:left="107"/>
                              <w:rPr>
                                <w:sz w:val="20"/>
                              </w:rPr>
                            </w:pPr>
                            <w:r>
                              <w:rPr>
                                <w:sz w:val="20"/>
                              </w:rPr>
                              <w:t>账簿页数：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009" w:type="dxa"/>
                            <w:gridSpan w:val="3"/>
                          </w:tcPr>
                          <w:p>
                            <w:pPr>
                              <w:pStyle w:val="14"/>
                              <w:spacing w:before="69" w:line="237" w:lineRule="exact"/>
                              <w:ind w:left="108"/>
                              <w:rPr>
                                <w:sz w:val="20"/>
                              </w:rPr>
                            </w:pPr>
                            <w:r>
                              <w:rPr>
                                <w:sz w:val="20"/>
                              </w:rPr>
                              <w:t>会计主管：</w:t>
                            </w:r>
                          </w:p>
                        </w:tc>
                        <w:tc>
                          <w:tcPr>
                            <w:tcW w:w="4011" w:type="dxa"/>
                            <w:gridSpan w:val="3"/>
                          </w:tcPr>
                          <w:p>
                            <w:pPr>
                              <w:pStyle w:val="14"/>
                              <w:spacing w:before="69" w:line="237" w:lineRule="exact"/>
                              <w:ind w:left="107"/>
                              <w:rPr>
                                <w:sz w:val="20"/>
                              </w:rPr>
                            </w:pPr>
                            <w:r>
                              <w:rPr>
                                <w:sz w:val="20"/>
                              </w:rPr>
                              <w:t>记账人员：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020" w:type="dxa"/>
                            <w:gridSpan w:val="6"/>
                          </w:tcPr>
                          <w:p>
                            <w:pPr>
                              <w:pStyle w:val="14"/>
                              <w:spacing w:before="69" w:line="237" w:lineRule="exact"/>
                              <w:ind w:left="2989" w:right="2980"/>
                              <w:jc w:val="center"/>
                              <w:rPr>
                                <w:sz w:val="20"/>
                              </w:rPr>
                            </w:pPr>
                            <w:r>
                              <w:rPr>
                                <w:sz w:val="20"/>
                              </w:rPr>
                              <w:t>经营本账簿人员一览表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36" w:type="dxa"/>
                          </w:tcPr>
                          <w:p>
                            <w:pPr>
                              <w:pStyle w:val="14"/>
                              <w:spacing w:before="69" w:line="237" w:lineRule="exact"/>
                              <w:ind w:left="446" w:right="437"/>
                              <w:jc w:val="center"/>
                              <w:rPr>
                                <w:sz w:val="20"/>
                              </w:rPr>
                            </w:pPr>
                            <w:r>
                              <w:rPr>
                                <w:sz w:val="20"/>
                              </w:rPr>
                              <w:t>姓名</w:t>
                            </w:r>
                          </w:p>
                        </w:tc>
                        <w:tc>
                          <w:tcPr>
                            <w:tcW w:w="1336" w:type="dxa"/>
                          </w:tcPr>
                          <w:p>
                            <w:pPr>
                              <w:pStyle w:val="14"/>
                              <w:spacing w:before="69" w:line="237" w:lineRule="exact"/>
                              <w:ind w:left="444" w:right="438"/>
                              <w:jc w:val="center"/>
                              <w:rPr>
                                <w:sz w:val="20"/>
                              </w:rPr>
                            </w:pPr>
                            <w:r>
                              <w:rPr>
                                <w:sz w:val="20"/>
                              </w:rPr>
                              <w:t>接管</w:t>
                            </w:r>
                          </w:p>
                        </w:tc>
                        <w:tc>
                          <w:tcPr>
                            <w:tcW w:w="2672" w:type="dxa"/>
                            <w:gridSpan w:val="2"/>
                          </w:tcPr>
                          <w:p>
                            <w:pPr>
                              <w:pStyle w:val="14"/>
                              <w:spacing w:before="69" w:line="237" w:lineRule="exact"/>
                              <w:ind w:left="1114" w:right="1108"/>
                              <w:jc w:val="center"/>
                              <w:rPr>
                                <w:sz w:val="20"/>
                              </w:rPr>
                            </w:pPr>
                            <w:r>
                              <w:rPr>
                                <w:sz w:val="20"/>
                              </w:rPr>
                              <w:t>移交</w:t>
                            </w:r>
                          </w:p>
                        </w:tc>
                        <w:tc>
                          <w:tcPr>
                            <w:tcW w:w="1336" w:type="dxa"/>
                          </w:tcPr>
                          <w:p>
                            <w:pPr>
                              <w:pStyle w:val="14"/>
                              <w:spacing w:before="69" w:line="237" w:lineRule="exact"/>
                              <w:ind w:left="444" w:right="438"/>
                              <w:jc w:val="center"/>
                              <w:rPr>
                                <w:sz w:val="20"/>
                              </w:rPr>
                            </w:pPr>
                            <w:r>
                              <w:rPr>
                                <w:sz w:val="20"/>
                              </w:rPr>
                              <w:t>监交</w:t>
                            </w:r>
                          </w:p>
                        </w:tc>
                        <w:tc>
                          <w:tcPr>
                            <w:tcW w:w="1340" w:type="dxa"/>
                            <w:vMerge w:val="restart"/>
                          </w:tcPr>
                          <w:p>
                            <w:pPr>
                              <w:pStyle w:val="14"/>
                              <w:rPr>
                                <w:sz w:val="20"/>
                              </w:rPr>
                            </w:pPr>
                          </w:p>
                          <w:p>
                            <w:pPr>
                              <w:pStyle w:val="14"/>
                              <w:spacing w:before="9"/>
                              <w:rPr>
                                <w:sz w:val="24"/>
                              </w:rPr>
                            </w:pPr>
                          </w:p>
                          <w:p>
                            <w:pPr>
                              <w:pStyle w:val="14"/>
                              <w:ind w:left="170"/>
                              <w:rPr>
                                <w:sz w:val="20"/>
                              </w:rPr>
                            </w:pPr>
                            <w:r>
                              <w:rPr>
                                <w:sz w:val="20"/>
                              </w:rPr>
                              <w:t>印花粘贴处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36" w:type="dxa"/>
                          </w:tcPr>
                          <w:p>
                            <w:pPr>
                              <w:pStyle w:val="14"/>
                              <w:rPr>
                                <w:rFonts w:ascii="Times New Roman"/>
                                <w:sz w:val="18"/>
                              </w:rPr>
                            </w:pPr>
                          </w:p>
                        </w:tc>
                        <w:tc>
                          <w:tcPr>
                            <w:tcW w:w="1336" w:type="dxa"/>
                          </w:tcPr>
                          <w:p>
                            <w:pPr>
                              <w:pStyle w:val="14"/>
                              <w:rPr>
                                <w:rFonts w:ascii="Times New Roman"/>
                                <w:sz w:val="18"/>
                              </w:rPr>
                            </w:pPr>
                          </w:p>
                        </w:tc>
                        <w:tc>
                          <w:tcPr>
                            <w:tcW w:w="2672" w:type="dxa"/>
                            <w:gridSpan w:val="2"/>
                          </w:tcPr>
                          <w:p>
                            <w:pPr>
                              <w:pStyle w:val="14"/>
                              <w:rPr>
                                <w:rFonts w:ascii="Times New Roman"/>
                                <w:sz w:val="18"/>
                              </w:rPr>
                            </w:pPr>
                          </w:p>
                        </w:tc>
                        <w:tc>
                          <w:tcPr>
                            <w:tcW w:w="1336" w:type="dxa"/>
                          </w:tcPr>
                          <w:p>
                            <w:pPr>
                              <w:pStyle w:val="14"/>
                              <w:rPr>
                                <w:rFonts w:ascii="Times New Roman"/>
                                <w:sz w:val="18"/>
                              </w:rPr>
                            </w:pPr>
                          </w:p>
                        </w:tc>
                        <w:tc>
                          <w:tcPr>
                            <w:tcW w:w="134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36" w:type="dxa"/>
                          </w:tcPr>
                          <w:p>
                            <w:pPr>
                              <w:pStyle w:val="14"/>
                              <w:rPr>
                                <w:rFonts w:ascii="Times New Roman"/>
                                <w:sz w:val="18"/>
                              </w:rPr>
                            </w:pPr>
                          </w:p>
                        </w:tc>
                        <w:tc>
                          <w:tcPr>
                            <w:tcW w:w="1336" w:type="dxa"/>
                          </w:tcPr>
                          <w:p>
                            <w:pPr>
                              <w:pStyle w:val="14"/>
                              <w:rPr>
                                <w:rFonts w:ascii="Times New Roman"/>
                                <w:sz w:val="18"/>
                              </w:rPr>
                            </w:pPr>
                          </w:p>
                        </w:tc>
                        <w:tc>
                          <w:tcPr>
                            <w:tcW w:w="2672" w:type="dxa"/>
                            <w:gridSpan w:val="2"/>
                          </w:tcPr>
                          <w:p>
                            <w:pPr>
                              <w:pStyle w:val="14"/>
                              <w:rPr>
                                <w:rFonts w:ascii="Times New Roman"/>
                                <w:sz w:val="18"/>
                              </w:rPr>
                            </w:pPr>
                          </w:p>
                        </w:tc>
                        <w:tc>
                          <w:tcPr>
                            <w:tcW w:w="1336" w:type="dxa"/>
                          </w:tcPr>
                          <w:p>
                            <w:pPr>
                              <w:pStyle w:val="14"/>
                              <w:rPr>
                                <w:rFonts w:ascii="Times New Roman"/>
                                <w:sz w:val="18"/>
                              </w:rPr>
                            </w:pPr>
                          </w:p>
                        </w:tc>
                        <w:tc>
                          <w:tcPr>
                            <w:tcW w:w="134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36" w:type="dxa"/>
                          </w:tcPr>
                          <w:p>
                            <w:pPr>
                              <w:pStyle w:val="14"/>
                              <w:rPr>
                                <w:rFonts w:ascii="Times New Roman"/>
                                <w:sz w:val="18"/>
                              </w:rPr>
                            </w:pPr>
                          </w:p>
                        </w:tc>
                        <w:tc>
                          <w:tcPr>
                            <w:tcW w:w="1336" w:type="dxa"/>
                          </w:tcPr>
                          <w:p>
                            <w:pPr>
                              <w:pStyle w:val="14"/>
                              <w:rPr>
                                <w:rFonts w:ascii="Times New Roman"/>
                                <w:sz w:val="18"/>
                              </w:rPr>
                            </w:pPr>
                          </w:p>
                        </w:tc>
                        <w:tc>
                          <w:tcPr>
                            <w:tcW w:w="2672" w:type="dxa"/>
                            <w:gridSpan w:val="2"/>
                          </w:tcPr>
                          <w:p>
                            <w:pPr>
                              <w:pStyle w:val="14"/>
                              <w:rPr>
                                <w:rFonts w:ascii="Times New Roman"/>
                                <w:sz w:val="18"/>
                              </w:rPr>
                            </w:pPr>
                          </w:p>
                        </w:tc>
                        <w:tc>
                          <w:tcPr>
                            <w:tcW w:w="1336" w:type="dxa"/>
                          </w:tcPr>
                          <w:p>
                            <w:pPr>
                              <w:pStyle w:val="14"/>
                              <w:rPr>
                                <w:rFonts w:ascii="Times New Roman"/>
                                <w:sz w:val="18"/>
                              </w:rPr>
                            </w:pPr>
                          </w:p>
                        </w:tc>
                        <w:tc>
                          <w:tcPr>
                            <w:tcW w:w="1340" w:type="dxa"/>
                            <w:vMerge w:val="continue"/>
                            <w:tcBorders>
                              <w:top w:val="nil"/>
                            </w:tcBorders>
                          </w:tcPr>
                          <w:p>
                            <w:pPr>
                              <w:rPr>
                                <w:sz w:val="2"/>
                                <w:szCs w:val="2"/>
                              </w:rPr>
                            </w:pPr>
                          </w:p>
                        </w:tc>
                      </w:tr>
                    </w:tbl>
                    <w:p>
                      <w:pPr>
                        <w:pStyle w:val="6"/>
                        <w:spacing w:before="0"/>
                        <w:ind w:left="0"/>
                      </w:pPr>
                    </w:p>
                  </w:txbxContent>
                </v:textbox>
              </v:shape>
            </w:pict>
          </mc:Fallback>
        </mc:AlternateContent>
      </w:r>
      <w:r>
        <w:rPr>
          <w:spacing w:val="-5"/>
          <w:w w:val="95"/>
        </w:rPr>
        <w:t xml:space="preserve">启用会计账簿时，应当在账簿封面上写明单位名称和账簿名称，并在账簿扉页上附启用表。启用订本式账簿   </w:t>
      </w:r>
      <w:r>
        <w:rPr>
          <w:spacing w:val="-9"/>
          <w:w w:val="95"/>
        </w:rPr>
        <w:t xml:space="preserve">应当从第一页到最后一页顺序编定页数，不得跳页、缺号。使用活页式账簿应当按账户顺序编号，并须定期装订    </w:t>
      </w:r>
      <w:r>
        <w:rPr>
          <w:spacing w:val="-9"/>
        </w:rPr>
        <w:t>成册，装订后再按实际使用的账页顺序编定页码，另加目录以便于记明每个账户的名称和页次。</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3"/>
        <w:ind w:left="0"/>
        <w:rPr>
          <w:sz w:val="23"/>
        </w:rPr>
      </w:pPr>
    </w:p>
    <w:p>
      <w:pPr>
        <w:pStyle w:val="5"/>
        <w:numPr>
          <w:ilvl w:val="0"/>
          <w:numId w:val="33"/>
        </w:numPr>
        <w:tabs>
          <w:tab w:val="left" w:pos="925"/>
        </w:tabs>
        <w:spacing w:before="0" w:after="0" w:line="240" w:lineRule="auto"/>
        <w:ind w:left="924" w:right="0" w:hanging="202"/>
        <w:jc w:val="left"/>
      </w:pPr>
      <w:r>
        <w:t>会计账簿的登记要求</w:t>
      </w:r>
    </w:p>
    <w:p>
      <w:pPr>
        <w:pStyle w:val="6"/>
        <w:spacing w:line="304" w:lineRule="auto"/>
        <w:ind w:left="322" w:right="720" w:firstLine="400"/>
      </w:pPr>
      <w:r>
        <w:rPr>
          <w:spacing w:val="-4"/>
          <w:w w:val="95"/>
        </w:rPr>
        <w:t xml:space="preserve">为了保证账簿记录的正确性，必须根据审核无误的会计凭证登记会计账簿，并符合有关法律、行政法规和国   </w:t>
      </w:r>
      <w:r>
        <w:rPr>
          <w:spacing w:val="-4"/>
        </w:rPr>
        <w:t>家统一的会计准则制度的规定，主要有：</w:t>
      </w:r>
    </w:p>
    <w:p>
      <w:pPr>
        <w:pStyle w:val="13"/>
        <w:numPr>
          <w:ilvl w:val="0"/>
          <w:numId w:val="34"/>
        </w:numPr>
        <w:tabs>
          <w:tab w:val="left" w:pos="1224"/>
        </w:tabs>
        <w:spacing w:before="0" w:after="0" w:line="304" w:lineRule="auto"/>
        <w:ind w:left="322" w:right="761" w:firstLine="400"/>
        <w:jc w:val="both"/>
        <w:rPr>
          <w:sz w:val="20"/>
        </w:rPr>
      </w:pPr>
      <w:r>
        <w:rPr>
          <w:w w:val="95"/>
          <w:sz w:val="20"/>
        </w:rPr>
        <w:t xml:space="preserve">登记会计账簿时，应当将会计凭证日期、编号、业务内容摘要、金额和其他有关资料逐项计入账内，   账簿记录中的日期，应该填写记账凭证上的日期；以自制原始凭证(如收料单、领料单等）作为记账依据的，账    </w:t>
      </w:r>
      <w:r>
        <w:rPr>
          <w:sz w:val="20"/>
        </w:rPr>
        <w:t>簿记录中的日期应按有关自制凭证上的日期填列。</w:t>
      </w:r>
    </w:p>
    <w:p>
      <w:pPr>
        <w:pStyle w:val="13"/>
        <w:numPr>
          <w:ilvl w:val="0"/>
          <w:numId w:val="34"/>
        </w:numPr>
        <w:tabs>
          <w:tab w:val="left" w:pos="1224"/>
        </w:tabs>
        <w:spacing w:before="2" w:after="0" w:line="304" w:lineRule="auto"/>
        <w:ind w:left="322" w:right="721" w:firstLine="400"/>
        <w:jc w:val="left"/>
        <w:rPr>
          <w:sz w:val="20"/>
        </w:rPr>
      </w:pPr>
      <w:r>
        <w:rPr>
          <w:spacing w:val="-2"/>
          <w:w w:val="95"/>
          <w:sz w:val="20"/>
        </w:rPr>
        <w:t>为了使账簿记录清晰，防止涂改，记账时应使用</w:t>
      </w:r>
      <w:r>
        <w:rPr>
          <w:color w:val="FF0000"/>
          <w:spacing w:val="-2"/>
          <w:w w:val="95"/>
          <w:sz w:val="20"/>
          <w:u w:val="double" w:color="FF0000"/>
        </w:rPr>
        <w:t>蓝黑墨水或碳素墨水书写，不得使用圆珠笔</w:t>
      </w:r>
      <w:r>
        <w:rPr>
          <w:color w:val="FF0000"/>
          <w:w w:val="95"/>
          <w:sz w:val="20"/>
          <w:u w:val="double" w:color="FF0000"/>
        </w:rPr>
        <w:t xml:space="preserve">（银行复写  </w:t>
      </w:r>
      <w:r>
        <w:rPr>
          <w:color w:val="FF0000"/>
          <w:sz w:val="20"/>
          <w:u w:val="double" w:color="FF0000"/>
        </w:rPr>
        <w:t>账簿除外）或铅笔书写</w:t>
      </w:r>
      <w:r>
        <w:rPr>
          <w:sz w:val="20"/>
        </w:rPr>
        <w:t>。</w:t>
      </w:r>
    </w:p>
    <w:p>
      <w:pPr>
        <w:pStyle w:val="6"/>
        <w:spacing w:before="2"/>
      </w:pPr>
      <w:r>
        <w:t>以下情况可以使用红色墨水记账：</w:t>
      </w:r>
    </w:p>
    <w:p>
      <w:pPr>
        <w:pStyle w:val="6"/>
        <w:spacing w:before="68" w:line="304" w:lineRule="auto"/>
        <w:ind w:left="322" w:right="721" w:firstLine="393"/>
        <w:jc w:val="both"/>
      </w:pPr>
      <w:r>
        <mc:AlternateContent>
          <mc:Choice Requires="wpg">
            <w:drawing>
              <wp:anchor distT="0" distB="0" distL="114300" distR="114300" simplePos="0" relativeHeight="15767552" behindDoc="0" locked="0" layoutInCell="1" allowOverlap="1">
                <wp:simplePos x="0" y="0"/>
                <wp:positionH relativeFrom="page">
                  <wp:posOffset>3812540</wp:posOffset>
                </wp:positionH>
                <wp:positionV relativeFrom="paragraph">
                  <wp:posOffset>650875</wp:posOffset>
                </wp:positionV>
                <wp:extent cx="358775" cy="200025"/>
                <wp:effectExtent l="635" t="0" r="2540" b="9525"/>
                <wp:wrapNone/>
                <wp:docPr id="82" name="组合 91"/>
                <wp:cNvGraphicFramePr/>
                <a:graphic xmlns:a="http://schemas.openxmlformats.org/drawingml/2006/main">
                  <a:graphicData uri="http://schemas.microsoft.com/office/word/2010/wordprocessingGroup">
                    <wpg:wgp>
                      <wpg:cNvGrpSpPr/>
                      <wpg:grpSpPr>
                        <a:xfrm>
                          <a:off x="0" y="0"/>
                          <a:ext cx="358775" cy="200025"/>
                          <a:chOff x="6005" y="1025"/>
                          <a:chExt cx="565" cy="315"/>
                        </a:xfrm>
                      </wpg:grpSpPr>
                      <wps:wsp>
                        <wps:cNvPr id="78" name="文本框 92"/>
                        <wps:cNvSpPr txBox="1"/>
                        <wps:spPr>
                          <a:xfrm>
                            <a:off x="6004" y="1025"/>
                            <a:ext cx="565" cy="315"/>
                          </a:xfrm>
                          <a:prstGeom prst="rect">
                            <a:avLst/>
                          </a:prstGeom>
                          <a:noFill/>
                          <a:ln>
                            <a:noFill/>
                          </a:ln>
                        </wps:spPr>
                        <wps:txbx>
                          <w:txbxContent>
                            <w:p>
                              <w:pPr>
                                <w:spacing w:before="21"/>
                                <w:ind w:left="79" w:right="0" w:firstLine="0"/>
                                <w:jc w:val="left"/>
                                <w:rPr>
                                  <w:sz w:val="20"/>
                                </w:rPr>
                              </w:pPr>
                              <w:r>
                                <w:rPr>
                                  <w:sz w:val="20"/>
                                </w:rPr>
                                <w:t>2000</w:t>
                              </w:r>
                            </w:p>
                          </w:txbxContent>
                        </wps:txbx>
                        <wps:bodyPr lIns="0" tIns="0" rIns="0" bIns="0" upright="1"/>
                      </wps:wsp>
                      <wps:wsp>
                        <wps:cNvPr id="80" name="任意多边形 93"/>
                        <wps:cNvSpPr/>
                        <wps:spPr>
                          <a:xfrm>
                            <a:off x="6004" y="1025"/>
                            <a:ext cx="565" cy="315"/>
                          </a:xfrm>
                          <a:custGeom>
                            <a:avLst/>
                            <a:gdLst/>
                            <a:ahLst/>
                            <a:cxnLst/>
                            <a:pathLst>
                              <a:path w="565" h="315">
                                <a:moveTo>
                                  <a:pt x="565" y="315"/>
                                </a:moveTo>
                                <a:lnTo>
                                  <a:pt x="0" y="315"/>
                                </a:lnTo>
                                <a:lnTo>
                                  <a:pt x="0" y="0"/>
                                </a:lnTo>
                                <a:lnTo>
                                  <a:pt x="565" y="0"/>
                                </a:lnTo>
                                <a:lnTo>
                                  <a:pt x="565" y="8"/>
                                </a:lnTo>
                                <a:lnTo>
                                  <a:pt x="15" y="8"/>
                                </a:lnTo>
                                <a:lnTo>
                                  <a:pt x="7" y="15"/>
                                </a:lnTo>
                                <a:lnTo>
                                  <a:pt x="15" y="15"/>
                                </a:lnTo>
                                <a:lnTo>
                                  <a:pt x="15" y="300"/>
                                </a:lnTo>
                                <a:lnTo>
                                  <a:pt x="7" y="300"/>
                                </a:lnTo>
                                <a:lnTo>
                                  <a:pt x="15" y="308"/>
                                </a:lnTo>
                                <a:lnTo>
                                  <a:pt x="565" y="308"/>
                                </a:lnTo>
                                <a:lnTo>
                                  <a:pt x="565" y="315"/>
                                </a:lnTo>
                                <a:close/>
                                <a:moveTo>
                                  <a:pt x="15" y="15"/>
                                </a:moveTo>
                                <a:lnTo>
                                  <a:pt x="7" y="15"/>
                                </a:lnTo>
                                <a:lnTo>
                                  <a:pt x="15" y="8"/>
                                </a:lnTo>
                                <a:lnTo>
                                  <a:pt x="15" y="15"/>
                                </a:lnTo>
                                <a:close/>
                                <a:moveTo>
                                  <a:pt x="550" y="15"/>
                                </a:moveTo>
                                <a:lnTo>
                                  <a:pt x="15" y="15"/>
                                </a:lnTo>
                                <a:lnTo>
                                  <a:pt x="15" y="8"/>
                                </a:lnTo>
                                <a:lnTo>
                                  <a:pt x="550" y="8"/>
                                </a:lnTo>
                                <a:lnTo>
                                  <a:pt x="550" y="15"/>
                                </a:lnTo>
                                <a:close/>
                                <a:moveTo>
                                  <a:pt x="550" y="308"/>
                                </a:moveTo>
                                <a:lnTo>
                                  <a:pt x="550" y="8"/>
                                </a:lnTo>
                                <a:lnTo>
                                  <a:pt x="557" y="15"/>
                                </a:lnTo>
                                <a:lnTo>
                                  <a:pt x="565" y="15"/>
                                </a:lnTo>
                                <a:lnTo>
                                  <a:pt x="565" y="300"/>
                                </a:lnTo>
                                <a:lnTo>
                                  <a:pt x="557" y="300"/>
                                </a:lnTo>
                                <a:lnTo>
                                  <a:pt x="550" y="308"/>
                                </a:lnTo>
                                <a:close/>
                                <a:moveTo>
                                  <a:pt x="565" y="15"/>
                                </a:moveTo>
                                <a:lnTo>
                                  <a:pt x="557" y="15"/>
                                </a:lnTo>
                                <a:lnTo>
                                  <a:pt x="550" y="8"/>
                                </a:lnTo>
                                <a:lnTo>
                                  <a:pt x="565" y="8"/>
                                </a:lnTo>
                                <a:lnTo>
                                  <a:pt x="565" y="15"/>
                                </a:lnTo>
                                <a:close/>
                                <a:moveTo>
                                  <a:pt x="15" y="308"/>
                                </a:moveTo>
                                <a:lnTo>
                                  <a:pt x="7" y="300"/>
                                </a:lnTo>
                                <a:lnTo>
                                  <a:pt x="15" y="300"/>
                                </a:lnTo>
                                <a:lnTo>
                                  <a:pt x="15" y="308"/>
                                </a:lnTo>
                                <a:close/>
                                <a:moveTo>
                                  <a:pt x="550" y="308"/>
                                </a:moveTo>
                                <a:lnTo>
                                  <a:pt x="15" y="308"/>
                                </a:lnTo>
                                <a:lnTo>
                                  <a:pt x="15" y="300"/>
                                </a:lnTo>
                                <a:lnTo>
                                  <a:pt x="550" y="300"/>
                                </a:lnTo>
                                <a:lnTo>
                                  <a:pt x="550" y="308"/>
                                </a:lnTo>
                                <a:close/>
                                <a:moveTo>
                                  <a:pt x="565" y="308"/>
                                </a:moveTo>
                                <a:lnTo>
                                  <a:pt x="550" y="308"/>
                                </a:lnTo>
                                <a:lnTo>
                                  <a:pt x="557" y="300"/>
                                </a:lnTo>
                                <a:lnTo>
                                  <a:pt x="565" y="300"/>
                                </a:lnTo>
                                <a:lnTo>
                                  <a:pt x="565" y="308"/>
                                </a:lnTo>
                                <a:close/>
                              </a:path>
                            </a:pathLst>
                          </a:custGeom>
                          <a:solidFill>
                            <a:srgbClr val="000000"/>
                          </a:solidFill>
                          <a:ln>
                            <a:noFill/>
                          </a:ln>
                        </wps:spPr>
                        <wps:bodyPr upright="1"/>
                      </wps:wsp>
                    </wpg:wgp>
                  </a:graphicData>
                </a:graphic>
              </wp:anchor>
            </w:drawing>
          </mc:Choice>
          <mc:Fallback>
            <w:pict>
              <v:group id="组合 91" o:spid="_x0000_s1026" o:spt="203" style="position:absolute;left:0pt;margin-left:300.2pt;margin-top:51.25pt;height:15.75pt;width:28.25pt;mso-position-horizontal-relative:page;z-index:15767552;mso-width-relative:page;mso-height-relative:page;" coordorigin="6005,1025" coordsize="565,315" o:gfxdata="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">
                <o:lock v:ext="edit" aspectratio="f"/>
                <v:shape id="文本框 92" o:spid="_x0000_s1026" o:spt="202" type="#_x0000_t202" style="position:absolute;left:6004;top:1025;height:315;width:565;"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21"/>
                          <w:ind w:left="79" w:right="0" w:firstLine="0"/>
                          <w:jc w:val="left"/>
                          <w:rPr>
                            <w:sz w:val="20"/>
                          </w:rPr>
                        </w:pPr>
                        <w:r>
                          <w:rPr>
                            <w:sz w:val="20"/>
                          </w:rPr>
                          <w:t>2000</w:t>
                        </w:r>
                      </w:p>
                    </w:txbxContent>
                  </v:textbox>
                </v:shape>
                <v:shape id="任意多边形 93" o:spid="_x0000_s1026" o:spt="100" style="position:absolute;left:6004;top:1025;height:315;width:565;" fillcolor="#000000" filled="t" stroked="f" coordsize="565,315" o:gfxdata="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yz5u5AAAA2wAA&#10;AA8AAAAAAAAAAQAgAAAAIgAAAGRycy9kb3ducmV2LnhtbFBLAQIUABQAAAAIAIdO4kAzLwWeOwAA&#10;ADkAAAAQAAAAAAAAAAEAIAAAAAgBAABkcnMvc2hhcGV4bWwueG1sUEsFBgAAAAAGAAYAWwEAALID&#10;AAAAAA==&#10;" path="m565,315l0,315,0,0,565,0,565,8,15,8,7,15,15,15,15,300,7,300,15,308,565,308,565,315xm15,15l7,15,15,8,15,15xm550,15l15,15,15,8,550,8,550,15xm550,308l550,8,557,15,565,15,565,300,557,300,550,308xm565,15l557,15,550,8,565,8,565,15xm15,308l7,300,15,300,15,308xm550,308l15,308,15,300,550,300,550,308xm565,308l550,308,557,300,565,300,565,308xe">
                  <v:fill on="t" focussize="0,0"/>
                  <v:stroke on="f"/>
                  <v:imagedata o:title=""/>
                  <o:lock v:ext="edit" aspectratio="f"/>
                </v:shape>
              </v:group>
            </w:pict>
          </mc:Fallback>
        </mc:AlternateContent>
      </w:r>
      <w:r>
        <w:rPr>
          <w:color w:val="FF0000"/>
          <w:spacing w:val="-4"/>
          <w:w w:val="95"/>
          <w:u w:val="double" w:color="FF0000"/>
        </w:rPr>
        <w:t xml:space="preserve">①按照红字冲账的记账凭证，冲销错误记录；②在不设借贷等栏的多栏式账页中，登记减少数；③在三栏式账 </w:t>
      </w:r>
      <w:r>
        <w:rPr>
          <w:color w:val="FF0000"/>
          <w:spacing w:val="-6"/>
          <w:w w:val="95"/>
          <w:u w:val="double" w:color="FF0000"/>
        </w:rPr>
        <w:t xml:space="preserve">户的余额栏前，如未印明余额方向的，在余额栏内登记负数余额；④根据国家统一的会计制度的规定可以用红字登 </w:t>
      </w:r>
      <w:r>
        <w:rPr>
          <w:color w:val="FF0000"/>
          <w:spacing w:val="-6"/>
          <w:u w:val="double" w:color="FF0000"/>
        </w:rPr>
        <w:t>记的其他会计记录。</w:t>
      </w:r>
    </w:p>
    <w:p>
      <w:pPr>
        <w:spacing w:after="0" w:line="304" w:lineRule="auto"/>
        <w:jc w:val="both"/>
        <w:sectPr>
          <w:pgSz w:w="11910" w:h="16160"/>
          <w:pgMar w:top="1680" w:right="360" w:bottom="860" w:left="760" w:header="0" w:footer="584" w:gutter="0"/>
        </w:sectPr>
      </w:pPr>
    </w:p>
    <w:p>
      <w:pPr>
        <w:pStyle w:val="6"/>
        <w:spacing w:before="3"/>
        <w:ind w:left="0" w:right="12"/>
        <w:jc w:val="right"/>
      </w:pPr>
      <w:r>
        <mc:AlternateContent>
          <mc:Choice Requires="wps">
            <w:drawing>
              <wp:anchor distT="0" distB="0" distL="114300" distR="114300" simplePos="0" relativeHeight="15766528" behindDoc="0" locked="0" layoutInCell="1" allowOverlap="1">
                <wp:simplePos x="0" y="0"/>
                <wp:positionH relativeFrom="page">
                  <wp:posOffset>1068705</wp:posOffset>
                </wp:positionH>
                <wp:positionV relativeFrom="paragraph">
                  <wp:posOffset>139700</wp:posOffset>
                </wp:positionV>
                <wp:extent cx="251460" cy="5715"/>
                <wp:effectExtent l="0" t="0" r="0" b="0"/>
                <wp:wrapNone/>
                <wp:docPr id="74" name="任意多边形 9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94" o:spid="_x0000_s1026" o:spt="100" style="position:absolute;left:0pt;margin-left:84.15pt;margin-top:11pt;height:0.45pt;width:19.8pt;mso-position-horizontal-relative:page;z-index:15766528;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1gKmsJUCAABV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P4e&#10;rCPYAAAACQEAAA8AAAAAAAAAAQAgAAAAIgAAAGRycy9kb3ducmV2LnhtbFBLAQIUABQAAAAIAIdO&#10;4kDWAqawlQIAAFUHAAAOAAAAAAAAAAEAIAAAACc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w w:val="95"/>
        </w:rPr>
        <w:t>】在学习和考试当中，不允许使用红笔，用</w:t>
      </w:r>
    </w:p>
    <w:p>
      <w:pPr>
        <w:pStyle w:val="5"/>
        <w:ind w:left="0"/>
        <w:jc w:val="right"/>
      </w:pPr>
      <w:r>
        <w:rPr>
          <w:color w:val="00AFEF"/>
          <w:w w:val="95"/>
          <w:u w:val="single" w:color="00AFEF"/>
        </w:rPr>
        <w:t>①按照红字冲账的记账凭证，冲销错误记录；</w:t>
      </w:r>
    </w:p>
    <w:p>
      <w:pPr>
        <w:pStyle w:val="6"/>
        <w:spacing w:before="3"/>
      </w:pPr>
      <w:r>
        <w:br w:type="column"/>
      </w:r>
      <w:r>
        <w:rPr>
          <w:spacing w:val="-18"/>
        </w:rPr>
        <w:t xml:space="preserve">表示 </w:t>
      </w:r>
      <w:r>
        <w:t>2000</w:t>
      </w:r>
      <w:r>
        <w:rPr>
          <w:spacing w:val="-15"/>
        </w:rPr>
        <w:t xml:space="preserve"> 是红字。</w:t>
      </w:r>
    </w:p>
    <w:p>
      <w:pPr>
        <w:pStyle w:val="6"/>
        <w:spacing w:before="0"/>
        <w:ind w:left="0"/>
      </w:pPr>
      <w:r>
        <w:br w:type="column"/>
      </w:r>
    </w:p>
    <w:p>
      <w:pPr>
        <w:pStyle w:val="6"/>
        <w:spacing w:before="0"/>
        <w:ind w:left="0"/>
      </w:pPr>
    </w:p>
    <w:p>
      <w:pPr>
        <w:pStyle w:val="6"/>
        <w:spacing w:before="143"/>
        <w:ind w:left="699"/>
      </w:pPr>
      <w:r>
        <w:t>转字 25 号</w:t>
      </w:r>
    </w:p>
    <w:p>
      <w:pPr>
        <w:spacing w:after="0"/>
        <w:sectPr>
          <w:type w:val="continuous"/>
          <w:pgSz w:w="11910" w:h="16160"/>
          <w:pgMar w:top="1680" w:right="360" w:bottom="280" w:left="760" w:header="720" w:footer="720" w:gutter="0"/>
          <w:cols w:equalWidth="0" w:num="3">
            <w:col w:w="5137" w:space="64"/>
            <w:col w:w="2423" w:space="39"/>
            <w:col w:w="3127"/>
          </w:cols>
        </w:sectPr>
      </w:pP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0"/>
        <w:gridCol w:w="1420"/>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420" w:type="dxa"/>
            <w:vMerge w:val="restart"/>
          </w:tcPr>
          <w:p>
            <w:pPr>
              <w:pStyle w:val="14"/>
              <w:spacing w:before="7"/>
              <w:rPr>
                <w:sz w:val="18"/>
              </w:rPr>
            </w:pPr>
          </w:p>
          <w:p>
            <w:pPr>
              <w:pStyle w:val="14"/>
              <w:ind w:left="285" w:right="280"/>
              <w:jc w:val="center"/>
              <w:rPr>
                <w:sz w:val="20"/>
              </w:rPr>
            </w:pPr>
            <w:r>
              <w:rPr>
                <w:sz w:val="20"/>
              </w:rPr>
              <w:t>摘要</w:t>
            </w:r>
          </w:p>
        </w:tc>
        <w:tc>
          <w:tcPr>
            <w:tcW w:w="2840" w:type="dxa"/>
            <w:gridSpan w:val="2"/>
          </w:tcPr>
          <w:p>
            <w:pPr>
              <w:pStyle w:val="14"/>
              <w:spacing w:before="70" w:line="236" w:lineRule="exact"/>
              <w:ind w:left="1000" w:right="990"/>
              <w:jc w:val="center"/>
              <w:rPr>
                <w:sz w:val="20"/>
              </w:rPr>
            </w:pPr>
            <w:r>
              <w:rPr>
                <w:sz w:val="20"/>
              </w:rPr>
              <w:t>会计科目</w:t>
            </w:r>
          </w:p>
        </w:tc>
        <w:tc>
          <w:tcPr>
            <w:tcW w:w="1420" w:type="dxa"/>
            <w:vMerge w:val="restart"/>
          </w:tcPr>
          <w:p>
            <w:pPr>
              <w:pStyle w:val="14"/>
              <w:spacing w:before="7"/>
              <w:rPr>
                <w:sz w:val="18"/>
              </w:rPr>
            </w:pPr>
          </w:p>
          <w:p>
            <w:pPr>
              <w:pStyle w:val="14"/>
              <w:ind w:left="309"/>
              <w:rPr>
                <w:sz w:val="20"/>
              </w:rPr>
            </w:pPr>
            <w:r>
              <w:rPr>
                <w:sz w:val="20"/>
              </w:rPr>
              <w:t>借方金额</w:t>
            </w:r>
          </w:p>
        </w:tc>
        <w:tc>
          <w:tcPr>
            <w:tcW w:w="1421" w:type="dxa"/>
            <w:vMerge w:val="restart"/>
          </w:tcPr>
          <w:p>
            <w:pPr>
              <w:pStyle w:val="14"/>
              <w:spacing w:before="7"/>
              <w:rPr>
                <w:sz w:val="18"/>
              </w:rPr>
            </w:pPr>
          </w:p>
          <w:p>
            <w:pPr>
              <w:pStyle w:val="14"/>
              <w:ind w:left="310"/>
              <w:rPr>
                <w:sz w:val="20"/>
              </w:rPr>
            </w:pPr>
            <w:r>
              <w:rPr>
                <w:sz w:val="20"/>
              </w:rPr>
              <w:t>贷方金额</w:t>
            </w:r>
          </w:p>
        </w:tc>
        <w:tc>
          <w:tcPr>
            <w:tcW w:w="1421" w:type="dxa"/>
            <w:vMerge w:val="restart"/>
          </w:tcPr>
          <w:p>
            <w:pPr>
              <w:pStyle w:val="14"/>
              <w:spacing w:before="75"/>
              <w:ind w:left="386" w:right="381"/>
              <w:jc w:val="center"/>
              <w:rPr>
                <w:sz w:val="20"/>
              </w:rPr>
            </w:pPr>
            <w:r>
              <w:rPr>
                <w:sz w:val="20"/>
              </w:rPr>
              <w:t>记账</w:t>
            </w:r>
          </w:p>
          <w:p>
            <w:pPr>
              <w:pStyle w:val="14"/>
              <w:spacing w:before="67" w:line="243" w:lineRule="exact"/>
              <w:ind w:left="389" w:right="381"/>
              <w:jc w:val="center"/>
              <w:rPr>
                <w:sz w:val="20"/>
              </w:rPr>
            </w:pPr>
            <w:r>
              <w:rPr>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420" w:type="dxa"/>
            <w:vMerge w:val="continue"/>
            <w:tcBorders>
              <w:top w:val="nil"/>
            </w:tcBorders>
          </w:tcPr>
          <w:p>
            <w:pPr>
              <w:rPr>
                <w:sz w:val="2"/>
                <w:szCs w:val="2"/>
              </w:rPr>
            </w:pPr>
          </w:p>
        </w:tc>
        <w:tc>
          <w:tcPr>
            <w:tcW w:w="1420" w:type="dxa"/>
          </w:tcPr>
          <w:p>
            <w:pPr>
              <w:pStyle w:val="14"/>
              <w:spacing w:before="70" w:line="236" w:lineRule="exact"/>
              <w:ind w:left="288" w:right="279"/>
              <w:jc w:val="center"/>
              <w:rPr>
                <w:sz w:val="20"/>
              </w:rPr>
            </w:pPr>
            <w:r>
              <w:rPr>
                <w:sz w:val="20"/>
              </w:rPr>
              <w:t>总账科目</w:t>
            </w:r>
          </w:p>
        </w:tc>
        <w:tc>
          <w:tcPr>
            <w:tcW w:w="1420" w:type="dxa"/>
          </w:tcPr>
          <w:p>
            <w:pPr>
              <w:pStyle w:val="14"/>
              <w:spacing w:before="70" w:line="236" w:lineRule="exact"/>
              <w:ind w:left="286" w:right="280"/>
              <w:jc w:val="center"/>
              <w:rPr>
                <w:sz w:val="20"/>
              </w:rPr>
            </w:pPr>
            <w:r>
              <w:rPr>
                <w:sz w:val="20"/>
              </w:rPr>
              <w:t>明细科目</w:t>
            </w:r>
          </w:p>
        </w:tc>
        <w:tc>
          <w:tcPr>
            <w:tcW w:w="1420" w:type="dxa"/>
            <w:vMerge w:val="continue"/>
            <w:tcBorders>
              <w:top w:val="nil"/>
            </w:tcBorders>
          </w:tcPr>
          <w:p>
            <w:pPr>
              <w:rPr>
                <w:sz w:val="2"/>
                <w:szCs w:val="2"/>
              </w:rPr>
            </w:pPr>
          </w:p>
        </w:tc>
        <w:tc>
          <w:tcPr>
            <w:tcW w:w="1421" w:type="dxa"/>
            <w:vMerge w:val="continue"/>
            <w:tcBorders>
              <w:top w:val="nil"/>
            </w:tcBorders>
          </w:tcPr>
          <w:p>
            <w:pPr>
              <w:rPr>
                <w:sz w:val="2"/>
                <w:szCs w:val="2"/>
              </w:rPr>
            </w:pPr>
          </w:p>
        </w:tc>
        <w:tc>
          <w:tcPr>
            <w:tcW w:w="142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420" w:type="dxa"/>
          </w:tcPr>
          <w:p>
            <w:pPr>
              <w:pStyle w:val="14"/>
              <w:spacing w:before="70" w:line="234" w:lineRule="exact"/>
              <w:ind w:left="110"/>
              <w:rPr>
                <w:sz w:val="20"/>
              </w:rPr>
            </w:pPr>
            <w:r>
              <w:rPr>
                <w:sz w:val="20"/>
              </w:rPr>
              <w:t>计提车间折旧</w:t>
            </w:r>
          </w:p>
        </w:tc>
        <w:tc>
          <w:tcPr>
            <w:tcW w:w="1420" w:type="dxa"/>
          </w:tcPr>
          <w:p>
            <w:pPr>
              <w:pStyle w:val="14"/>
              <w:spacing w:before="70" w:line="234" w:lineRule="exact"/>
              <w:ind w:left="288" w:right="279"/>
              <w:jc w:val="center"/>
              <w:rPr>
                <w:sz w:val="20"/>
              </w:rPr>
            </w:pPr>
            <w:r>
              <w:rPr>
                <w:sz w:val="20"/>
              </w:rPr>
              <w:t>管理费用</w:t>
            </w:r>
          </w:p>
        </w:tc>
        <w:tc>
          <w:tcPr>
            <w:tcW w:w="1420" w:type="dxa"/>
          </w:tcPr>
          <w:p>
            <w:pPr>
              <w:pStyle w:val="14"/>
              <w:spacing w:before="70" w:line="234" w:lineRule="exact"/>
              <w:ind w:left="288" w:right="280"/>
              <w:jc w:val="center"/>
              <w:rPr>
                <w:sz w:val="20"/>
              </w:rPr>
            </w:pPr>
            <w:r>
              <w:rPr>
                <w:sz w:val="20"/>
              </w:rPr>
              <w:t>折旧费</w:t>
            </w:r>
          </w:p>
        </w:tc>
        <w:tc>
          <w:tcPr>
            <w:tcW w:w="1420" w:type="dxa"/>
          </w:tcPr>
          <w:p>
            <w:pPr>
              <w:pStyle w:val="14"/>
              <w:spacing w:before="70" w:line="234" w:lineRule="exact"/>
              <w:ind w:left="286" w:right="280"/>
              <w:jc w:val="center"/>
              <w:rPr>
                <w:sz w:val="20"/>
              </w:rPr>
            </w:pPr>
            <w:r>
              <w:rPr>
                <w:sz w:val="20"/>
              </w:rPr>
              <w:t>3000</w:t>
            </w:r>
          </w:p>
        </w:tc>
        <w:tc>
          <w:tcPr>
            <w:tcW w:w="1421" w:type="dxa"/>
          </w:tcPr>
          <w:p>
            <w:pPr>
              <w:pStyle w:val="14"/>
              <w:rPr>
                <w:rFonts w:ascii="Times New Roman"/>
                <w:sz w:val="18"/>
              </w:rPr>
            </w:pPr>
          </w:p>
        </w:tc>
        <w:tc>
          <w:tcPr>
            <w:tcW w:w="1421" w:type="dxa"/>
          </w:tcPr>
          <w:p>
            <w:pPr>
              <w:pStyle w:val="14"/>
              <w:spacing w:before="70" w:line="234" w:lineRule="exact"/>
              <w:ind w:left="7"/>
              <w:jc w:val="center"/>
              <w:rPr>
                <w:sz w:val="20"/>
              </w:rPr>
            </w:pPr>
            <w:r>
              <w:rPr>
                <w:w w:val="99"/>
                <w:sz w:val="20"/>
              </w:rPr>
              <w:t>√</w:t>
            </w:r>
          </w:p>
        </w:tc>
      </w:tr>
    </w:tbl>
    <w:p>
      <w:pPr>
        <w:spacing w:after="0" w:line="234" w:lineRule="exact"/>
        <w:jc w:val="center"/>
        <w:rPr>
          <w:sz w:val="20"/>
        </w:rPr>
        <w:sectPr>
          <w:type w:val="continuous"/>
          <w:pgSz w:w="11910" w:h="16160"/>
          <w:pgMar w:top="1680" w:right="360" w:bottom="280" w:left="760" w:header="720" w:footer="720" w:gutter="0"/>
        </w:sectPr>
      </w:pPr>
    </w:p>
    <w:p>
      <w:pPr>
        <w:pStyle w:val="6"/>
        <w:spacing w:before="1"/>
        <w:ind w:left="0"/>
        <w:rPr>
          <w:sz w:val="14"/>
        </w:rPr>
      </w:pP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0"/>
        <w:gridCol w:w="1420"/>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420" w:type="dxa"/>
          </w:tcPr>
          <w:p>
            <w:pPr>
              <w:pStyle w:val="14"/>
              <w:rPr>
                <w:rFonts w:ascii="Times New Roman"/>
                <w:sz w:val="18"/>
              </w:rPr>
            </w:pPr>
          </w:p>
        </w:tc>
        <w:tc>
          <w:tcPr>
            <w:tcW w:w="1420" w:type="dxa"/>
          </w:tcPr>
          <w:p>
            <w:pPr>
              <w:pStyle w:val="14"/>
              <w:spacing w:before="68" w:line="238" w:lineRule="exact"/>
              <w:ind w:left="310"/>
              <w:rPr>
                <w:sz w:val="20"/>
              </w:rPr>
            </w:pPr>
            <w:r>
              <w:rPr>
                <w:sz w:val="20"/>
              </w:rPr>
              <w:t>累计折旧</w:t>
            </w:r>
          </w:p>
        </w:tc>
        <w:tc>
          <w:tcPr>
            <w:tcW w:w="1420" w:type="dxa"/>
          </w:tcPr>
          <w:p>
            <w:pPr>
              <w:pStyle w:val="14"/>
              <w:rPr>
                <w:rFonts w:ascii="Times New Roman"/>
                <w:sz w:val="18"/>
              </w:rPr>
            </w:pPr>
          </w:p>
        </w:tc>
        <w:tc>
          <w:tcPr>
            <w:tcW w:w="1420" w:type="dxa"/>
          </w:tcPr>
          <w:p>
            <w:pPr>
              <w:pStyle w:val="14"/>
              <w:rPr>
                <w:rFonts w:ascii="Times New Roman"/>
                <w:sz w:val="18"/>
              </w:rPr>
            </w:pPr>
          </w:p>
        </w:tc>
        <w:tc>
          <w:tcPr>
            <w:tcW w:w="1421" w:type="dxa"/>
          </w:tcPr>
          <w:p>
            <w:pPr>
              <w:pStyle w:val="14"/>
              <w:spacing w:before="68" w:line="238" w:lineRule="exact"/>
              <w:ind w:left="388" w:right="381"/>
              <w:jc w:val="center"/>
              <w:rPr>
                <w:sz w:val="20"/>
              </w:rPr>
            </w:pPr>
            <w:r>
              <w:rPr>
                <w:sz w:val="20"/>
              </w:rPr>
              <w:t>3000</w:t>
            </w:r>
          </w:p>
        </w:tc>
        <w:tc>
          <w:tcPr>
            <w:tcW w:w="1421" w:type="dxa"/>
          </w:tcPr>
          <w:p>
            <w:pPr>
              <w:pStyle w:val="14"/>
              <w:spacing w:before="68" w:line="238" w:lineRule="exact"/>
              <w:ind w:left="7"/>
              <w:jc w:val="center"/>
              <w:rPr>
                <w:sz w:val="20"/>
              </w:rPr>
            </w:pPr>
            <w:r>
              <w:rPr>
                <w:w w:val="99"/>
                <w:sz w:val="20"/>
              </w:rPr>
              <w:t>√</w:t>
            </w:r>
          </w:p>
        </w:tc>
      </w:tr>
    </w:tbl>
    <w:p>
      <w:pPr>
        <w:pStyle w:val="6"/>
        <w:spacing w:before="68" w:after="2"/>
        <w:ind w:left="8463"/>
      </w:pPr>
      <w:r>
        <w:rPr>
          <w:spacing w:val="-18"/>
        </w:rPr>
        <w:t xml:space="preserve">转字 </w:t>
      </w:r>
      <w:r>
        <w:t>30</w:t>
      </w:r>
      <w:r>
        <w:rPr>
          <w:spacing w:val="-25"/>
        </w:rPr>
        <w:t xml:space="preserve"> 号</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6"/>
        <w:gridCol w:w="1234"/>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06" w:type="dxa"/>
            <w:vMerge w:val="restart"/>
          </w:tcPr>
          <w:p>
            <w:pPr>
              <w:pStyle w:val="14"/>
              <w:spacing w:before="5"/>
              <w:rPr>
                <w:sz w:val="18"/>
              </w:rPr>
            </w:pPr>
          </w:p>
          <w:p>
            <w:pPr>
              <w:pStyle w:val="14"/>
              <w:ind w:left="581" w:right="575"/>
              <w:jc w:val="center"/>
              <w:rPr>
                <w:sz w:val="20"/>
              </w:rPr>
            </w:pPr>
            <w:r>
              <w:rPr>
                <w:sz w:val="20"/>
              </w:rPr>
              <w:t>摘要</w:t>
            </w:r>
          </w:p>
        </w:tc>
        <w:tc>
          <w:tcPr>
            <w:tcW w:w="2654" w:type="dxa"/>
            <w:gridSpan w:val="2"/>
          </w:tcPr>
          <w:p>
            <w:pPr>
              <w:pStyle w:val="14"/>
              <w:spacing w:before="68" w:line="238" w:lineRule="exact"/>
              <w:ind w:left="905" w:right="899"/>
              <w:jc w:val="center"/>
              <w:rPr>
                <w:sz w:val="20"/>
              </w:rPr>
            </w:pPr>
            <w:r>
              <w:rPr>
                <w:sz w:val="20"/>
              </w:rPr>
              <w:t>会计科目</w:t>
            </w:r>
          </w:p>
        </w:tc>
        <w:tc>
          <w:tcPr>
            <w:tcW w:w="1420" w:type="dxa"/>
            <w:vMerge w:val="restart"/>
          </w:tcPr>
          <w:p>
            <w:pPr>
              <w:pStyle w:val="14"/>
              <w:spacing w:before="5"/>
              <w:rPr>
                <w:sz w:val="18"/>
              </w:rPr>
            </w:pPr>
          </w:p>
          <w:p>
            <w:pPr>
              <w:pStyle w:val="14"/>
              <w:ind w:left="309"/>
              <w:rPr>
                <w:sz w:val="20"/>
              </w:rPr>
            </w:pPr>
            <w:r>
              <w:rPr>
                <w:sz w:val="20"/>
              </w:rPr>
              <w:t>借方金额</w:t>
            </w:r>
          </w:p>
        </w:tc>
        <w:tc>
          <w:tcPr>
            <w:tcW w:w="1421" w:type="dxa"/>
            <w:vMerge w:val="restart"/>
          </w:tcPr>
          <w:p>
            <w:pPr>
              <w:pStyle w:val="14"/>
              <w:spacing w:before="5"/>
              <w:rPr>
                <w:sz w:val="18"/>
              </w:rPr>
            </w:pPr>
          </w:p>
          <w:p>
            <w:pPr>
              <w:pStyle w:val="14"/>
              <w:ind w:left="310"/>
              <w:rPr>
                <w:sz w:val="20"/>
              </w:rPr>
            </w:pPr>
            <w:r>
              <w:rPr>
                <w:sz w:val="20"/>
              </w:rPr>
              <w:t>贷方金额</w:t>
            </w:r>
          </w:p>
        </w:tc>
        <w:tc>
          <w:tcPr>
            <w:tcW w:w="1421" w:type="dxa"/>
            <w:vMerge w:val="restart"/>
          </w:tcPr>
          <w:p>
            <w:pPr>
              <w:pStyle w:val="14"/>
              <w:spacing w:before="73"/>
              <w:ind w:left="386" w:right="381"/>
              <w:jc w:val="center"/>
              <w:rPr>
                <w:sz w:val="20"/>
              </w:rPr>
            </w:pPr>
            <w:r>
              <w:rPr>
                <w:sz w:val="20"/>
              </w:rPr>
              <w:t>记账</w:t>
            </w:r>
          </w:p>
          <w:p>
            <w:pPr>
              <w:pStyle w:val="14"/>
              <w:spacing w:before="70" w:line="243" w:lineRule="exact"/>
              <w:ind w:left="389" w:right="381"/>
              <w:jc w:val="center"/>
              <w:rPr>
                <w:sz w:val="20"/>
              </w:rPr>
            </w:pPr>
            <w:r>
              <w:rPr>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06" w:type="dxa"/>
            <w:vMerge w:val="continue"/>
            <w:tcBorders>
              <w:top w:val="nil"/>
            </w:tcBorders>
          </w:tcPr>
          <w:p>
            <w:pPr>
              <w:rPr>
                <w:sz w:val="2"/>
                <w:szCs w:val="2"/>
              </w:rPr>
            </w:pPr>
          </w:p>
        </w:tc>
        <w:tc>
          <w:tcPr>
            <w:tcW w:w="1234" w:type="dxa"/>
          </w:tcPr>
          <w:p>
            <w:pPr>
              <w:pStyle w:val="14"/>
              <w:spacing w:before="68" w:line="238" w:lineRule="exact"/>
              <w:ind w:left="197" w:right="187"/>
              <w:jc w:val="center"/>
              <w:rPr>
                <w:sz w:val="20"/>
              </w:rPr>
            </w:pPr>
            <w:r>
              <w:rPr>
                <w:sz w:val="20"/>
              </w:rPr>
              <w:t>总账科目</w:t>
            </w:r>
          </w:p>
        </w:tc>
        <w:tc>
          <w:tcPr>
            <w:tcW w:w="1420" w:type="dxa"/>
          </w:tcPr>
          <w:p>
            <w:pPr>
              <w:pStyle w:val="14"/>
              <w:spacing w:before="68" w:line="238" w:lineRule="exact"/>
              <w:ind w:left="286" w:right="280"/>
              <w:jc w:val="center"/>
              <w:rPr>
                <w:sz w:val="20"/>
              </w:rPr>
            </w:pPr>
            <w:r>
              <w:rPr>
                <w:sz w:val="20"/>
              </w:rPr>
              <w:t>明细科目</w:t>
            </w:r>
          </w:p>
        </w:tc>
        <w:tc>
          <w:tcPr>
            <w:tcW w:w="1420" w:type="dxa"/>
            <w:vMerge w:val="continue"/>
            <w:tcBorders>
              <w:top w:val="nil"/>
            </w:tcBorders>
          </w:tcPr>
          <w:p>
            <w:pPr>
              <w:rPr>
                <w:sz w:val="2"/>
                <w:szCs w:val="2"/>
              </w:rPr>
            </w:pPr>
          </w:p>
        </w:tc>
        <w:tc>
          <w:tcPr>
            <w:tcW w:w="1421" w:type="dxa"/>
            <w:vMerge w:val="continue"/>
            <w:tcBorders>
              <w:top w:val="nil"/>
            </w:tcBorders>
          </w:tcPr>
          <w:p>
            <w:pPr>
              <w:rPr>
                <w:sz w:val="2"/>
                <w:szCs w:val="2"/>
              </w:rPr>
            </w:pPr>
          </w:p>
        </w:tc>
        <w:tc>
          <w:tcPr>
            <w:tcW w:w="142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06" w:type="dxa"/>
          </w:tcPr>
          <w:p>
            <w:pPr>
              <w:pStyle w:val="14"/>
              <w:spacing w:before="68" w:line="238" w:lineRule="exact"/>
              <w:ind w:left="126"/>
              <w:rPr>
                <w:sz w:val="20"/>
              </w:rPr>
            </w:pPr>
            <w:r>
              <w:rPr>
                <w:sz w:val="20"/>
              </w:rPr>
              <w:t>冲销转-25 凭证</w:t>
            </w:r>
          </w:p>
        </w:tc>
        <w:tc>
          <w:tcPr>
            <w:tcW w:w="1234" w:type="dxa"/>
          </w:tcPr>
          <w:p>
            <w:pPr>
              <w:pStyle w:val="14"/>
              <w:spacing w:before="68" w:line="238" w:lineRule="exact"/>
              <w:ind w:left="197" w:right="187"/>
              <w:jc w:val="center"/>
              <w:rPr>
                <w:sz w:val="20"/>
              </w:rPr>
            </w:pPr>
            <w:r>
              <w:rPr>
                <w:sz w:val="20"/>
              </w:rPr>
              <w:t>管理费用</w:t>
            </w:r>
          </w:p>
        </w:tc>
        <w:tc>
          <w:tcPr>
            <w:tcW w:w="1420" w:type="dxa"/>
          </w:tcPr>
          <w:p>
            <w:pPr>
              <w:pStyle w:val="14"/>
              <w:spacing w:before="68" w:line="238" w:lineRule="exact"/>
              <w:ind w:left="288" w:right="280"/>
              <w:jc w:val="center"/>
              <w:rPr>
                <w:sz w:val="20"/>
              </w:rPr>
            </w:pPr>
            <w:r>
              <w:rPr>
                <w:sz w:val="20"/>
              </w:rPr>
              <w:t>折旧费</w:t>
            </w:r>
          </w:p>
        </w:tc>
        <w:tc>
          <w:tcPr>
            <w:tcW w:w="1420" w:type="dxa"/>
          </w:tcPr>
          <w:p>
            <w:pPr>
              <w:pStyle w:val="14"/>
              <w:spacing w:before="68" w:line="238" w:lineRule="exact"/>
              <w:ind w:left="286" w:right="280"/>
              <w:jc w:val="center"/>
              <w:rPr>
                <w:sz w:val="20"/>
              </w:rPr>
            </w:pPr>
            <w:r>
              <w:rPr>
                <w:sz w:val="20"/>
              </w:rPr>
              <w:t>3000</w:t>
            </w:r>
          </w:p>
        </w:tc>
        <w:tc>
          <w:tcPr>
            <w:tcW w:w="1421" w:type="dxa"/>
          </w:tcPr>
          <w:p>
            <w:pPr>
              <w:pStyle w:val="14"/>
              <w:rPr>
                <w:rFonts w:ascii="Times New Roman"/>
                <w:sz w:val="18"/>
              </w:rPr>
            </w:pPr>
          </w:p>
        </w:tc>
        <w:tc>
          <w:tcPr>
            <w:tcW w:w="1421" w:type="dxa"/>
          </w:tcPr>
          <w:p>
            <w:pPr>
              <w:pStyle w:val="14"/>
              <w:spacing w:before="68" w:line="238" w:lineRule="exact"/>
              <w:ind w:left="7"/>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06" w:type="dxa"/>
          </w:tcPr>
          <w:p>
            <w:pPr>
              <w:pStyle w:val="14"/>
              <w:rPr>
                <w:rFonts w:ascii="Times New Roman"/>
                <w:sz w:val="18"/>
              </w:rPr>
            </w:pPr>
          </w:p>
        </w:tc>
        <w:tc>
          <w:tcPr>
            <w:tcW w:w="1234" w:type="dxa"/>
          </w:tcPr>
          <w:p>
            <w:pPr>
              <w:pStyle w:val="14"/>
              <w:spacing w:before="68" w:line="238" w:lineRule="exact"/>
              <w:ind w:left="197" w:right="187"/>
              <w:jc w:val="center"/>
              <w:rPr>
                <w:sz w:val="20"/>
              </w:rPr>
            </w:pPr>
            <w:r>
              <w:rPr>
                <w:sz w:val="20"/>
              </w:rPr>
              <w:t>累计折旧</w:t>
            </w:r>
          </w:p>
        </w:tc>
        <w:tc>
          <w:tcPr>
            <w:tcW w:w="1420" w:type="dxa"/>
          </w:tcPr>
          <w:p>
            <w:pPr>
              <w:pStyle w:val="14"/>
              <w:rPr>
                <w:rFonts w:ascii="Times New Roman"/>
                <w:sz w:val="18"/>
              </w:rPr>
            </w:pPr>
          </w:p>
        </w:tc>
        <w:tc>
          <w:tcPr>
            <w:tcW w:w="1420" w:type="dxa"/>
          </w:tcPr>
          <w:p>
            <w:pPr>
              <w:pStyle w:val="14"/>
              <w:rPr>
                <w:rFonts w:ascii="Times New Roman"/>
                <w:sz w:val="18"/>
              </w:rPr>
            </w:pPr>
          </w:p>
        </w:tc>
        <w:tc>
          <w:tcPr>
            <w:tcW w:w="1421" w:type="dxa"/>
          </w:tcPr>
          <w:p>
            <w:pPr>
              <w:pStyle w:val="14"/>
              <w:spacing w:before="68" w:line="238" w:lineRule="exact"/>
              <w:ind w:left="388" w:right="381"/>
              <w:jc w:val="center"/>
              <w:rPr>
                <w:sz w:val="20"/>
              </w:rPr>
            </w:pPr>
            <w:r>
              <w:rPr>
                <w:sz w:val="20"/>
              </w:rPr>
              <w:t>3000</w:t>
            </w:r>
          </w:p>
        </w:tc>
        <w:tc>
          <w:tcPr>
            <w:tcW w:w="1421" w:type="dxa"/>
          </w:tcPr>
          <w:p>
            <w:pPr>
              <w:pStyle w:val="14"/>
              <w:spacing w:before="68" w:line="238" w:lineRule="exact"/>
              <w:ind w:left="7"/>
              <w:jc w:val="center"/>
              <w:rPr>
                <w:sz w:val="20"/>
              </w:rPr>
            </w:pPr>
            <w:r>
              <w:rPr>
                <w:w w:val="99"/>
                <w:sz w:val="20"/>
              </w:rPr>
              <w:t>√</w:t>
            </w:r>
          </w:p>
        </w:tc>
      </w:tr>
    </w:tbl>
    <w:p>
      <w:pPr>
        <w:pStyle w:val="6"/>
        <w:spacing w:before="68" w:after="2"/>
        <w:ind w:left="8463"/>
      </w:pPr>
      <w:r>
        <mc:AlternateContent>
          <mc:Choice Requires="wps">
            <w:drawing>
              <wp:anchor distT="0" distB="0" distL="114300" distR="114300" simplePos="0" relativeHeight="15768576" behindDoc="0" locked="0" layoutInCell="1" allowOverlap="1">
                <wp:simplePos x="0" y="0"/>
                <wp:positionH relativeFrom="page">
                  <wp:posOffset>4062730</wp:posOffset>
                </wp:positionH>
                <wp:positionV relativeFrom="paragraph">
                  <wp:posOffset>-391795</wp:posOffset>
                </wp:positionV>
                <wp:extent cx="374650" cy="139700"/>
                <wp:effectExtent l="0" t="0" r="6350" b="12700"/>
                <wp:wrapNone/>
                <wp:docPr id="84" name="任意多边形 95"/>
                <wp:cNvGraphicFramePr/>
                <a:graphic xmlns:a="http://schemas.openxmlformats.org/drawingml/2006/main">
                  <a:graphicData uri="http://schemas.microsoft.com/office/word/2010/wordprocessingShape">
                    <wps:wsp>
                      <wps:cNvSpPr/>
                      <wps:spPr>
                        <a:xfrm>
                          <a:off x="0" y="0"/>
                          <a:ext cx="374650" cy="139700"/>
                        </a:xfrm>
                        <a:custGeom>
                          <a:avLst/>
                          <a:gdLst/>
                          <a:ahLst/>
                          <a:cxnLst/>
                          <a:pathLst>
                            <a:path w="590" h="220">
                              <a:moveTo>
                                <a:pt x="590" y="220"/>
                              </a:moveTo>
                              <a:lnTo>
                                <a:pt x="0" y="220"/>
                              </a:lnTo>
                              <a:lnTo>
                                <a:pt x="0" y="0"/>
                              </a:lnTo>
                              <a:lnTo>
                                <a:pt x="590" y="0"/>
                              </a:lnTo>
                              <a:lnTo>
                                <a:pt x="590" y="8"/>
                              </a:lnTo>
                              <a:lnTo>
                                <a:pt x="15" y="8"/>
                              </a:lnTo>
                              <a:lnTo>
                                <a:pt x="8" y="15"/>
                              </a:lnTo>
                              <a:lnTo>
                                <a:pt x="15" y="15"/>
                              </a:lnTo>
                              <a:lnTo>
                                <a:pt x="15" y="205"/>
                              </a:lnTo>
                              <a:lnTo>
                                <a:pt x="8" y="205"/>
                              </a:lnTo>
                              <a:lnTo>
                                <a:pt x="15" y="213"/>
                              </a:lnTo>
                              <a:lnTo>
                                <a:pt x="590" y="213"/>
                              </a:lnTo>
                              <a:lnTo>
                                <a:pt x="590" y="220"/>
                              </a:lnTo>
                              <a:close/>
                              <a:moveTo>
                                <a:pt x="15" y="15"/>
                              </a:moveTo>
                              <a:lnTo>
                                <a:pt x="8" y="15"/>
                              </a:lnTo>
                              <a:lnTo>
                                <a:pt x="15" y="8"/>
                              </a:lnTo>
                              <a:lnTo>
                                <a:pt x="15" y="15"/>
                              </a:lnTo>
                              <a:close/>
                              <a:moveTo>
                                <a:pt x="575" y="15"/>
                              </a:moveTo>
                              <a:lnTo>
                                <a:pt x="15" y="15"/>
                              </a:lnTo>
                              <a:lnTo>
                                <a:pt x="15" y="8"/>
                              </a:lnTo>
                              <a:lnTo>
                                <a:pt x="575" y="8"/>
                              </a:lnTo>
                              <a:lnTo>
                                <a:pt x="575" y="15"/>
                              </a:lnTo>
                              <a:close/>
                              <a:moveTo>
                                <a:pt x="575" y="213"/>
                              </a:moveTo>
                              <a:lnTo>
                                <a:pt x="575" y="8"/>
                              </a:lnTo>
                              <a:lnTo>
                                <a:pt x="583" y="15"/>
                              </a:lnTo>
                              <a:lnTo>
                                <a:pt x="590" y="15"/>
                              </a:lnTo>
                              <a:lnTo>
                                <a:pt x="590" y="205"/>
                              </a:lnTo>
                              <a:lnTo>
                                <a:pt x="583" y="205"/>
                              </a:lnTo>
                              <a:lnTo>
                                <a:pt x="575" y="213"/>
                              </a:lnTo>
                              <a:close/>
                              <a:moveTo>
                                <a:pt x="590" y="15"/>
                              </a:moveTo>
                              <a:lnTo>
                                <a:pt x="583" y="15"/>
                              </a:lnTo>
                              <a:lnTo>
                                <a:pt x="575" y="8"/>
                              </a:lnTo>
                              <a:lnTo>
                                <a:pt x="590" y="8"/>
                              </a:lnTo>
                              <a:lnTo>
                                <a:pt x="590" y="15"/>
                              </a:lnTo>
                              <a:close/>
                              <a:moveTo>
                                <a:pt x="15" y="213"/>
                              </a:moveTo>
                              <a:lnTo>
                                <a:pt x="8" y="205"/>
                              </a:lnTo>
                              <a:lnTo>
                                <a:pt x="15" y="205"/>
                              </a:lnTo>
                              <a:lnTo>
                                <a:pt x="15" y="213"/>
                              </a:lnTo>
                              <a:close/>
                              <a:moveTo>
                                <a:pt x="575" y="213"/>
                              </a:moveTo>
                              <a:lnTo>
                                <a:pt x="15" y="213"/>
                              </a:lnTo>
                              <a:lnTo>
                                <a:pt x="15" y="205"/>
                              </a:lnTo>
                              <a:lnTo>
                                <a:pt x="575" y="205"/>
                              </a:lnTo>
                              <a:lnTo>
                                <a:pt x="575" y="213"/>
                              </a:lnTo>
                              <a:close/>
                              <a:moveTo>
                                <a:pt x="590" y="213"/>
                              </a:moveTo>
                              <a:lnTo>
                                <a:pt x="575" y="213"/>
                              </a:lnTo>
                              <a:lnTo>
                                <a:pt x="583" y="205"/>
                              </a:lnTo>
                              <a:lnTo>
                                <a:pt x="590" y="205"/>
                              </a:lnTo>
                              <a:lnTo>
                                <a:pt x="590" y="213"/>
                              </a:lnTo>
                              <a:close/>
                            </a:path>
                          </a:pathLst>
                        </a:custGeom>
                        <a:solidFill>
                          <a:srgbClr val="000000"/>
                        </a:solidFill>
                        <a:ln>
                          <a:noFill/>
                        </a:ln>
                      </wps:spPr>
                      <wps:bodyPr upright="1"/>
                    </wps:wsp>
                  </a:graphicData>
                </a:graphic>
              </wp:anchor>
            </w:drawing>
          </mc:Choice>
          <mc:Fallback>
            <w:pict>
              <v:shape id="任意多边形 95" o:spid="_x0000_s1026" o:spt="100" style="position:absolute;left:0pt;margin-left:319.9pt;margin-top:-30.85pt;height:11pt;width:29.5pt;mso-position-horizontal-relative:page;z-index:15768576;mso-width-relative:page;mso-height-relative:page;" fillcolor="#000000" filled="t" stroked="f" coordsize="590,220" o:gfxdata="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gJ25F2gAAAAsBAAAPAAAAAAAAAAEAIAAAACIA&#10;AABkcnMvZG93bnJldi54bWxQSwECFAAUAAAACACHTuJAFBny0esCAAAbCwAADgAAAAAAAAABACAA&#10;AAApAQAAZHJzL2Uyb0RvYy54bWxQSwUGAAAAAAYABgBZAQAAhgYAAAAA&#10;" path="m590,220l0,220,0,0,590,0,590,8,15,8,8,15,15,15,15,205,8,205,15,213,590,213,590,220xm15,15l8,15,15,8,15,15xm575,15l15,15,15,8,575,8,575,15xm575,213l575,8,583,15,590,15,590,205,583,205,575,213xm590,15l583,15,575,8,590,8,590,15xm15,213l8,205,15,205,15,213xm575,213l15,213,15,205,575,205,575,213xm590,213l575,213,583,205,590,205,590,213xe">
                <v:fill on="t" focussize="0,0"/>
                <v:stroke on="f"/>
                <v:imagedata o:title=""/>
                <o:lock v:ext="edit" aspectratio="f"/>
              </v:shape>
            </w:pict>
          </mc:Fallback>
        </mc:AlternateContent>
      </w:r>
      <w:r>
        <mc:AlternateContent>
          <mc:Choice Requires="wps">
            <w:drawing>
              <wp:anchor distT="0" distB="0" distL="114300" distR="114300" simplePos="0" relativeHeight="15769600" behindDoc="0" locked="0" layoutInCell="1" allowOverlap="1">
                <wp:simplePos x="0" y="0"/>
                <wp:positionH relativeFrom="page">
                  <wp:posOffset>4899025</wp:posOffset>
                </wp:positionH>
                <wp:positionV relativeFrom="paragraph">
                  <wp:posOffset>-196850</wp:posOffset>
                </wp:positionV>
                <wp:extent cx="443230" cy="173990"/>
                <wp:effectExtent l="0" t="0" r="13970" b="16510"/>
                <wp:wrapNone/>
                <wp:docPr id="90" name="任意多边形 96"/>
                <wp:cNvGraphicFramePr/>
                <a:graphic xmlns:a="http://schemas.openxmlformats.org/drawingml/2006/main">
                  <a:graphicData uri="http://schemas.microsoft.com/office/word/2010/wordprocessingShape">
                    <wps:wsp>
                      <wps:cNvSpPr/>
                      <wps:spPr>
                        <a:xfrm>
                          <a:off x="0" y="0"/>
                          <a:ext cx="443230" cy="173990"/>
                        </a:xfrm>
                        <a:custGeom>
                          <a:avLst/>
                          <a:gdLst/>
                          <a:ahLst/>
                          <a:cxnLst/>
                          <a:pathLst>
                            <a:path w="698" h="274">
                              <a:moveTo>
                                <a:pt x="698" y="274"/>
                              </a:moveTo>
                              <a:lnTo>
                                <a:pt x="0" y="274"/>
                              </a:lnTo>
                              <a:lnTo>
                                <a:pt x="0" y="0"/>
                              </a:lnTo>
                              <a:lnTo>
                                <a:pt x="698" y="0"/>
                              </a:lnTo>
                              <a:lnTo>
                                <a:pt x="698" y="8"/>
                              </a:lnTo>
                              <a:lnTo>
                                <a:pt x="15" y="8"/>
                              </a:lnTo>
                              <a:lnTo>
                                <a:pt x="8" y="15"/>
                              </a:lnTo>
                              <a:lnTo>
                                <a:pt x="15" y="15"/>
                              </a:lnTo>
                              <a:lnTo>
                                <a:pt x="15" y="259"/>
                              </a:lnTo>
                              <a:lnTo>
                                <a:pt x="8" y="259"/>
                              </a:lnTo>
                              <a:lnTo>
                                <a:pt x="15" y="267"/>
                              </a:lnTo>
                              <a:lnTo>
                                <a:pt x="698" y="267"/>
                              </a:lnTo>
                              <a:lnTo>
                                <a:pt x="698" y="274"/>
                              </a:lnTo>
                              <a:close/>
                              <a:moveTo>
                                <a:pt x="15" y="15"/>
                              </a:moveTo>
                              <a:lnTo>
                                <a:pt x="8" y="15"/>
                              </a:lnTo>
                              <a:lnTo>
                                <a:pt x="15" y="8"/>
                              </a:lnTo>
                              <a:lnTo>
                                <a:pt x="15" y="15"/>
                              </a:lnTo>
                              <a:close/>
                              <a:moveTo>
                                <a:pt x="683" y="15"/>
                              </a:moveTo>
                              <a:lnTo>
                                <a:pt x="15" y="15"/>
                              </a:lnTo>
                              <a:lnTo>
                                <a:pt x="15" y="8"/>
                              </a:lnTo>
                              <a:lnTo>
                                <a:pt x="683" y="8"/>
                              </a:lnTo>
                              <a:lnTo>
                                <a:pt x="683" y="15"/>
                              </a:lnTo>
                              <a:close/>
                              <a:moveTo>
                                <a:pt x="683" y="267"/>
                              </a:moveTo>
                              <a:lnTo>
                                <a:pt x="683" y="8"/>
                              </a:lnTo>
                              <a:lnTo>
                                <a:pt x="691" y="15"/>
                              </a:lnTo>
                              <a:lnTo>
                                <a:pt x="698" y="15"/>
                              </a:lnTo>
                              <a:lnTo>
                                <a:pt x="698" y="259"/>
                              </a:lnTo>
                              <a:lnTo>
                                <a:pt x="691" y="259"/>
                              </a:lnTo>
                              <a:lnTo>
                                <a:pt x="683" y="267"/>
                              </a:lnTo>
                              <a:close/>
                              <a:moveTo>
                                <a:pt x="698" y="15"/>
                              </a:moveTo>
                              <a:lnTo>
                                <a:pt x="691" y="15"/>
                              </a:lnTo>
                              <a:lnTo>
                                <a:pt x="683" y="8"/>
                              </a:lnTo>
                              <a:lnTo>
                                <a:pt x="698" y="8"/>
                              </a:lnTo>
                              <a:lnTo>
                                <a:pt x="698" y="15"/>
                              </a:lnTo>
                              <a:close/>
                              <a:moveTo>
                                <a:pt x="15" y="267"/>
                              </a:moveTo>
                              <a:lnTo>
                                <a:pt x="8" y="259"/>
                              </a:lnTo>
                              <a:lnTo>
                                <a:pt x="15" y="259"/>
                              </a:lnTo>
                              <a:lnTo>
                                <a:pt x="15" y="267"/>
                              </a:lnTo>
                              <a:close/>
                              <a:moveTo>
                                <a:pt x="683" y="267"/>
                              </a:moveTo>
                              <a:lnTo>
                                <a:pt x="15" y="267"/>
                              </a:lnTo>
                              <a:lnTo>
                                <a:pt x="15" y="259"/>
                              </a:lnTo>
                              <a:lnTo>
                                <a:pt x="683" y="259"/>
                              </a:lnTo>
                              <a:lnTo>
                                <a:pt x="683" y="267"/>
                              </a:lnTo>
                              <a:close/>
                              <a:moveTo>
                                <a:pt x="698" y="267"/>
                              </a:moveTo>
                              <a:lnTo>
                                <a:pt x="683" y="267"/>
                              </a:lnTo>
                              <a:lnTo>
                                <a:pt x="691" y="259"/>
                              </a:lnTo>
                              <a:lnTo>
                                <a:pt x="698" y="259"/>
                              </a:lnTo>
                              <a:lnTo>
                                <a:pt x="698" y="267"/>
                              </a:lnTo>
                              <a:close/>
                            </a:path>
                          </a:pathLst>
                        </a:custGeom>
                        <a:solidFill>
                          <a:srgbClr val="000000"/>
                        </a:solidFill>
                        <a:ln>
                          <a:noFill/>
                        </a:ln>
                      </wps:spPr>
                      <wps:bodyPr upright="1"/>
                    </wps:wsp>
                  </a:graphicData>
                </a:graphic>
              </wp:anchor>
            </w:drawing>
          </mc:Choice>
          <mc:Fallback>
            <w:pict>
              <v:shape id="任意多边形 96" o:spid="_x0000_s1026" o:spt="100" style="position:absolute;left:0pt;margin-left:385.75pt;margin-top:-15.5pt;height:13.7pt;width:34.9pt;mso-position-horizontal-relative:page;z-index:15769600;mso-width-relative:page;mso-height-relative:page;" fillcolor="#000000" filled="t" stroked="f" coordsize="698,274" o:gfxdata="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DWrUczXAAAACgEAAA8AAAAAAAAAAQAgAAAAIgAAAGRycy9kb3du&#10;cmV2LnhtbFBLAQIUABQAAAAIAIdO4kDth9tb5AIAABsLAAAOAAAAAAAAAAEAIAAAACYBAABkcnMv&#10;ZTJvRG9jLnhtbFBLBQYAAAAABgAGAFkBAAB8BgAAAAA=&#10;" path="m698,274l0,274,0,0,698,0,698,8,15,8,8,15,15,15,15,259,8,259,15,267,698,267,698,274xm15,15l8,15,15,8,15,15xm683,15l15,15,15,8,683,8,683,15xm683,267l683,8,691,15,698,15,698,259,691,259,683,267xm698,15l691,15,683,8,698,8,698,15xm15,267l8,259,15,259,15,267xm683,267l15,267,15,259,683,259,683,267xm698,267l683,267,691,259,698,259,698,267xe">
                <v:fill on="t" focussize="0,0"/>
                <v:stroke on="f"/>
                <v:imagedata o:title=""/>
                <o:lock v:ext="edit" aspectratio="f"/>
              </v:shape>
            </w:pict>
          </mc:Fallback>
        </mc:AlternateContent>
      </w:r>
      <w:r>
        <w:rPr>
          <w:spacing w:val="-18"/>
        </w:rPr>
        <w:t xml:space="preserve">转字 </w:t>
      </w:r>
      <w:r>
        <w:t>31</w:t>
      </w:r>
      <w:r>
        <w:rPr>
          <w:spacing w:val="-25"/>
        </w:rPr>
        <w:t xml:space="preserve"> 号</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06"/>
        <w:gridCol w:w="1234"/>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06" w:type="dxa"/>
            <w:vMerge w:val="restart"/>
          </w:tcPr>
          <w:p>
            <w:pPr>
              <w:pStyle w:val="14"/>
              <w:spacing w:before="5"/>
              <w:rPr>
                <w:sz w:val="18"/>
              </w:rPr>
            </w:pPr>
          </w:p>
          <w:p>
            <w:pPr>
              <w:pStyle w:val="14"/>
              <w:ind w:left="581" w:right="575"/>
              <w:jc w:val="center"/>
              <w:rPr>
                <w:sz w:val="20"/>
              </w:rPr>
            </w:pPr>
            <w:r>
              <w:rPr>
                <w:sz w:val="20"/>
              </w:rPr>
              <w:t>摘要</w:t>
            </w:r>
          </w:p>
        </w:tc>
        <w:tc>
          <w:tcPr>
            <w:tcW w:w="2654" w:type="dxa"/>
            <w:gridSpan w:val="2"/>
          </w:tcPr>
          <w:p>
            <w:pPr>
              <w:pStyle w:val="14"/>
              <w:spacing w:before="68" w:line="238" w:lineRule="exact"/>
              <w:ind w:left="905" w:right="899"/>
              <w:jc w:val="center"/>
              <w:rPr>
                <w:sz w:val="20"/>
              </w:rPr>
            </w:pPr>
            <w:r>
              <w:rPr>
                <w:sz w:val="20"/>
              </w:rPr>
              <w:t>会计科目</w:t>
            </w:r>
          </w:p>
        </w:tc>
        <w:tc>
          <w:tcPr>
            <w:tcW w:w="1420" w:type="dxa"/>
            <w:vMerge w:val="restart"/>
          </w:tcPr>
          <w:p>
            <w:pPr>
              <w:pStyle w:val="14"/>
              <w:spacing w:before="5"/>
              <w:rPr>
                <w:sz w:val="18"/>
              </w:rPr>
            </w:pPr>
          </w:p>
          <w:p>
            <w:pPr>
              <w:pStyle w:val="14"/>
              <w:ind w:left="309"/>
              <w:rPr>
                <w:sz w:val="20"/>
              </w:rPr>
            </w:pPr>
            <w:r>
              <w:rPr>
                <w:sz w:val="20"/>
              </w:rPr>
              <w:t>借方金额</w:t>
            </w:r>
          </w:p>
        </w:tc>
        <w:tc>
          <w:tcPr>
            <w:tcW w:w="1421" w:type="dxa"/>
            <w:vMerge w:val="restart"/>
          </w:tcPr>
          <w:p>
            <w:pPr>
              <w:pStyle w:val="14"/>
              <w:spacing w:before="5"/>
              <w:rPr>
                <w:sz w:val="18"/>
              </w:rPr>
            </w:pPr>
          </w:p>
          <w:p>
            <w:pPr>
              <w:pStyle w:val="14"/>
              <w:ind w:left="310"/>
              <w:rPr>
                <w:sz w:val="20"/>
              </w:rPr>
            </w:pPr>
            <w:r>
              <w:rPr>
                <w:sz w:val="20"/>
              </w:rPr>
              <w:t>贷方金额</w:t>
            </w:r>
          </w:p>
        </w:tc>
        <w:tc>
          <w:tcPr>
            <w:tcW w:w="1421" w:type="dxa"/>
            <w:vMerge w:val="restart"/>
          </w:tcPr>
          <w:p>
            <w:pPr>
              <w:pStyle w:val="14"/>
              <w:spacing w:before="73"/>
              <w:ind w:left="386" w:right="381"/>
              <w:jc w:val="center"/>
              <w:rPr>
                <w:sz w:val="20"/>
              </w:rPr>
            </w:pPr>
            <w:r>
              <w:rPr>
                <w:sz w:val="20"/>
              </w:rPr>
              <w:t>记账</w:t>
            </w:r>
          </w:p>
          <w:p>
            <w:pPr>
              <w:pStyle w:val="14"/>
              <w:spacing w:before="70" w:line="243" w:lineRule="exact"/>
              <w:ind w:left="389" w:right="381"/>
              <w:jc w:val="center"/>
              <w:rPr>
                <w:sz w:val="20"/>
              </w:rPr>
            </w:pPr>
            <w:r>
              <w:rPr>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06" w:type="dxa"/>
            <w:vMerge w:val="continue"/>
            <w:tcBorders>
              <w:top w:val="nil"/>
            </w:tcBorders>
          </w:tcPr>
          <w:p>
            <w:pPr>
              <w:rPr>
                <w:sz w:val="2"/>
                <w:szCs w:val="2"/>
              </w:rPr>
            </w:pPr>
          </w:p>
        </w:tc>
        <w:tc>
          <w:tcPr>
            <w:tcW w:w="1234" w:type="dxa"/>
          </w:tcPr>
          <w:p>
            <w:pPr>
              <w:pStyle w:val="14"/>
              <w:spacing w:before="68" w:line="238" w:lineRule="exact"/>
              <w:ind w:left="197" w:right="187"/>
              <w:jc w:val="center"/>
              <w:rPr>
                <w:sz w:val="20"/>
              </w:rPr>
            </w:pPr>
            <w:r>
              <w:rPr>
                <w:sz w:val="20"/>
              </w:rPr>
              <w:t>总账科目</w:t>
            </w:r>
          </w:p>
        </w:tc>
        <w:tc>
          <w:tcPr>
            <w:tcW w:w="1420" w:type="dxa"/>
          </w:tcPr>
          <w:p>
            <w:pPr>
              <w:pStyle w:val="14"/>
              <w:spacing w:before="68" w:line="238" w:lineRule="exact"/>
              <w:ind w:left="286" w:right="280"/>
              <w:jc w:val="center"/>
              <w:rPr>
                <w:sz w:val="20"/>
              </w:rPr>
            </w:pPr>
            <w:r>
              <w:rPr>
                <w:sz w:val="20"/>
              </w:rPr>
              <w:t>明细科目</w:t>
            </w:r>
          </w:p>
        </w:tc>
        <w:tc>
          <w:tcPr>
            <w:tcW w:w="1420" w:type="dxa"/>
            <w:vMerge w:val="continue"/>
            <w:tcBorders>
              <w:top w:val="nil"/>
            </w:tcBorders>
          </w:tcPr>
          <w:p>
            <w:pPr>
              <w:rPr>
                <w:sz w:val="2"/>
                <w:szCs w:val="2"/>
              </w:rPr>
            </w:pPr>
          </w:p>
        </w:tc>
        <w:tc>
          <w:tcPr>
            <w:tcW w:w="1421" w:type="dxa"/>
            <w:vMerge w:val="continue"/>
            <w:tcBorders>
              <w:top w:val="nil"/>
            </w:tcBorders>
          </w:tcPr>
          <w:p>
            <w:pPr>
              <w:rPr>
                <w:sz w:val="2"/>
                <w:szCs w:val="2"/>
              </w:rPr>
            </w:pPr>
          </w:p>
        </w:tc>
        <w:tc>
          <w:tcPr>
            <w:tcW w:w="1421"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06" w:type="dxa"/>
          </w:tcPr>
          <w:p>
            <w:pPr>
              <w:pStyle w:val="14"/>
              <w:spacing w:before="68" w:line="238" w:lineRule="exact"/>
              <w:ind w:left="126"/>
              <w:rPr>
                <w:sz w:val="20"/>
              </w:rPr>
            </w:pPr>
            <w:r>
              <w:rPr>
                <w:sz w:val="20"/>
              </w:rPr>
              <w:t>订正转-25 凭证</w:t>
            </w:r>
          </w:p>
        </w:tc>
        <w:tc>
          <w:tcPr>
            <w:tcW w:w="1234" w:type="dxa"/>
          </w:tcPr>
          <w:p>
            <w:pPr>
              <w:pStyle w:val="14"/>
              <w:spacing w:before="68" w:line="238" w:lineRule="exact"/>
              <w:ind w:left="197" w:right="187"/>
              <w:jc w:val="center"/>
              <w:rPr>
                <w:sz w:val="20"/>
              </w:rPr>
            </w:pPr>
            <w:r>
              <w:rPr>
                <w:sz w:val="20"/>
              </w:rPr>
              <w:t>制造费用</w:t>
            </w:r>
          </w:p>
        </w:tc>
        <w:tc>
          <w:tcPr>
            <w:tcW w:w="1420" w:type="dxa"/>
          </w:tcPr>
          <w:p>
            <w:pPr>
              <w:pStyle w:val="14"/>
              <w:spacing w:before="68" w:line="238" w:lineRule="exact"/>
              <w:ind w:left="288" w:right="280"/>
              <w:jc w:val="center"/>
              <w:rPr>
                <w:sz w:val="20"/>
              </w:rPr>
            </w:pPr>
            <w:r>
              <w:rPr>
                <w:sz w:val="20"/>
              </w:rPr>
              <w:t>折旧费</w:t>
            </w:r>
          </w:p>
        </w:tc>
        <w:tc>
          <w:tcPr>
            <w:tcW w:w="1420" w:type="dxa"/>
          </w:tcPr>
          <w:p>
            <w:pPr>
              <w:pStyle w:val="14"/>
              <w:spacing w:before="68" w:line="238" w:lineRule="exact"/>
              <w:ind w:left="286" w:right="280"/>
              <w:jc w:val="center"/>
              <w:rPr>
                <w:sz w:val="20"/>
              </w:rPr>
            </w:pPr>
            <w:r>
              <w:rPr>
                <w:sz w:val="20"/>
              </w:rPr>
              <w:t>3000</w:t>
            </w:r>
          </w:p>
        </w:tc>
        <w:tc>
          <w:tcPr>
            <w:tcW w:w="1421" w:type="dxa"/>
          </w:tcPr>
          <w:p>
            <w:pPr>
              <w:pStyle w:val="14"/>
              <w:rPr>
                <w:rFonts w:ascii="Times New Roman"/>
                <w:sz w:val="18"/>
              </w:rPr>
            </w:pPr>
          </w:p>
        </w:tc>
        <w:tc>
          <w:tcPr>
            <w:tcW w:w="1421" w:type="dxa"/>
          </w:tcPr>
          <w:p>
            <w:pPr>
              <w:pStyle w:val="14"/>
              <w:spacing w:before="68" w:line="238" w:lineRule="exact"/>
              <w:ind w:left="7"/>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06" w:type="dxa"/>
          </w:tcPr>
          <w:p>
            <w:pPr>
              <w:pStyle w:val="14"/>
              <w:rPr>
                <w:rFonts w:ascii="Times New Roman"/>
                <w:sz w:val="18"/>
              </w:rPr>
            </w:pPr>
          </w:p>
        </w:tc>
        <w:tc>
          <w:tcPr>
            <w:tcW w:w="1234" w:type="dxa"/>
          </w:tcPr>
          <w:p>
            <w:pPr>
              <w:pStyle w:val="14"/>
              <w:spacing w:before="68" w:line="238" w:lineRule="exact"/>
              <w:ind w:left="197" w:right="187"/>
              <w:jc w:val="center"/>
              <w:rPr>
                <w:sz w:val="20"/>
              </w:rPr>
            </w:pPr>
            <w:r>
              <w:rPr>
                <w:sz w:val="20"/>
              </w:rPr>
              <w:t>累计折旧</w:t>
            </w:r>
          </w:p>
        </w:tc>
        <w:tc>
          <w:tcPr>
            <w:tcW w:w="1420" w:type="dxa"/>
          </w:tcPr>
          <w:p>
            <w:pPr>
              <w:pStyle w:val="14"/>
              <w:rPr>
                <w:rFonts w:ascii="Times New Roman"/>
                <w:sz w:val="18"/>
              </w:rPr>
            </w:pPr>
          </w:p>
        </w:tc>
        <w:tc>
          <w:tcPr>
            <w:tcW w:w="1420" w:type="dxa"/>
          </w:tcPr>
          <w:p>
            <w:pPr>
              <w:pStyle w:val="14"/>
              <w:rPr>
                <w:rFonts w:ascii="Times New Roman"/>
                <w:sz w:val="18"/>
              </w:rPr>
            </w:pPr>
          </w:p>
        </w:tc>
        <w:tc>
          <w:tcPr>
            <w:tcW w:w="1421" w:type="dxa"/>
          </w:tcPr>
          <w:p>
            <w:pPr>
              <w:pStyle w:val="14"/>
              <w:spacing w:before="68" w:line="238" w:lineRule="exact"/>
              <w:ind w:left="388" w:right="381"/>
              <w:jc w:val="center"/>
              <w:rPr>
                <w:sz w:val="20"/>
              </w:rPr>
            </w:pPr>
            <w:r>
              <w:rPr>
                <w:sz w:val="20"/>
              </w:rPr>
              <w:t>3000</w:t>
            </w:r>
          </w:p>
        </w:tc>
        <w:tc>
          <w:tcPr>
            <w:tcW w:w="1421" w:type="dxa"/>
          </w:tcPr>
          <w:p>
            <w:pPr>
              <w:pStyle w:val="14"/>
              <w:spacing w:before="68" w:line="238" w:lineRule="exact"/>
              <w:ind w:left="7"/>
              <w:jc w:val="center"/>
              <w:rPr>
                <w:sz w:val="20"/>
              </w:rPr>
            </w:pPr>
            <w:r>
              <w:rPr>
                <w:w w:val="99"/>
                <w:sz w:val="20"/>
              </w:rPr>
              <w:t>√</w:t>
            </w:r>
          </w:p>
        </w:tc>
      </w:tr>
    </w:tbl>
    <w:p>
      <w:pPr>
        <w:pStyle w:val="5"/>
        <w:spacing w:before="68" w:after="2"/>
        <w:ind w:left="1124"/>
      </w:pPr>
      <w:r>
        <w:rPr>
          <w:color w:val="00AFEF"/>
          <w:u w:val="single" w:color="00AFEF"/>
        </w:rPr>
        <w:t>②在不设借贷等栏的多栏式账页中，登记减少数</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4"/>
        <w:gridCol w:w="845"/>
        <w:gridCol w:w="791"/>
        <w:gridCol w:w="873"/>
        <w:gridCol w:w="1118"/>
        <w:gridCol w:w="711"/>
        <w:gridCol w:w="852"/>
        <w:gridCol w:w="852"/>
        <w:gridCol w:w="853"/>
        <w:gridCol w:w="8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19" w:type="dxa"/>
            <w:gridSpan w:val="2"/>
          </w:tcPr>
          <w:p>
            <w:pPr>
              <w:pStyle w:val="14"/>
              <w:spacing w:before="68" w:line="238" w:lineRule="exact"/>
              <w:ind w:left="5"/>
              <w:jc w:val="center"/>
              <w:rPr>
                <w:sz w:val="20"/>
              </w:rPr>
            </w:pPr>
            <w:r>
              <w:rPr>
                <w:w w:val="99"/>
                <w:sz w:val="20"/>
              </w:rPr>
              <w:t>年</w:t>
            </w:r>
          </w:p>
        </w:tc>
        <w:tc>
          <w:tcPr>
            <w:tcW w:w="1664" w:type="dxa"/>
            <w:gridSpan w:val="2"/>
          </w:tcPr>
          <w:p>
            <w:pPr>
              <w:pStyle w:val="14"/>
              <w:spacing w:before="68" w:line="238" w:lineRule="exact"/>
              <w:ind w:left="611" w:right="603"/>
              <w:jc w:val="center"/>
              <w:rPr>
                <w:sz w:val="20"/>
              </w:rPr>
            </w:pPr>
            <w:r>
              <w:rPr>
                <w:sz w:val="20"/>
              </w:rPr>
              <w:t>凭证</w:t>
            </w:r>
          </w:p>
        </w:tc>
        <w:tc>
          <w:tcPr>
            <w:tcW w:w="1118" w:type="dxa"/>
            <w:vMerge w:val="restart"/>
          </w:tcPr>
          <w:p>
            <w:pPr>
              <w:pStyle w:val="14"/>
              <w:rPr>
                <w:b/>
                <w:sz w:val="20"/>
              </w:rPr>
            </w:pPr>
          </w:p>
          <w:p>
            <w:pPr>
              <w:pStyle w:val="14"/>
              <w:spacing w:before="143"/>
              <w:ind w:left="357"/>
              <w:rPr>
                <w:sz w:val="20"/>
              </w:rPr>
            </w:pPr>
            <w:r>
              <w:rPr>
                <w:sz w:val="20"/>
              </w:rPr>
              <w:t>摘要</w:t>
            </w:r>
          </w:p>
        </w:tc>
        <w:tc>
          <w:tcPr>
            <w:tcW w:w="3268" w:type="dxa"/>
            <w:gridSpan w:val="4"/>
          </w:tcPr>
          <w:p>
            <w:pPr>
              <w:pStyle w:val="14"/>
              <w:spacing w:before="68" w:line="238" w:lineRule="exact"/>
              <w:ind w:left="1034"/>
              <w:rPr>
                <w:sz w:val="20"/>
              </w:rPr>
            </w:pPr>
            <w:r>
              <w:rPr>
                <w:sz w:val="20"/>
              </w:rPr>
              <w:t>借方（项目）</w:t>
            </w:r>
          </w:p>
        </w:tc>
        <w:tc>
          <w:tcPr>
            <w:tcW w:w="853" w:type="dxa"/>
            <w:vMerge w:val="restart"/>
          </w:tcPr>
          <w:p>
            <w:pPr>
              <w:pStyle w:val="14"/>
              <w:rPr>
                <w:b/>
                <w:sz w:val="20"/>
              </w:rPr>
            </w:pPr>
          </w:p>
          <w:p>
            <w:pPr>
              <w:pStyle w:val="14"/>
              <w:spacing w:before="143"/>
              <w:ind w:left="226"/>
              <w:rPr>
                <w:sz w:val="20"/>
              </w:rPr>
            </w:pPr>
            <w:r>
              <w:rPr>
                <w:sz w:val="20"/>
              </w:rPr>
              <w:t>贷方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774" w:type="dxa"/>
          </w:tcPr>
          <w:p>
            <w:pPr>
              <w:pStyle w:val="14"/>
              <w:rPr>
                <w:b/>
                <w:sz w:val="18"/>
              </w:rPr>
            </w:pPr>
          </w:p>
          <w:p>
            <w:pPr>
              <w:pStyle w:val="14"/>
              <w:ind w:left="10"/>
              <w:jc w:val="center"/>
              <w:rPr>
                <w:sz w:val="20"/>
              </w:rPr>
            </w:pPr>
            <w:r>
              <w:rPr>
                <w:w w:val="99"/>
                <w:sz w:val="20"/>
              </w:rPr>
              <w:t>月</w:t>
            </w:r>
          </w:p>
        </w:tc>
        <w:tc>
          <w:tcPr>
            <w:tcW w:w="845" w:type="dxa"/>
          </w:tcPr>
          <w:p>
            <w:pPr>
              <w:pStyle w:val="14"/>
              <w:rPr>
                <w:b/>
                <w:sz w:val="18"/>
              </w:rPr>
            </w:pPr>
          </w:p>
          <w:p>
            <w:pPr>
              <w:pStyle w:val="14"/>
              <w:ind w:left="9"/>
              <w:jc w:val="center"/>
              <w:rPr>
                <w:sz w:val="20"/>
              </w:rPr>
            </w:pPr>
            <w:r>
              <w:rPr>
                <w:w w:val="99"/>
                <w:sz w:val="20"/>
              </w:rPr>
              <w:t>日</w:t>
            </w:r>
          </w:p>
        </w:tc>
        <w:tc>
          <w:tcPr>
            <w:tcW w:w="791" w:type="dxa"/>
          </w:tcPr>
          <w:p>
            <w:pPr>
              <w:pStyle w:val="14"/>
              <w:rPr>
                <w:b/>
                <w:sz w:val="18"/>
              </w:rPr>
            </w:pPr>
          </w:p>
          <w:p>
            <w:pPr>
              <w:pStyle w:val="14"/>
              <w:ind w:left="174" w:right="167"/>
              <w:jc w:val="center"/>
              <w:rPr>
                <w:sz w:val="20"/>
              </w:rPr>
            </w:pPr>
            <w:r>
              <w:rPr>
                <w:sz w:val="20"/>
              </w:rPr>
              <w:t>种类</w:t>
            </w:r>
          </w:p>
        </w:tc>
        <w:tc>
          <w:tcPr>
            <w:tcW w:w="873" w:type="dxa"/>
          </w:tcPr>
          <w:p>
            <w:pPr>
              <w:pStyle w:val="14"/>
              <w:rPr>
                <w:b/>
                <w:sz w:val="18"/>
              </w:rPr>
            </w:pPr>
          </w:p>
          <w:p>
            <w:pPr>
              <w:pStyle w:val="14"/>
              <w:ind w:left="213" w:right="209"/>
              <w:jc w:val="center"/>
              <w:rPr>
                <w:sz w:val="20"/>
              </w:rPr>
            </w:pPr>
            <w:r>
              <w:rPr>
                <w:sz w:val="20"/>
              </w:rPr>
              <w:t>号数</w:t>
            </w:r>
          </w:p>
        </w:tc>
        <w:tc>
          <w:tcPr>
            <w:tcW w:w="1118" w:type="dxa"/>
            <w:vMerge w:val="continue"/>
            <w:tcBorders>
              <w:top w:val="nil"/>
            </w:tcBorders>
          </w:tcPr>
          <w:p>
            <w:pPr>
              <w:rPr>
                <w:sz w:val="2"/>
                <w:szCs w:val="2"/>
              </w:rPr>
            </w:pPr>
          </w:p>
        </w:tc>
        <w:tc>
          <w:tcPr>
            <w:tcW w:w="711" w:type="dxa"/>
          </w:tcPr>
          <w:p>
            <w:pPr>
              <w:pStyle w:val="14"/>
              <w:spacing w:before="7" w:line="326" w:lineRule="exact"/>
              <w:ind w:left="153" w:right="146"/>
              <w:rPr>
                <w:sz w:val="20"/>
              </w:rPr>
            </w:pPr>
            <w:r>
              <w:rPr>
                <w:sz w:val="20"/>
              </w:rPr>
              <w:t>直接材料</w:t>
            </w:r>
          </w:p>
        </w:tc>
        <w:tc>
          <w:tcPr>
            <w:tcW w:w="852" w:type="dxa"/>
          </w:tcPr>
          <w:p>
            <w:pPr>
              <w:pStyle w:val="14"/>
              <w:spacing w:before="7" w:line="326" w:lineRule="exact"/>
              <w:ind w:left="225" w:right="216"/>
              <w:rPr>
                <w:sz w:val="20"/>
              </w:rPr>
            </w:pPr>
            <w:r>
              <w:rPr>
                <w:sz w:val="20"/>
              </w:rPr>
              <w:t>直接人工</w:t>
            </w:r>
          </w:p>
        </w:tc>
        <w:tc>
          <w:tcPr>
            <w:tcW w:w="852" w:type="dxa"/>
          </w:tcPr>
          <w:p>
            <w:pPr>
              <w:pStyle w:val="14"/>
              <w:spacing w:before="7" w:line="326" w:lineRule="exact"/>
              <w:ind w:left="225" w:right="216"/>
              <w:rPr>
                <w:sz w:val="20"/>
              </w:rPr>
            </w:pPr>
            <w:r>
              <w:rPr>
                <w:sz w:val="20"/>
              </w:rPr>
              <w:t>制造费用</w:t>
            </w:r>
          </w:p>
        </w:tc>
        <w:tc>
          <w:tcPr>
            <w:tcW w:w="853" w:type="dxa"/>
          </w:tcPr>
          <w:p>
            <w:pPr>
              <w:pStyle w:val="14"/>
              <w:rPr>
                <w:b/>
                <w:sz w:val="18"/>
              </w:rPr>
            </w:pPr>
          </w:p>
          <w:p>
            <w:pPr>
              <w:pStyle w:val="14"/>
              <w:ind w:left="153" w:right="148"/>
              <w:jc w:val="center"/>
              <w:rPr>
                <w:sz w:val="20"/>
              </w:rPr>
            </w:pPr>
            <w:r>
              <w:rPr>
                <w:sz w:val="20"/>
              </w:rPr>
              <w:t>合计</w:t>
            </w:r>
          </w:p>
        </w:tc>
        <w:tc>
          <w:tcPr>
            <w:tcW w:w="853"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774" w:type="dxa"/>
          </w:tcPr>
          <w:p>
            <w:pPr>
              <w:pStyle w:val="14"/>
              <w:spacing w:before="61" w:line="237" w:lineRule="exact"/>
              <w:ind w:left="267" w:right="256"/>
              <w:jc w:val="center"/>
              <w:rPr>
                <w:sz w:val="20"/>
              </w:rPr>
            </w:pPr>
            <w:r>
              <w:rPr>
                <w:sz w:val="20"/>
              </w:rPr>
              <w:t>10</w:t>
            </w:r>
          </w:p>
        </w:tc>
        <w:tc>
          <w:tcPr>
            <w:tcW w:w="845" w:type="dxa"/>
          </w:tcPr>
          <w:p>
            <w:pPr>
              <w:pStyle w:val="14"/>
              <w:spacing w:before="61" w:line="237" w:lineRule="exact"/>
              <w:ind w:left="302" w:right="292"/>
              <w:jc w:val="center"/>
              <w:rPr>
                <w:sz w:val="20"/>
              </w:rPr>
            </w:pPr>
            <w:r>
              <w:rPr>
                <w:sz w:val="20"/>
              </w:rPr>
              <w:t>31</w:t>
            </w:r>
          </w:p>
        </w:tc>
        <w:tc>
          <w:tcPr>
            <w:tcW w:w="791" w:type="dxa"/>
          </w:tcPr>
          <w:p>
            <w:pPr>
              <w:pStyle w:val="14"/>
              <w:spacing w:before="61" w:line="237" w:lineRule="exact"/>
              <w:ind w:left="5"/>
              <w:jc w:val="center"/>
              <w:rPr>
                <w:sz w:val="20"/>
              </w:rPr>
            </w:pPr>
            <w:r>
              <w:rPr>
                <w:w w:val="99"/>
                <w:sz w:val="20"/>
              </w:rPr>
              <w:t>转</w:t>
            </w:r>
          </w:p>
        </w:tc>
        <w:tc>
          <w:tcPr>
            <w:tcW w:w="873" w:type="dxa"/>
          </w:tcPr>
          <w:p>
            <w:pPr>
              <w:pStyle w:val="14"/>
              <w:spacing w:before="61" w:line="237" w:lineRule="exact"/>
              <w:ind w:left="8"/>
              <w:jc w:val="center"/>
              <w:rPr>
                <w:sz w:val="20"/>
              </w:rPr>
            </w:pPr>
            <w:r>
              <w:rPr>
                <w:w w:val="99"/>
                <w:sz w:val="20"/>
              </w:rPr>
              <w:t>7</w:t>
            </w:r>
          </w:p>
        </w:tc>
        <w:tc>
          <w:tcPr>
            <w:tcW w:w="1118" w:type="dxa"/>
          </w:tcPr>
          <w:p>
            <w:pPr>
              <w:pStyle w:val="14"/>
              <w:spacing w:before="61" w:line="237" w:lineRule="exact"/>
              <w:ind w:left="137" w:right="130"/>
              <w:jc w:val="center"/>
              <w:rPr>
                <w:sz w:val="20"/>
              </w:rPr>
            </w:pPr>
            <w:r>
              <w:rPr>
                <w:sz w:val="20"/>
              </w:rPr>
              <w:t>领用材料</w:t>
            </w:r>
          </w:p>
        </w:tc>
        <w:tc>
          <w:tcPr>
            <w:tcW w:w="711" w:type="dxa"/>
          </w:tcPr>
          <w:p>
            <w:pPr>
              <w:pStyle w:val="14"/>
              <w:spacing w:before="61" w:line="237" w:lineRule="exact"/>
              <w:ind w:left="153"/>
              <w:rPr>
                <w:sz w:val="20"/>
              </w:rPr>
            </w:pPr>
            <w:r>
              <w:rPr>
                <w:sz w:val="20"/>
              </w:rPr>
              <w:t>5000</w:t>
            </w:r>
          </w:p>
        </w:tc>
        <w:tc>
          <w:tcPr>
            <w:tcW w:w="852" w:type="dxa"/>
          </w:tcPr>
          <w:p>
            <w:pPr>
              <w:pStyle w:val="14"/>
              <w:rPr>
                <w:rFonts w:ascii="Times New Roman"/>
                <w:sz w:val="18"/>
              </w:rPr>
            </w:pPr>
          </w:p>
        </w:tc>
        <w:tc>
          <w:tcPr>
            <w:tcW w:w="852" w:type="dxa"/>
          </w:tcPr>
          <w:p>
            <w:pPr>
              <w:pStyle w:val="14"/>
              <w:rPr>
                <w:rFonts w:ascii="Times New Roman"/>
                <w:sz w:val="18"/>
              </w:rPr>
            </w:pPr>
          </w:p>
        </w:tc>
        <w:tc>
          <w:tcPr>
            <w:tcW w:w="853" w:type="dxa"/>
          </w:tcPr>
          <w:p>
            <w:pPr>
              <w:pStyle w:val="14"/>
              <w:spacing w:before="61" w:line="237" w:lineRule="exact"/>
              <w:ind w:left="155" w:right="148"/>
              <w:jc w:val="center"/>
              <w:rPr>
                <w:sz w:val="20"/>
              </w:rPr>
            </w:pPr>
            <w:r>
              <w:rPr>
                <w:sz w:val="20"/>
              </w:rPr>
              <w:t>5000</w:t>
            </w:r>
          </w:p>
        </w:tc>
        <w:tc>
          <w:tcPr>
            <w:tcW w:w="853"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774" w:type="dxa"/>
          </w:tcPr>
          <w:p>
            <w:pPr>
              <w:pStyle w:val="14"/>
              <w:rPr>
                <w:rFonts w:ascii="Times New Roman"/>
                <w:sz w:val="18"/>
              </w:rPr>
            </w:pPr>
          </w:p>
        </w:tc>
        <w:tc>
          <w:tcPr>
            <w:tcW w:w="845" w:type="dxa"/>
          </w:tcPr>
          <w:p>
            <w:pPr>
              <w:pStyle w:val="14"/>
              <w:rPr>
                <w:rFonts w:ascii="Times New Roman"/>
                <w:sz w:val="18"/>
              </w:rPr>
            </w:pPr>
          </w:p>
        </w:tc>
        <w:tc>
          <w:tcPr>
            <w:tcW w:w="791" w:type="dxa"/>
          </w:tcPr>
          <w:p>
            <w:pPr>
              <w:pStyle w:val="14"/>
              <w:spacing w:before="68" w:line="237" w:lineRule="exact"/>
              <w:ind w:left="5"/>
              <w:jc w:val="center"/>
              <w:rPr>
                <w:sz w:val="20"/>
              </w:rPr>
            </w:pPr>
            <w:r>
              <w:rPr>
                <w:w w:val="99"/>
                <w:sz w:val="20"/>
              </w:rPr>
              <w:t>转</w:t>
            </w:r>
          </w:p>
        </w:tc>
        <w:tc>
          <w:tcPr>
            <w:tcW w:w="873" w:type="dxa"/>
          </w:tcPr>
          <w:p>
            <w:pPr>
              <w:pStyle w:val="14"/>
              <w:spacing w:before="68" w:line="237" w:lineRule="exact"/>
              <w:ind w:left="213" w:right="205"/>
              <w:jc w:val="center"/>
              <w:rPr>
                <w:sz w:val="20"/>
              </w:rPr>
            </w:pPr>
            <w:r>
              <w:rPr>
                <w:sz w:val="20"/>
              </w:rPr>
              <w:t>20</w:t>
            </w:r>
          </w:p>
        </w:tc>
        <w:tc>
          <w:tcPr>
            <w:tcW w:w="1118" w:type="dxa"/>
          </w:tcPr>
          <w:p>
            <w:pPr>
              <w:pStyle w:val="14"/>
              <w:spacing w:before="68" w:line="237" w:lineRule="exact"/>
              <w:ind w:left="137" w:right="130"/>
              <w:jc w:val="center"/>
              <w:rPr>
                <w:sz w:val="20"/>
              </w:rPr>
            </w:pPr>
            <w:r>
              <w:rPr>
                <w:sz w:val="20"/>
              </w:rPr>
              <w:t>计提工资</w:t>
            </w:r>
          </w:p>
        </w:tc>
        <w:tc>
          <w:tcPr>
            <w:tcW w:w="711" w:type="dxa"/>
          </w:tcPr>
          <w:p>
            <w:pPr>
              <w:pStyle w:val="14"/>
              <w:rPr>
                <w:rFonts w:ascii="Times New Roman"/>
                <w:sz w:val="18"/>
              </w:rPr>
            </w:pPr>
          </w:p>
        </w:tc>
        <w:tc>
          <w:tcPr>
            <w:tcW w:w="852" w:type="dxa"/>
          </w:tcPr>
          <w:p>
            <w:pPr>
              <w:pStyle w:val="14"/>
              <w:spacing w:before="68" w:line="237" w:lineRule="exact"/>
              <w:ind w:left="225"/>
              <w:rPr>
                <w:sz w:val="20"/>
              </w:rPr>
            </w:pPr>
            <w:r>
              <w:rPr>
                <w:sz w:val="20"/>
              </w:rPr>
              <w:t>8000</w:t>
            </w:r>
          </w:p>
        </w:tc>
        <w:tc>
          <w:tcPr>
            <w:tcW w:w="852" w:type="dxa"/>
          </w:tcPr>
          <w:p>
            <w:pPr>
              <w:pStyle w:val="14"/>
              <w:rPr>
                <w:rFonts w:ascii="Times New Roman"/>
                <w:sz w:val="18"/>
              </w:rPr>
            </w:pPr>
          </w:p>
        </w:tc>
        <w:tc>
          <w:tcPr>
            <w:tcW w:w="853" w:type="dxa"/>
          </w:tcPr>
          <w:p>
            <w:pPr>
              <w:pStyle w:val="14"/>
              <w:spacing w:before="68" w:line="237" w:lineRule="exact"/>
              <w:ind w:left="155" w:right="148"/>
              <w:jc w:val="center"/>
              <w:rPr>
                <w:sz w:val="20"/>
              </w:rPr>
            </w:pPr>
            <w:r>
              <w:rPr>
                <w:sz w:val="20"/>
              </w:rPr>
              <w:t>13000</w:t>
            </w:r>
          </w:p>
        </w:tc>
        <w:tc>
          <w:tcPr>
            <w:tcW w:w="853"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774" w:type="dxa"/>
          </w:tcPr>
          <w:p>
            <w:pPr>
              <w:pStyle w:val="14"/>
              <w:rPr>
                <w:rFonts w:ascii="Times New Roman"/>
                <w:sz w:val="18"/>
              </w:rPr>
            </w:pPr>
          </w:p>
        </w:tc>
        <w:tc>
          <w:tcPr>
            <w:tcW w:w="845" w:type="dxa"/>
          </w:tcPr>
          <w:p>
            <w:pPr>
              <w:pStyle w:val="14"/>
              <w:rPr>
                <w:rFonts w:ascii="Times New Roman"/>
                <w:sz w:val="18"/>
              </w:rPr>
            </w:pPr>
          </w:p>
        </w:tc>
        <w:tc>
          <w:tcPr>
            <w:tcW w:w="791" w:type="dxa"/>
          </w:tcPr>
          <w:p>
            <w:pPr>
              <w:pStyle w:val="14"/>
              <w:spacing w:before="68" w:line="237" w:lineRule="exact"/>
              <w:ind w:left="5"/>
              <w:jc w:val="center"/>
              <w:rPr>
                <w:sz w:val="20"/>
              </w:rPr>
            </w:pPr>
            <w:r>
              <w:rPr>
                <w:w w:val="99"/>
                <w:sz w:val="20"/>
              </w:rPr>
              <w:t>转</w:t>
            </w:r>
          </w:p>
        </w:tc>
        <w:tc>
          <w:tcPr>
            <w:tcW w:w="873" w:type="dxa"/>
          </w:tcPr>
          <w:p>
            <w:pPr>
              <w:pStyle w:val="14"/>
              <w:spacing w:before="68" w:line="237" w:lineRule="exact"/>
              <w:ind w:left="213" w:right="205"/>
              <w:jc w:val="center"/>
              <w:rPr>
                <w:sz w:val="20"/>
              </w:rPr>
            </w:pPr>
            <w:r>
              <w:rPr>
                <w:sz w:val="20"/>
              </w:rPr>
              <w:t>25</w:t>
            </w:r>
          </w:p>
        </w:tc>
        <w:tc>
          <w:tcPr>
            <w:tcW w:w="1118" w:type="dxa"/>
          </w:tcPr>
          <w:p>
            <w:pPr>
              <w:pStyle w:val="14"/>
              <w:spacing w:before="68" w:line="237" w:lineRule="exact"/>
              <w:ind w:left="137" w:right="130"/>
              <w:jc w:val="center"/>
              <w:rPr>
                <w:sz w:val="20"/>
              </w:rPr>
            </w:pPr>
            <w:r>
              <w:rPr>
                <w:sz w:val="20"/>
              </w:rPr>
              <w:t>制造费用</w:t>
            </w:r>
          </w:p>
        </w:tc>
        <w:tc>
          <w:tcPr>
            <w:tcW w:w="711"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spacing w:before="68" w:line="237" w:lineRule="exact"/>
              <w:ind w:left="225"/>
              <w:rPr>
                <w:sz w:val="20"/>
              </w:rPr>
            </w:pPr>
            <w:r>
              <w:rPr>
                <w:sz w:val="20"/>
              </w:rPr>
              <w:t>7000</w:t>
            </w:r>
          </w:p>
        </w:tc>
        <w:tc>
          <w:tcPr>
            <w:tcW w:w="853" w:type="dxa"/>
          </w:tcPr>
          <w:p>
            <w:pPr>
              <w:pStyle w:val="14"/>
              <w:spacing w:before="68" w:line="237" w:lineRule="exact"/>
              <w:ind w:left="155" w:right="148"/>
              <w:jc w:val="center"/>
              <w:rPr>
                <w:sz w:val="20"/>
              </w:rPr>
            </w:pPr>
            <w:r>
              <w:rPr>
                <w:sz w:val="20"/>
              </w:rPr>
              <w:t>20000</w:t>
            </w:r>
          </w:p>
        </w:tc>
        <w:tc>
          <w:tcPr>
            <w:tcW w:w="853"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774" w:type="dxa"/>
          </w:tcPr>
          <w:p>
            <w:pPr>
              <w:pStyle w:val="14"/>
              <w:rPr>
                <w:rFonts w:ascii="Times New Roman"/>
                <w:sz w:val="18"/>
              </w:rPr>
            </w:pPr>
          </w:p>
        </w:tc>
        <w:tc>
          <w:tcPr>
            <w:tcW w:w="845" w:type="dxa"/>
          </w:tcPr>
          <w:p>
            <w:pPr>
              <w:pStyle w:val="14"/>
              <w:rPr>
                <w:rFonts w:ascii="Times New Roman"/>
                <w:sz w:val="18"/>
              </w:rPr>
            </w:pPr>
          </w:p>
        </w:tc>
        <w:tc>
          <w:tcPr>
            <w:tcW w:w="791" w:type="dxa"/>
          </w:tcPr>
          <w:p>
            <w:pPr>
              <w:pStyle w:val="14"/>
              <w:spacing w:before="68" w:line="237" w:lineRule="exact"/>
              <w:ind w:left="5"/>
              <w:jc w:val="center"/>
              <w:rPr>
                <w:sz w:val="20"/>
              </w:rPr>
            </w:pPr>
            <w:r>
              <w:rPr>
                <w:w w:val="99"/>
                <w:sz w:val="20"/>
              </w:rPr>
              <w:t>转</w:t>
            </w:r>
          </w:p>
        </w:tc>
        <w:tc>
          <w:tcPr>
            <w:tcW w:w="873" w:type="dxa"/>
          </w:tcPr>
          <w:p>
            <w:pPr>
              <w:pStyle w:val="14"/>
              <w:spacing w:before="68" w:line="237" w:lineRule="exact"/>
              <w:ind w:left="213" w:right="205"/>
              <w:jc w:val="center"/>
              <w:rPr>
                <w:sz w:val="20"/>
              </w:rPr>
            </w:pPr>
            <w:r>
              <w:rPr>
                <w:sz w:val="20"/>
              </w:rPr>
              <w:t>31</w:t>
            </w:r>
          </w:p>
        </w:tc>
        <w:tc>
          <w:tcPr>
            <w:tcW w:w="1118" w:type="dxa"/>
          </w:tcPr>
          <w:p>
            <w:pPr>
              <w:pStyle w:val="14"/>
              <w:spacing w:before="68" w:line="237" w:lineRule="exact"/>
              <w:ind w:left="137" w:right="130"/>
              <w:jc w:val="center"/>
              <w:rPr>
                <w:sz w:val="20"/>
              </w:rPr>
            </w:pPr>
            <w:r>
              <w:rPr>
                <w:sz w:val="20"/>
              </w:rPr>
              <w:t>完工入库</w:t>
            </w:r>
          </w:p>
        </w:tc>
        <w:tc>
          <w:tcPr>
            <w:tcW w:w="711" w:type="dxa"/>
          </w:tcPr>
          <w:p>
            <w:pPr>
              <w:pStyle w:val="14"/>
              <w:rPr>
                <w:rFonts w:ascii="Times New Roman"/>
                <w:sz w:val="18"/>
              </w:rPr>
            </w:pPr>
          </w:p>
        </w:tc>
        <w:tc>
          <w:tcPr>
            <w:tcW w:w="852" w:type="dxa"/>
          </w:tcPr>
          <w:p>
            <w:pPr>
              <w:pStyle w:val="14"/>
              <w:rPr>
                <w:rFonts w:ascii="Times New Roman"/>
                <w:sz w:val="18"/>
              </w:rPr>
            </w:pPr>
          </w:p>
        </w:tc>
        <w:tc>
          <w:tcPr>
            <w:tcW w:w="852" w:type="dxa"/>
          </w:tcPr>
          <w:p>
            <w:pPr>
              <w:pStyle w:val="14"/>
              <w:rPr>
                <w:rFonts w:ascii="Times New Roman"/>
                <w:sz w:val="18"/>
              </w:rPr>
            </w:pPr>
          </w:p>
        </w:tc>
        <w:tc>
          <w:tcPr>
            <w:tcW w:w="853" w:type="dxa"/>
          </w:tcPr>
          <w:p>
            <w:pPr>
              <w:pStyle w:val="14"/>
              <w:rPr>
                <w:rFonts w:ascii="Times New Roman"/>
                <w:sz w:val="18"/>
              </w:rPr>
            </w:pPr>
          </w:p>
        </w:tc>
        <w:tc>
          <w:tcPr>
            <w:tcW w:w="853" w:type="dxa"/>
          </w:tcPr>
          <w:p>
            <w:pPr>
              <w:pStyle w:val="14"/>
              <w:spacing w:before="68" w:line="237" w:lineRule="exact"/>
              <w:ind w:left="176"/>
              <w:rPr>
                <w:sz w:val="20"/>
              </w:rPr>
            </w:pPr>
            <w:r>
              <w:rPr>
                <w:sz w:val="20"/>
              </w:rPr>
              <w:t>20000</w:t>
            </w:r>
          </w:p>
        </w:tc>
      </w:tr>
    </w:tbl>
    <w:p>
      <w:pPr>
        <w:pStyle w:val="6"/>
        <w:spacing w:before="6"/>
        <w:ind w:left="0"/>
        <w:rPr>
          <w:b/>
          <w:sz w:val="25"/>
        </w:rPr>
      </w:pP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5"/>
        <w:gridCol w:w="859"/>
        <w:gridCol w:w="928"/>
        <w:gridCol w:w="627"/>
        <w:gridCol w:w="1465"/>
        <w:gridCol w:w="947"/>
        <w:gridCol w:w="947"/>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14" w:type="dxa"/>
            <w:gridSpan w:val="2"/>
          </w:tcPr>
          <w:p>
            <w:pPr>
              <w:pStyle w:val="14"/>
              <w:spacing w:before="68" w:line="237" w:lineRule="exact"/>
              <w:ind w:left="6"/>
              <w:jc w:val="center"/>
              <w:rPr>
                <w:sz w:val="20"/>
              </w:rPr>
            </w:pPr>
            <w:r>
              <w:rPr>
                <w:w w:val="99"/>
                <w:sz w:val="20"/>
              </w:rPr>
              <w:t>年</w:t>
            </w:r>
          </w:p>
        </w:tc>
        <w:tc>
          <w:tcPr>
            <w:tcW w:w="1555" w:type="dxa"/>
            <w:gridSpan w:val="2"/>
          </w:tcPr>
          <w:p>
            <w:pPr>
              <w:pStyle w:val="14"/>
              <w:spacing w:before="68" w:line="237" w:lineRule="exact"/>
              <w:ind w:left="556" w:right="548"/>
              <w:jc w:val="center"/>
              <w:rPr>
                <w:sz w:val="20"/>
              </w:rPr>
            </w:pPr>
            <w:r>
              <w:rPr>
                <w:sz w:val="20"/>
              </w:rPr>
              <w:t>凭证</w:t>
            </w:r>
          </w:p>
        </w:tc>
        <w:tc>
          <w:tcPr>
            <w:tcW w:w="1465" w:type="dxa"/>
            <w:vMerge w:val="restart"/>
          </w:tcPr>
          <w:p>
            <w:pPr>
              <w:pStyle w:val="14"/>
              <w:rPr>
                <w:b/>
                <w:sz w:val="20"/>
              </w:rPr>
            </w:pPr>
          </w:p>
          <w:p>
            <w:pPr>
              <w:pStyle w:val="14"/>
              <w:spacing w:before="143"/>
              <w:ind w:left="310" w:right="303"/>
              <w:jc w:val="center"/>
              <w:rPr>
                <w:sz w:val="20"/>
              </w:rPr>
            </w:pPr>
            <w:r>
              <w:rPr>
                <w:sz w:val="20"/>
              </w:rPr>
              <w:t>摘要</w:t>
            </w:r>
          </w:p>
        </w:tc>
        <w:tc>
          <w:tcPr>
            <w:tcW w:w="3788" w:type="dxa"/>
            <w:gridSpan w:val="4"/>
          </w:tcPr>
          <w:p>
            <w:pPr>
              <w:pStyle w:val="14"/>
              <w:spacing w:before="68" w:line="237" w:lineRule="exact"/>
              <w:ind w:left="1274" w:right="1264"/>
              <w:jc w:val="center"/>
              <w:rPr>
                <w:sz w:val="20"/>
              </w:rPr>
            </w:pPr>
            <w:r>
              <w:rPr>
                <w:sz w:val="20"/>
              </w:rPr>
              <w:t>借方（项目）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855" w:type="dxa"/>
          </w:tcPr>
          <w:p>
            <w:pPr>
              <w:pStyle w:val="14"/>
              <w:spacing w:before="1"/>
              <w:rPr>
                <w:b/>
                <w:sz w:val="18"/>
              </w:rPr>
            </w:pPr>
          </w:p>
          <w:p>
            <w:pPr>
              <w:pStyle w:val="14"/>
              <w:ind w:left="6"/>
              <w:jc w:val="center"/>
              <w:rPr>
                <w:sz w:val="20"/>
              </w:rPr>
            </w:pPr>
            <w:r>
              <w:rPr>
                <w:w w:val="99"/>
                <w:sz w:val="20"/>
              </w:rPr>
              <w:t>月</w:t>
            </w:r>
          </w:p>
        </w:tc>
        <w:tc>
          <w:tcPr>
            <w:tcW w:w="859" w:type="dxa"/>
          </w:tcPr>
          <w:p>
            <w:pPr>
              <w:pStyle w:val="14"/>
              <w:spacing w:before="1"/>
              <w:rPr>
                <w:b/>
                <w:sz w:val="18"/>
              </w:rPr>
            </w:pPr>
          </w:p>
          <w:p>
            <w:pPr>
              <w:pStyle w:val="14"/>
              <w:ind w:left="327"/>
              <w:rPr>
                <w:sz w:val="20"/>
              </w:rPr>
            </w:pPr>
            <w:r>
              <w:rPr>
                <w:w w:val="99"/>
                <w:sz w:val="20"/>
              </w:rPr>
              <w:t>日</w:t>
            </w:r>
          </w:p>
        </w:tc>
        <w:tc>
          <w:tcPr>
            <w:tcW w:w="928" w:type="dxa"/>
          </w:tcPr>
          <w:p>
            <w:pPr>
              <w:pStyle w:val="14"/>
              <w:spacing w:before="1"/>
              <w:rPr>
                <w:b/>
                <w:sz w:val="18"/>
              </w:rPr>
            </w:pPr>
          </w:p>
          <w:p>
            <w:pPr>
              <w:pStyle w:val="14"/>
              <w:ind w:left="242" w:right="236"/>
              <w:jc w:val="center"/>
              <w:rPr>
                <w:sz w:val="20"/>
              </w:rPr>
            </w:pPr>
            <w:r>
              <w:rPr>
                <w:sz w:val="20"/>
              </w:rPr>
              <w:t>种类</w:t>
            </w:r>
          </w:p>
        </w:tc>
        <w:tc>
          <w:tcPr>
            <w:tcW w:w="627" w:type="dxa"/>
          </w:tcPr>
          <w:p>
            <w:pPr>
              <w:pStyle w:val="14"/>
              <w:spacing w:before="1"/>
              <w:rPr>
                <w:b/>
                <w:sz w:val="18"/>
              </w:rPr>
            </w:pPr>
          </w:p>
          <w:p>
            <w:pPr>
              <w:pStyle w:val="14"/>
              <w:ind w:left="92" w:right="85"/>
              <w:jc w:val="center"/>
              <w:rPr>
                <w:sz w:val="20"/>
              </w:rPr>
            </w:pPr>
            <w:r>
              <w:rPr>
                <w:sz w:val="20"/>
              </w:rPr>
              <w:t>号数</w:t>
            </w:r>
          </w:p>
        </w:tc>
        <w:tc>
          <w:tcPr>
            <w:tcW w:w="1465" w:type="dxa"/>
            <w:vMerge w:val="continue"/>
            <w:tcBorders>
              <w:top w:val="nil"/>
            </w:tcBorders>
          </w:tcPr>
          <w:p>
            <w:pPr>
              <w:rPr>
                <w:sz w:val="2"/>
                <w:szCs w:val="2"/>
              </w:rPr>
            </w:pPr>
          </w:p>
        </w:tc>
        <w:tc>
          <w:tcPr>
            <w:tcW w:w="947" w:type="dxa"/>
          </w:tcPr>
          <w:p>
            <w:pPr>
              <w:pStyle w:val="14"/>
              <w:spacing w:before="8" w:line="326" w:lineRule="exact"/>
              <w:ind w:left="272" w:right="264"/>
              <w:rPr>
                <w:sz w:val="20"/>
              </w:rPr>
            </w:pPr>
            <w:r>
              <w:rPr>
                <w:sz w:val="20"/>
              </w:rPr>
              <w:t>直接材料</w:t>
            </w:r>
          </w:p>
        </w:tc>
        <w:tc>
          <w:tcPr>
            <w:tcW w:w="947" w:type="dxa"/>
          </w:tcPr>
          <w:p>
            <w:pPr>
              <w:pStyle w:val="14"/>
              <w:spacing w:before="8" w:line="326" w:lineRule="exact"/>
              <w:ind w:left="273" w:right="263"/>
              <w:rPr>
                <w:sz w:val="20"/>
              </w:rPr>
            </w:pPr>
            <w:r>
              <w:rPr>
                <w:sz w:val="20"/>
              </w:rPr>
              <w:t>直接人工</w:t>
            </w:r>
          </w:p>
        </w:tc>
        <w:tc>
          <w:tcPr>
            <w:tcW w:w="947" w:type="dxa"/>
          </w:tcPr>
          <w:p>
            <w:pPr>
              <w:pStyle w:val="14"/>
              <w:spacing w:before="8" w:line="326" w:lineRule="exact"/>
              <w:ind w:left="271" w:right="265"/>
              <w:rPr>
                <w:sz w:val="20"/>
              </w:rPr>
            </w:pPr>
            <w:r>
              <w:rPr>
                <w:sz w:val="20"/>
              </w:rPr>
              <w:t>制造费用</w:t>
            </w:r>
          </w:p>
        </w:tc>
        <w:tc>
          <w:tcPr>
            <w:tcW w:w="947" w:type="dxa"/>
          </w:tcPr>
          <w:p>
            <w:pPr>
              <w:pStyle w:val="14"/>
              <w:spacing w:before="1"/>
              <w:rPr>
                <w:b/>
                <w:sz w:val="18"/>
              </w:rPr>
            </w:pPr>
          </w:p>
          <w:p>
            <w:pPr>
              <w:pStyle w:val="14"/>
              <w:ind w:left="272"/>
              <w:rPr>
                <w:sz w:val="20"/>
              </w:rPr>
            </w:pPr>
            <w:r>
              <w:rPr>
                <w:sz w:val="20"/>
              </w:rPr>
              <w:t>合计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855" w:type="dxa"/>
          </w:tcPr>
          <w:p>
            <w:pPr>
              <w:pStyle w:val="14"/>
              <w:spacing w:before="61" w:line="237" w:lineRule="exact"/>
              <w:ind w:left="306" w:right="299"/>
              <w:jc w:val="center"/>
              <w:rPr>
                <w:sz w:val="20"/>
              </w:rPr>
            </w:pPr>
            <w:r>
              <w:rPr>
                <w:sz w:val="20"/>
              </w:rPr>
              <w:t>10</w:t>
            </w:r>
          </w:p>
        </w:tc>
        <w:tc>
          <w:tcPr>
            <w:tcW w:w="859" w:type="dxa"/>
          </w:tcPr>
          <w:p>
            <w:pPr>
              <w:pStyle w:val="14"/>
              <w:spacing w:before="61" w:line="237" w:lineRule="exact"/>
              <w:ind w:left="327"/>
              <w:rPr>
                <w:sz w:val="20"/>
              </w:rPr>
            </w:pPr>
            <w:r>
              <w:rPr>
                <w:sz w:val="20"/>
              </w:rPr>
              <w:t>31</w:t>
            </w:r>
          </w:p>
        </w:tc>
        <w:tc>
          <w:tcPr>
            <w:tcW w:w="928" w:type="dxa"/>
          </w:tcPr>
          <w:p>
            <w:pPr>
              <w:pStyle w:val="14"/>
              <w:spacing w:before="61" w:line="237" w:lineRule="exact"/>
              <w:ind w:left="9"/>
              <w:jc w:val="center"/>
              <w:rPr>
                <w:sz w:val="20"/>
              </w:rPr>
            </w:pPr>
            <w:r>
              <w:rPr>
                <w:w w:val="99"/>
                <w:sz w:val="20"/>
              </w:rPr>
              <w:t>转</w:t>
            </w:r>
          </w:p>
        </w:tc>
        <w:tc>
          <w:tcPr>
            <w:tcW w:w="627" w:type="dxa"/>
          </w:tcPr>
          <w:p>
            <w:pPr>
              <w:pStyle w:val="14"/>
              <w:spacing w:before="61" w:line="237" w:lineRule="exact"/>
              <w:ind w:left="6"/>
              <w:jc w:val="center"/>
              <w:rPr>
                <w:sz w:val="20"/>
              </w:rPr>
            </w:pPr>
            <w:r>
              <w:rPr>
                <w:w w:val="99"/>
                <w:sz w:val="20"/>
              </w:rPr>
              <w:t>7</w:t>
            </w:r>
          </w:p>
        </w:tc>
        <w:tc>
          <w:tcPr>
            <w:tcW w:w="1465" w:type="dxa"/>
          </w:tcPr>
          <w:p>
            <w:pPr>
              <w:pStyle w:val="14"/>
              <w:spacing w:before="61" w:line="237" w:lineRule="exact"/>
              <w:ind w:left="310" w:right="305"/>
              <w:jc w:val="center"/>
              <w:rPr>
                <w:sz w:val="20"/>
              </w:rPr>
            </w:pPr>
            <w:r>
              <w:rPr>
                <w:sz w:val="20"/>
              </w:rPr>
              <w:t>领用材料</w:t>
            </w:r>
          </w:p>
        </w:tc>
        <w:tc>
          <w:tcPr>
            <w:tcW w:w="947" w:type="dxa"/>
          </w:tcPr>
          <w:p>
            <w:pPr>
              <w:pStyle w:val="14"/>
              <w:spacing w:before="61" w:line="237" w:lineRule="exact"/>
              <w:ind w:right="263"/>
              <w:jc w:val="right"/>
              <w:rPr>
                <w:sz w:val="20"/>
              </w:rPr>
            </w:pPr>
            <w:r>
              <w:rPr>
                <w:w w:val="95"/>
                <w:sz w:val="20"/>
              </w:rPr>
              <w:t>5000</w:t>
            </w: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spacing w:before="61" w:line="237" w:lineRule="exact"/>
              <w:ind w:left="272"/>
              <w:rPr>
                <w:sz w:val="20"/>
              </w:rPr>
            </w:pPr>
            <w:r>
              <w:rPr>
                <w:sz w:val="20"/>
              </w:rPr>
              <w:t>5000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55" w:type="dxa"/>
          </w:tcPr>
          <w:p>
            <w:pPr>
              <w:pStyle w:val="14"/>
              <w:rPr>
                <w:rFonts w:ascii="Times New Roman"/>
                <w:sz w:val="18"/>
              </w:rPr>
            </w:pPr>
          </w:p>
        </w:tc>
        <w:tc>
          <w:tcPr>
            <w:tcW w:w="859" w:type="dxa"/>
          </w:tcPr>
          <w:p>
            <w:pPr>
              <w:pStyle w:val="14"/>
              <w:rPr>
                <w:rFonts w:ascii="Times New Roman"/>
                <w:sz w:val="18"/>
              </w:rPr>
            </w:pPr>
          </w:p>
        </w:tc>
        <w:tc>
          <w:tcPr>
            <w:tcW w:w="928" w:type="dxa"/>
          </w:tcPr>
          <w:p>
            <w:pPr>
              <w:pStyle w:val="14"/>
              <w:spacing w:before="69" w:line="237" w:lineRule="exact"/>
              <w:ind w:left="9"/>
              <w:jc w:val="center"/>
              <w:rPr>
                <w:sz w:val="20"/>
              </w:rPr>
            </w:pPr>
            <w:r>
              <w:rPr>
                <w:w w:val="99"/>
                <w:sz w:val="20"/>
              </w:rPr>
              <w:t>转</w:t>
            </w:r>
          </w:p>
        </w:tc>
        <w:tc>
          <w:tcPr>
            <w:tcW w:w="627" w:type="dxa"/>
          </w:tcPr>
          <w:p>
            <w:pPr>
              <w:pStyle w:val="14"/>
              <w:spacing w:before="69" w:line="237" w:lineRule="exact"/>
              <w:ind w:left="92" w:right="82"/>
              <w:jc w:val="center"/>
              <w:rPr>
                <w:sz w:val="20"/>
              </w:rPr>
            </w:pPr>
            <w:r>
              <w:rPr>
                <w:sz w:val="20"/>
              </w:rPr>
              <w:t>20</w:t>
            </w:r>
          </w:p>
        </w:tc>
        <w:tc>
          <w:tcPr>
            <w:tcW w:w="1465" w:type="dxa"/>
          </w:tcPr>
          <w:p>
            <w:pPr>
              <w:pStyle w:val="14"/>
              <w:spacing w:before="69" w:line="237" w:lineRule="exact"/>
              <w:ind w:left="310" w:right="305"/>
              <w:jc w:val="center"/>
              <w:rPr>
                <w:sz w:val="20"/>
              </w:rPr>
            </w:pPr>
            <w:r>
              <w:rPr>
                <w:sz w:val="20"/>
              </w:rPr>
              <w:t>计提工资</w:t>
            </w:r>
          </w:p>
        </w:tc>
        <w:tc>
          <w:tcPr>
            <w:tcW w:w="947" w:type="dxa"/>
          </w:tcPr>
          <w:p>
            <w:pPr>
              <w:pStyle w:val="14"/>
              <w:rPr>
                <w:rFonts w:ascii="Times New Roman"/>
                <w:sz w:val="18"/>
              </w:rPr>
            </w:pPr>
          </w:p>
        </w:tc>
        <w:tc>
          <w:tcPr>
            <w:tcW w:w="947" w:type="dxa"/>
          </w:tcPr>
          <w:p>
            <w:pPr>
              <w:pStyle w:val="14"/>
              <w:spacing w:before="69" w:line="237" w:lineRule="exact"/>
              <w:ind w:right="262"/>
              <w:jc w:val="right"/>
              <w:rPr>
                <w:sz w:val="20"/>
              </w:rPr>
            </w:pPr>
            <w:r>
              <w:rPr>
                <w:w w:val="95"/>
                <w:sz w:val="20"/>
              </w:rPr>
              <w:t>8000</w:t>
            </w:r>
          </w:p>
        </w:tc>
        <w:tc>
          <w:tcPr>
            <w:tcW w:w="947" w:type="dxa"/>
          </w:tcPr>
          <w:p>
            <w:pPr>
              <w:pStyle w:val="14"/>
              <w:rPr>
                <w:rFonts w:ascii="Times New Roman"/>
                <w:sz w:val="18"/>
              </w:rPr>
            </w:pPr>
          </w:p>
        </w:tc>
        <w:tc>
          <w:tcPr>
            <w:tcW w:w="947" w:type="dxa"/>
          </w:tcPr>
          <w:p>
            <w:pPr>
              <w:pStyle w:val="14"/>
              <w:spacing w:before="69" w:line="237" w:lineRule="exact"/>
              <w:ind w:left="222"/>
              <w:rPr>
                <w:sz w:val="20"/>
              </w:rPr>
            </w:pPr>
            <w:r>
              <w:rPr>
                <w:sz w:val="20"/>
              </w:rPr>
              <w:t>13000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855" w:type="dxa"/>
          </w:tcPr>
          <w:p>
            <w:pPr>
              <w:pStyle w:val="14"/>
              <w:rPr>
                <w:rFonts w:ascii="Times New Roman"/>
                <w:sz w:val="18"/>
              </w:rPr>
            </w:pPr>
          </w:p>
        </w:tc>
        <w:tc>
          <w:tcPr>
            <w:tcW w:w="859" w:type="dxa"/>
          </w:tcPr>
          <w:p>
            <w:pPr>
              <w:pStyle w:val="14"/>
              <w:rPr>
                <w:rFonts w:ascii="Times New Roman"/>
                <w:sz w:val="18"/>
              </w:rPr>
            </w:pPr>
          </w:p>
        </w:tc>
        <w:tc>
          <w:tcPr>
            <w:tcW w:w="928" w:type="dxa"/>
          </w:tcPr>
          <w:p>
            <w:pPr>
              <w:pStyle w:val="14"/>
              <w:spacing w:before="69" w:line="237" w:lineRule="exact"/>
              <w:ind w:left="9"/>
              <w:jc w:val="center"/>
              <w:rPr>
                <w:sz w:val="20"/>
              </w:rPr>
            </w:pPr>
            <w:r>
              <w:rPr>
                <w:w w:val="99"/>
                <w:sz w:val="20"/>
              </w:rPr>
              <w:t>转</w:t>
            </w:r>
          </w:p>
        </w:tc>
        <w:tc>
          <w:tcPr>
            <w:tcW w:w="627" w:type="dxa"/>
          </w:tcPr>
          <w:p>
            <w:pPr>
              <w:pStyle w:val="14"/>
              <w:spacing w:before="69" w:line="237" w:lineRule="exact"/>
              <w:ind w:left="92" w:right="82"/>
              <w:jc w:val="center"/>
              <w:rPr>
                <w:sz w:val="20"/>
              </w:rPr>
            </w:pPr>
            <w:r>
              <w:rPr>
                <w:sz w:val="20"/>
              </w:rPr>
              <w:t>25</w:t>
            </w:r>
          </w:p>
        </w:tc>
        <w:tc>
          <w:tcPr>
            <w:tcW w:w="1465" w:type="dxa"/>
          </w:tcPr>
          <w:p>
            <w:pPr>
              <w:pStyle w:val="14"/>
              <w:spacing w:before="69" w:line="237" w:lineRule="exact"/>
              <w:ind w:left="310" w:right="305"/>
              <w:jc w:val="center"/>
              <w:rPr>
                <w:sz w:val="20"/>
              </w:rPr>
            </w:pPr>
            <w:r>
              <w:rPr>
                <w:sz w:val="20"/>
              </w:rPr>
              <w:t>制造费用</w:t>
            </w:r>
          </w:p>
        </w:tc>
        <w:tc>
          <w:tcPr>
            <w:tcW w:w="947" w:type="dxa"/>
          </w:tcPr>
          <w:p>
            <w:pPr>
              <w:pStyle w:val="14"/>
              <w:rPr>
                <w:rFonts w:ascii="Times New Roman"/>
                <w:sz w:val="18"/>
              </w:rPr>
            </w:pPr>
          </w:p>
        </w:tc>
        <w:tc>
          <w:tcPr>
            <w:tcW w:w="947" w:type="dxa"/>
          </w:tcPr>
          <w:p>
            <w:pPr>
              <w:pStyle w:val="14"/>
              <w:rPr>
                <w:rFonts w:ascii="Times New Roman"/>
                <w:sz w:val="18"/>
              </w:rPr>
            </w:pPr>
          </w:p>
        </w:tc>
        <w:tc>
          <w:tcPr>
            <w:tcW w:w="947" w:type="dxa"/>
          </w:tcPr>
          <w:p>
            <w:pPr>
              <w:pStyle w:val="14"/>
              <w:spacing w:before="69" w:line="237" w:lineRule="exact"/>
              <w:ind w:left="271"/>
              <w:rPr>
                <w:sz w:val="20"/>
              </w:rPr>
            </w:pPr>
            <w:r>
              <w:rPr>
                <w:sz w:val="20"/>
              </w:rPr>
              <w:t>7000</w:t>
            </w:r>
          </w:p>
        </w:tc>
        <w:tc>
          <w:tcPr>
            <w:tcW w:w="947" w:type="dxa"/>
          </w:tcPr>
          <w:p>
            <w:pPr>
              <w:pStyle w:val="14"/>
              <w:spacing w:before="69" w:line="237" w:lineRule="exact"/>
              <w:ind w:left="222"/>
              <w:rPr>
                <w:sz w:val="20"/>
              </w:rPr>
            </w:pPr>
            <w:r>
              <w:rPr>
                <w:sz w:val="20"/>
              </w:rPr>
              <w:t>20000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855" w:type="dxa"/>
          </w:tcPr>
          <w:p>
            <w:pPr>
              <w:pStyle w:val="14"/>
              <w:rPr>
                <w:rFonts w:ascii="Times New Roman"/>
                <w:sz w:val="18"/>
              </w:rPr>
            </w:pPr>
          </w:p>
        </w:tc>
        <w:tc>
          <w:tcPr>
            <w:tcW w:w="859" w:type="dxa"/>
          </w:tcPr>
          <w:p>
            <w:pPr>
              <w:pStyle w:val="14"/>
              <w:rPr>
                <w:rFonts w:ascii="Times New Roman"/>
                <w:sz w:val="18"/>
              </w:rPr>
            </w:pPr>
          </w:p>
        </w:tc>
        <w:tc>
          <w:tcPr>
            <w:tcW w:w="928" w:type="dxa"/>
          </w:tcPr>
          <w:p>
            <w:pPr>
              <w:pStyle w:val="14"/>
              <w:spacing w:before="69" w:line="237" w:lineRule="exact"/>
              <w:ind w:left="9"/>
              <w:jc w:val="center"/>
              <w:rPr>
                <w:sz w:val="20"/>
              </w:rPr>
            </w:pPr>
            <w:r>
              <w:rPr>
                <w:w w:val="99"/>
                <w:sz w:val="20"/>
              </w:rPr>
              <w:t>转</w:t>
            </w:r>
          </w:p>
        </w:tc>
        <w:tc>
          <w:tcPr>
            <w:tcW w:w="627" w:type="dxa"/>
          </w:tcPr>
          <w:p>
            <w:pPr>
              <w:pStyle w:val="14"/>
              <w:spacing w:before="69" w:line="237" w:lineRule="exact"/>
              <w:ind w:left="92" w:right="82"/>
              <w:jc w:val="center"/>
              <w:rPr>
                <w:sz w:val="20"/>
              </w:rPr>
            </w:pPr>
            <w:r>
              <w:rPr>
                <w:sz w:val="20"/>
              </w:rPr>
              <w:t>31</w:t>
            </w:r>
          </w:p>
        </w:tc>
        <w:tc>
          <w:tcPr>
            <w:tcW w:w="1465" w:type="dxa"/>
          </w:tcPr>
          <w:p>
            <w:pPr>
              <w:pStyle w:val="14"/>
              <w:spacing w:before="69" w:line="237" w:lineRule="exact"/>
              <w:ind w:left="310" w:right="305"/>
              <w:jc w:val="center"/>
              <w:rPr>
                <w:sz w:val="20"/>
              </w:rPr>
            </w:pPr>
            <w:r>
              <w:rPr>
                <w:sz w:val="20"/>
              </w:rPr>
              <w:t>完工入库</w:t>
            </w:r>
          </w:p>
        </w:tc>
        <w:tc>
          <w:tcPr>
            <w:tcW w:w="947" w:type="dxa"/>
          </w:tcPr>
          <w:p>
            <w:pPr>
              <w:pStyle w:val="14"/>
              <w:spacing w:before="69" w:line="237" w:lineRule="exact"/>
              <w:ind w:right="263"/>
              <w:jc w:val="right"/>
              <w:rPr>
                <w:sz w:val="20"/>
              </w:rPr>
            </w:pPr>
            <w:r>
              <w:rPr>
                <w:w w:val="95"/>
                <w:sz w:val="20"/>
              </w:rPr>
              <w:t>5000</w:t>
            </w:r>
          </w:p>
        </w:tc>
        <w:tc>
          <w:tcPr>
            <w:tcW w:w="947" w:type="dxa"/>
          </w:tcPr>
          <w:p>
            <w:pPr>
              <w:pStyle w:val="14"/>
              <w:spacing w:before="69" w:line="237" w:lineRule="exact"/>
              <w:ind w:right="262"/>
              <w:jc w:val="right"/>
              <w:rPr>
                <w:sz w:val="20"/>
              </w:rPr>
            </w:pPr>
            <w:r>
              <w:rPr>
                <w:w w:val="95"/>
                <w:sz w:val="20"/>
              </w:rPr>
              <w:t>8000</w:t>
            </w:r>
          </w:p>
        </w:tc>
        <w:tc>
          <w:tcPr>
            <w:tcW w:w="947" w:type="dxa"/>
          </w:tcPr>
          <w:p>
            <w:pPr>
              <w:pStyle w:val="14"/>
              <w:spacing w:before="69" w:line="237" w:lineRule="exact"/>
              <w:ind w:left="271"/>
              <w:rPr>
                <w:sz w:val="20"/>
              </w:rPr>
            </w:pPr>
            <w:r>
              <w:rPr>
                <w:sz w:val="20"/>
              </w:rPr>
              <w:t>7000</w:t>
            </w:r>
          </w:p>
        </w:tc>
        <w:tc>
          <w:tcPr>
            <w:tcW w:w="947" w:type="dxa"/>
          </w:tcPr>
          <w:p>
            <w:pPr>
              <w:pStyle w:val="14"/>
              <w:spacing w:before="69" w:line="237" w:lineRule="exact"/>
              <w:ind w:left="222"/>
              <w:rPr>
                <w:sz w:val="20"/>
              </w:rPr>
            </w:pPr>
            <w:r>
              <w:rPr>
                <w:sz w:val="20"/>
              </w:rPr>
              <w:t>20000</w:t>
            </w:r>
          </w:p>
        </w:tc>
      </w:tr>
    </w:tbl>
    <w:p>
      <w:pPr>
        <w:pStyle w:val="5"/>
        <w:spacing w:before="69"/>
        <w:ind w:left="1124"/>
      </w:pPr>
      <w:r>
        <mc:AlternateContent>
          <mc:Choice Requires="wps">
            <w:drawing>
              <wp:anchor distT="0" distB="0" distL="114300" distR="114300" simplePos="0" relativeHeight="15769600" behindDoc="0" locked="0" layoutInCell="1" allowOverlap="1">
                <wp:simplePos x="0" y="0"/>
                <wp:positionH relativeFrom="page">
                  <wp:posOffset>4171950</wp:posOffset>
                </wp:positionH>
                <wp:positionV relativeFrom="paragraph">
                  <wp:posOffset>-160020</wp:posOffset>
                </wp:positionV>
                <wp:extent cx="374650" cy="139700"/>
                <wp:effectExtent l="0" t="0" r="6350" b="12700"/>
                <wp:wrapNone/>
                <wp:docPr id="88" name="任意多边形 97"/>
                <wp:cNvGraphicFramePr/>
                <a:graphic xmlns:a="http://schemas.openxmlformats.org/drawingml/2006/main">
                  <a:graphicData uri="http://schemas.microsoft.com/office/word/2010/wordprocessingShape">
                    <wps:wsp>
                      <wps:cNvSpPr/>
                      <wps:spPr>
                        <a:xfrm>
                          <a:off x="0" y="0"/>
                          <a:ext cx="374650" cy="139700"/>
                        </a:xfrm>
                        <a:custGeom>
                          <a:avLst/>
                          <a:gdLst/>
                          <a:ahLst/>
                          <a:cxnLst/>
                          <a:pathLst>
                            <a:path w="590" h="220">
                              <a:moveTo>
                                <a:pt x="590" y="220"/>
                              </a:moveTo>
                              <a:lnTo>
                                <a:pt x="0" y="220"/>
                              </a:lnTo>
                              <a:lnTo>
                                <a:pt x="0" y="0"/>
                              </a:lnTo>
                              <a:lnTo>
                                <a:pt x="590" y="0"/>
                              </a:lnTo>
                              <a:lnTo>
                                <a:pt x="590" y="7"/>
                              </a:lnTo>
                              <a:lnTo>
                                <a:pt x="15" y="7"/>
                              </a:lnTo>
                              <a:lnTo>
                                <a:pt x="8" y="15"/>
                              </a:lnTo>
                              <a:lnTo>
                                <a:pt x="15" y="15"/>
                              </a:lnTo>
                              <a:lnTo>
                                <a:pt x="15" y="205"/>
                              </a:lnTo>
                              <a:lnTo>
                                <a:pt x="8" y="205"/>
                              </a:lnTo>
                              <a:lnTo>
                                <a:pt x="15" y="212"/>
                              </a:lnTo>
                              <a:lnTo>
                                <a:pt x="590" y="212"/>
                              </a:lnTo>
                              <a:lnTo>
                                <a:pt x="590" y="220"/>
                              </a:lnTo>
                              <a:close/>
                              <a:moveTo>
                                <a:pt x="15" y="15"/>
                              </a:moveTo>
                              <a:lnTo>
                                <a:pt x="8" y="15"/>
                              </a:lnTo>
                              <a:lnTo>
                                <a:pt x="15" y="7"/>
                              </a:lnTo>
                              <a:lnTo>
                                <a:pt x="15" y="15"/>
                              </a:lnTo>
                              <a:close/>
                              <a:moveTo>
                                <a:pt x="575" y="15"/>
                              </a:moveTo>
                              <a:lnTo>
                                <a:pt x="15" y="15"/>
                              </a:lnTo>
                              <a:lnTo>
                                <a:pt x="15" y="7"/>
                              </a:lnTo>
                              <a:lnTo>
                                <a:pt x="575" y="7"/>
                              </a:lnTo>
                              <a:lnTo>
                                <a:pt x="575" y="15"/>
                              </a:lnTo>
                              <a:close/>
                              <a:moveTo>
                                <a:pt x="575" y="212"/>
                              </a:moveTo>
                              <a:lnTo>
                                <a:pt x="575" y="7"/>
                              </a:lnTo>
                              <a:lnTo>
                                <a:pt x="583" y="15"/>
                              </a:lnTo>
                              <a:lnTo>
                                <a:pt x="590" y="15"/>
                              </a:lnTo>
                              <a:lnTo>
                                <a:pt x="590" y="205"/>
                              </a:lnTo>
                              <a:lnTo>
                                <a:pt x="583" y="205"/>
                              </a:lnTo>
                              <a:lnTo>
                                <a:pt x="575" y="212"/>
                              </a:lnTo>
                              <a:close/>
                              <a:moveTo>
                                <a:pt x="590" y="15"/>
                              </a:moveTo>
                              <a:lnTo>
                                <a:pt x="583" y="15"/>
                              </a:lnTo>
                              <a:lnTo>
                                <a:pt x="575" y="7"/>
                              </a:lnTo>
                              <a:lnTo>
                                <a:pt x="590" y="7"/>
                              </a:lnTo>
                              <a:lnTo>
                                <a:pt x="590" y="15"/>
                              </a:lnTo>
                              <a:close/>
                              <a:moveTo>
                                <a:pt x="15" y="212"/>
                              </a:moveTo>
                              <a:lnTo>
                                <a:pt x="8" y="205"/>
                              </a:lnTo>
                              <a:lnTo>
                                <a:pt x="15" y="205"/>
                              </a:lnTo>
                              <a:lnTo>
                                <a:pt x="15" y="212"/>
                              </a:lnTo>
                              <a:close/>
                              <a:moveTo>
                                <a:pt x="575" y="212"/>
                              </a:moveTo>
                              <a:lnTo>
                                <a:pt x="15" y="212"/>
                              </a:lnTo>
                              <a:lnTo>
                                <a:pt x="15" y="205"/>
                              </a:lnTo>
                              <a:lnTo>
                                <a:pt x="575" y="205"/>
                              </a:lnTo>
                              <a:lnTo>
                                <a:pt x="575" y="212"/>
                              </a:lnTo>
                              <a:close/>
                              <a:moveTo>
                                <a:pt x="590" y="212"/>
                              </a:moveTo>
                              <a:lnTo>
                                <a:pt x="575" y="212"/>
                              </a:lnTo>
                              <a:lnTo>
                                <a:pt x="583" y="205"/>
                              </a:lnTo>
                              <a:lnTo>
                                <a:pt x="590" y="205"/>
                              </a:lnTo>
                              <a:lnTo>
                                <a:pt x="590" y="212"/>
                              </a:lnTo>
                              <a:close/>
                            </a:path>
                          </a:pathLst>
                        </a:custGeom>
                        <a:solidFill>
                          <a:srgbClr val="000000"/>
                        </a:solidFill>
                        <a:ln>
                          <a:noFill/>
                        </a:ln>
                      </wps:spPr>
                      <wps:bodyPr upright="1"/>
                    </wps:wsp>
                  </a:graphicData>
                </a:graphic>
              </wp:anchor>
            </w:drawing>
          </mc:Choice>
          <mc:Fallback>
            <w:pict>
              <v:shape id="任意多边形 97" o:spid="_x0000_s1026" o:spt="100" style="position:absolute;left:0pt;margin-left:328.5pt;margin-top:-12.6pt;height:11pt;width:29.5pt;mso-position-horizontal-relative:page;z-index:15769600;mso-width-relative:page;mso-height-relative:page;" fillcolor="#000000" filled="t" stroked="f" coordsize="590,220" o:gfxdata="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EvjEvHaAAAACgEAAA8AAAAAAAAAAQAgAAAAIgAA&#10;AGRycy9kb3ducmV2LnhtbFBLAQIUABQAAAAIAIdO4kC4vgDp6gIAABsLAAAOAAAAAAAAAAEAIAAA&#10;ACkBAABkcnMvZTJvRG9jLnhtbFBLBQYAAAAABgAGAFkBAACFBgAAAAA=&#10;" path="m590,220l0,220,0,0,590,0,590,7,15,7,8,15,15,15,15,205,8,205,15,212,590,212,590,220xm15,15l8,15,15,7,15,15xm575,15l15,15,15,7,575,7,575,15xm575,212l575,7,583,15,590,15,590,205,583,205,575,212xm590,15l583,15,575,7,590,7,590,15xm15,212l8,205,15,205,15,212xm575,212l15,212,15,205,575,205,575,212xm590,212l575,212,583,205,590,205,590,212xe">
                <v:fill on="t" focussize="0,0"/>
                <v:stroke on="f"/>
                <v:imagedata o:title=""/>
                <o:lock v:ext="edit" aspectratio="f"/>
              </v:shape>
            </w:pict>
          </mc:Fallback>
        </mc:AlternateContent>
      </w:r>
      <w:r>
        <mc:AlternateContent>
          <mc:Choice Requires="wps">
            <w:drawing>
              <wp:anchor distT="0" distB="0" distL="114300" distR="114300" simplePos="0" relativeHeight="15770624" behindDoc="0" locked="0" layoutInCell="1" allowOverlap="1">
                <wp:simplePos x="0" y="0"/>
                <wp:positionH relativeFrom="page">
                  <wp:posOffset>4786630</wp:posOffset>
                </wp:positionH>
                <wp:positionV relativeFrom="paragraph">
                  <wp:posOffset>-168910</wp:posOffset>
                </wp:positionV>
                <wp:extent cx="374650" cy="139700"/>
                <wp:effectExtent l="0" t="0" r="6350" b="12700"/>
                <wp:wrapNone/>
                <wp:docPr id="94" name="任意多边形 98"/>
                <wp:cNvGraphicFramePr/>
                <a:graphic xmlns:a="http://schemas.openxmlformats.org/drawingml/2006/main">
                  <a:graphicData uri="http://schemas.microsoft.com/office/word/2010/wordprocessingShape">
                    <wps:wsp>
                      <wps:cNvSpPr/>
                      <wps:spPr>
                        <a:xfrm>
                          <a:off x="0" y="0"/>
                          <a:ext cx="374650" cy="139700"/>
                        </a:xfrm>
                        <a:custGeom>
                          <a:avLst/>
                          <a:gdLst/>
                          <a:ahLst/>
                          <a:cxnLst/>
                          <a:pathLst>
                            <a:path w="590" h="220">
                              <a:moveTo>
                                <a:pt x="590" y="220"/>
                              </a:moveTo>
                              <a:lnTo>
                                <a:pt x="0" y="220"/>
                              </a:lnTo>
                              <a:lnTo>
                                <a:pt x="0" y="0"/>
                              </a:lnTo>
                              <a:lnTo>
                                <a:pt x="590" y="0"/>
                              </a:lnTo>
                              <a:lnTo>
                                <a:pt x="590" y="7"/>
                              </a:lnTo>
                              <a:lnTo>
                                <a:pt x="15" y="7"/>
                              </a:lnTo>
                              <a:lnTo>
                                <a:pt x="8" y="15"/>
                              </a:lnTo>
                              <a:lnTo>
                                <a:pt x="15" y="15"/>
                              </a:lnTo>
                              <a:lnTo>
                                <a:pt x="15" y="205"/>
                              </a:lnTo>
                              <a:lnTo>
                                <a:pt x="8" y="205"/>
                              </a:lnTo>
                              <a:lnTo>
                                <a:pt x="15" y="212"/>
                              </a:lnTo>
                              <a:lnTo>
                                <a:pt x="590" y="212"/>
                              </a:lnTo>
                              <a:lnTo>
                                <a:pt x="590" y="220"/>
                              </a:lnTo>
                              <a:close/>
                              <a:moveTo>
                                <a:pt x="15" y="15"/>
                              </a:moveTo>
                              <a:lnTo>
                                <a:pt x="8" y="15"/>
                              </a:lnTo>
                              <a:lnTo>
                                <a:pt x="15" y="7"/>
                              </a:lnTo>
                              <a:lnTo>
                                <a:pt x="15" y="15"/>
                              </a:lnTo>
                              <a:close/>
                              <a:moveTo>
                                <a:pt x="575" y="15"/>
                              </a:moveTo>
                              <a:lnTo>
                                <a:pt x="15" y="15"/>
                              </a:lnTo>
                              <a:lnTo>
                                <a:pt x="15" y="7"/>
                              </a:lnTo>
                              <a:lnTo>
                                <a:pt x="575" y="7"/>
                              </a:lnTo>
                              <a:lnTo>
                                <a:pt x="575" y="15"/>
                              </a:lnTo>
                              <a:close/>
                              <a:moveTo>
                                <a:pt x="575" y="212"/>
                              </a:moveTo>
                              <a:lnTo>
                                <a:pt x="575" y="7"/>
                              </a:lnTo>
                              <a:lnTo>
                                <a:pt x="583" y="15"/>
                              </a:lnTo>
                              <a:lnTo>
                                <a:pt x="590" y="15"/>
                              </a:lnTo>
                              <a:lnTo>
                                <a:pt x="590" y="205"/>
                              </a:lnTo>
                              <a:lnTo>
                                <a:pt x="583" y="205"/>
                              </a:lnTo>
                              <a:lnTo>
                                <a:pt x="575" y="212"/>
                              </a:lnTo>
                              <a:close/>
                              <a:moveTo>
                                <a:pt x="590" y="15"/>
                              </a:moveTo>
                              <a:lnTo>
                                <a:pt x="583" y="15"/>
                              </a:lnTo>
                              <a:lnTo>
                                <a:pt x="575" y="7"/>
                              </a:lnTo>
                              <a:lnTo>
                                <a:pt x="590" y="7"/>
                              </a:lnTo>
                              <a:lnTo>
                                <a:pt x="590" y="15"/>
                              </a:lnTo>
                              <a:close/>
                              <a:moveTo>
                                <a:pt x="15" y="212"/>
                              </a:moveTo>
                              <a:lnTo>
                                <a:pt x="8" y="205"/>
                              </a:lnTo>
                              <a:lnTo>
                                <a:pt x="15" y="205"/>
                              </a:lnTo>
                              <a:lnTo>
                                <a:pt x="15" y="212"/>
                              </a:lnTo>
                              <a:close/>
                              <a:moveTo>
                                <a:pt x="575" y="212"/>
                              </a:moveTo>
                              <a:lnTo>
                                <a:pt x="15" y="212"/>
                              </a:lnTo>
                              <a:lnTo>
                                <a:pt x="15" y="205"/>
                              </a:lnTo>
                              <a:lnTo>
                                <a:pt x="575" y="205"/>
                              </a:lnTo>
                              <a:lnTo>
                                <a:pt x="575" y="212"/>
                              </a:lnTo>
                              <a:close/>
                              <a:moveTo>
                                <a:pt x="590" y="212"/>
                              </a:moveTo>
                              <a:lnTo>
                                <a:pt x="575" y="212"/>
                              </a:lnTo>
                              <a:lnTo>
                                <a:pt x="583" y="205"/>
                              </a:lnTo>
                              <a:lnTo>
                                <a:pt x="590" y="205"/>
                              </a:lnTo>
                              <a:lnTo>
                                <a:pt x="590" y="212"/>
                              </a:lnTo>
                              <a:close/>
                            </a:path>
                          </a:pathLst>
                        </a:custGeom>
                        <a:solidFill>
                          <a:srgbClr val="000000"/>
                        </a:solidFill>
                        <a:ln>
                          <a:noFill/>
                        </a:ln>
                      </wps:spPr>
                      <wps:bodyPr upright="1"/>
                    </wps:wsp>
                  </a:graphicData>
                </a:graphic>
              </wp:anchor>
            </w:drawing>
          </mc:Choice>
          <mc:Fallback>
            <w:pict>
              <v:shape id="任意多边形 98" o:spid="_x0000_s1026" o:spt="100" style="position:absolute;left:0pt;margin-left:376.9pt;margin-top:-13.3pt;height:11pt;width:29.5pt;mso-position-horizontal-relative:page;z-index:15770624;mso-width-relative:page;mso-height-relative:page;" fillcolor="#000000" filled="t" stroked="f" coordsize="590,220" o:gfxdata="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&#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8bw7X2QAAAAoBAAAPAAAAAAAAAAEAIAAAACIAAABk&#10;cnMvZG93bnJldi54bWxQSwECFAAUAAAACACHTuJAPOOupOkCAAAbCwAADgAAAAAAAAABACAAAAAo&#10;AQAAZHJzL2Uyb0RvYy54bWxQSwUGAAAAAAYABgBZAQAAgwYAAAAA&#10;" path="m590,220l0,220,0,0,590,0,590,7,15,7,8,15,15,15,15,205,8,205,15,212,590,212,590,220xm15,15l8,15,15,7,15,15xm575,15l15,15,15,7,575,7,575,15xm575,212l575,7,583,15,590,15,590,205,583,205,575,212xm590,15l583,15,575,7,590,7,590,15xm15,212l8,205,15,205,15,212xm575,212l15,212,15,205,575,205,575,212xm590,212l575,212,583,205,590,205,590,212xe">
                <v:fill on="t" focussize="0,0"/>
                <v:stroke on="f"/>
                <v:imagedata o:title=""/>
                <o:lock v:ext="edit" aspectratio="f"/>
              </v:shape>
            </w:pict>
          </mc:Fallback>
        </mc:AlternateContent>
      </w:r>
      <w:r>
        <mc:AlternateContent>
          <mc:Choice Requires="wps">
            <w:drawing>
              <wp:anchor distT="0" distB="0" distL="114300" distR="114300" simplePos="0" relativeHeight="15770624" behindDoc="0" locked="0" layoutInCell="1" allowOverlap="1">
                <wp:simplePos x="0" y="0"/>
                <wp:positionH relativeFrom="page">
                  <wp:posOffset>5392420</wp:posOffset>
                </wp:positionH>
                <wp:positionV relativeFrom="paragraph">
                  <wp:posOffset>-177165</wp:posOffset>
                </wp:positionV>
                <wp:extent cx="374650" cy="139700"/>
                <wp:effectExtent l="0" t="0" r="6350" b="12700"/>
                <wp:wrapNone/>
                <wp:docPr id="92" name="任意多边形 99"/>
                <wp:cNvGraphicFramePr/>
                <a:graphic xmlns:a="http://schemas.openxmlformats.org/drawingml/2006/main">
                  <a:graphicData uri="http://schemas.microsoft.com/office/word/2010/wordprocessingShape">
                    <wps:wsp>
                      <wps:cNvSpPr/>
                      <wps:spPr>
                        <a:xfrm>
                          <a:off x="0" y="0"/>
                          <a:ext cx="374650" cy="139700"/>
                        </a:xfrm>
                        <a:custGeom>
                          <a:avLst/>
                          <a:gdLst/>
                          <a:ahLst/>
                          <a:cxnLst/>
                          <a:pathLst>
                            <a:path w="590" h="220">
                              <a:moveTo>
                                <a:pt x="590" y="220"/>
                              </a:moveTo>
                              <a:lnTo>
                                <a:pt x="0" y="220"/>
                              </a:lnTo>
                              <a:lnTo>
                                <a:pt x="0" y="0"/>
                              </a:lnTo>
                              <a:lnTo>
                                <a:pt x="590" y="0"/>
                              </a:lnTo>
                              <a:lnTo>
                                <a:pt x="590" y="7"/>
                              </a:lnTo>
                              <a:lnTo>
                                <a:pt x="15" y="7"/>
                              </a:lnTo>
                              <a:lnTo>
                                <a:pt x="7" y="15"/>
                              </a:lnTo>
                              <a:lnTo>
                                <a:pt x="15" y="15"/>
                              </a:lnTo>
                              <a:lnTo>
                                <a:pt x="15" y="205"/>
                              </a:lnTo>
                              <a:lnTo>
                                <a:pt x="7" y="205"/>
                              </a:lnTo>
                              <a:lnTo>
                                <a:pt x="15" y="212"/>
                              </a:lnTo>
                              <a:lnTo>
                                <a:pt x="590" y="212"/>
                              </a:lnTo>
                              <a:lnTo>
                                <a:pt x="590" y="220"/>
                              </a:lnTo>
                              <a:close/>
                              <a:moveTo>
                                <a:pt x="15" y="15"/>
                              </a:moveTo>
                              <a:lnTo>
                                <a:pt x="7" y="15"/>
                              </a:lnTo>
                              <a:lnTo>
                                <a:pt x="15" y="7"/>
                              </a:lnTo>
                              <a:lnTo>
                                <a:pt x="15" y="15"/>
                              </a:lnTo>
                              <a:close/>
                              <a:moveTo>
                                <a:pt x="575" y="15"/>
                              </a:moveTo>
                              <a:lnTo>
                                <a:pt x="15" y="15"/>
                              </a:lnTo>
                              <a:lnTo>
                                <a:pt x="15" y="7"/>
                              </a:lnTo>
                              <a:lnTo>
                                <a:pt x="575" y="7"/>
                              </a:lnTo>
                              <a:lnTo>
                                <a:pt x="575" y="15"/>
                              </a:lnTo>
                              <a:close/>
                              <a:moveTo>
                                <a:pt x="575" y="212"/>
                              </a:moveTo>
                              <a:lnTo>
                                <a:pt x="575" y="7"/>
                              </a:lnTo>
                              <a:lnTo>
                                <a:pt x="582" y="15"/>
                              </a:lnTo>
                              <a:lnTo>
                                <a:pt x="590" y="15"/>
                              </a:lnTo>
                              <a:lnTo>
                                <a:pt x="590" y="205"/>
                              </a:lnTo>
                              <a:lnTo>
                                <a:pt x="582" y="205"/>
                              </a:lnTo>
                              <a:lnTo>
                                <a:pt x="575" y="212"/>
                              </a:lnTo>
                              <a:close/>
                              <a:moveTo>
                                <a:pt x="590" y="15"/>
                              </a:moveTo>
                              <a:lnTo>
                                <a:pt x="582" y="15"/>
                              </a:lnTo>
                              <a:lnTo>
                                <a:pt x="575" y="7"/>
                              </a:lnTo>
                              <a:lnTo>
                                <a:pt x="590" y="7"/>
                              </a:lnTo>
                              <a:lnTo>
                                <a:pt x="590" y="15"/>
                              </a:lnTo>
                              <a:close/>
                              <a:moveTo>
                                <a:pt x="15" y="212"/>
                              </a:moveTo>
                              <a:lnTo>
                                <a:pt x="7" y="205"/>
                              </a:lnTo>
                              <a:lnTo>
                                <a:pt x="15" y="205"/>
                              </a:lnTo>
                              <a:lnTo>
                                <a:pt x="15" y="212"/>
                              </a:lnTo>
                              <a:close/>
                              <a:moveTo>
                                <a:pt x="575" y="212"/>
                              </a:moveTo>
                              <a:lnTo>
                                <a:pt x="15" y="212"/>
                              </a:lnTo>
                              <a:lnTo>
                                <a:pt x="15" y="205"/>
                              </a:lnTo>
                              <a:lnTo>
                                <a:pt x="575" y="205"/>
                              </a:lnTo>
                              <a:lnTo>
                                <a:pt x="575" y="212"/>
                              </a:lnTo>
                              <a:close/>
                              <a:moveTo>
                                <a:pt x="590" y="212"/>
                              </a:moveTo>
                              <a:lnTo>
                                <a:pt x="575" y="212"/>
                              </a:lnTo>
                              <a:lnTo>
                                <a:pt x="582" y="205"/>
                              </a:lnTo>
                              <a:lnTo>
                                <a:pt x="590" y="205"/>
                              </a:lnTo>
                              <a:lnTo>
                                <a:pt x="590" y="212"/>
                              </a:lnTo>
                              <a:close/>
                            </a:path>
                          </a:pathLst>
                        </a:custGeom>
                        <a:solidFill>
                          <a:srgbClr val="000000"/>
                        </a:solidFill>
                        <a:ln>
                          <a:noFill/>
                        </a:ln>
                      </wps:spPr>
                      <wps:bodyPr upright="1"/>
                    </wps:wsp>
                  </a:graphicData>
                </a:graphic>
              </wp:anchor>
            </w:drawing>
          </mc:Choice>
          <mc:Fallback>
            <w:pict>
              <v:shape id="任意多边形 99" o:spid="_x0000_s1026" o:spt="100" style="position:absolute;left:0pt;margin-left:424.6pt;margin-top:-13.95pt;height:11pt;width:29.5pt;mso-position-horizontal-relative:page;z-index:15770624;mso-width-relative:page;mso-height-relative:page;" fillcolor="#000000" filled="t" stroked="f" coordsize="590,220" o:gfxdata="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MiCO8vaAAAACgEAAA8AAAAAAAAAAQAgAAAAIgAAAGRycy9kb3ducmV2&#10;LnhtbFBLAQIUABQAAAAIAIdO4kD7I+uA3gIAABsLAAAOAAAAAAAAAAEAIAAAACkBAABkcnMvZTJv&#10;RG9jLnhtbFBLBQYAAAAABgAGAFkBAAB5BgAAAAA=&#10;" path="m590,220l0,220,0,0,590,0,590,7,15,7,7,15,15,15,15,205,7,205,15,212,590,212,590,220xm15,15l7,15,15,7,15,15xm575,15l15,15,15,7,575,7,575,15xm575,212l575,7,582,15,590,15,590,205,582,205,575,212xm590,15l582,15,575,7,590,7,590,15xm15,212l7,205,15,205,15,212xm575,212l15,212,15,205,575,205,575,212xm590,212l575,212,582,205,590,205,590,212xe">
                <v:fill on="t" focussize="0,0"/>
                <v:stroke on="f"/>
                <v:imagedata o:title=""/>
                <o:lock v:ext="edit" aspectratio="f"/>
              </v:shape>
            </w:pict>
          </mc:Fallback>
        </mc:AlternateContent>
      </w:r>
      <w:r>
        <mc:AlternateContent>
          <mc:Choice Requires="wps">
            <w:drawing>
              <wp:anchor distT="0" distB="0" distL="114300" distR="114300" simplePos="0" relativeHeight="15771648" behindDoc="0" locked="0" layoutInCell="1" allowOverlap="1">
                <wp:simplePos x="0" y="0"/>
                <wp:positionH relativeFrom="page">
                  <wp:posOffset>5998845</wp:posOffset>
                </wp:positionH>
                <wp:positionV relativeFrom="paragraph">
                  <wp:posOffset>-169545</wp:posOffset>
                </wp:positionV>
                <wp:extent cx="374650" cy="139700"/>
                <wp:effectExtent l="0" t="0" r="6350" b="12700"/>
                <wp:wrapNone/>
                <wp:docPr id="96" name="任意多边形 100"/>
                <wp:cNvGraphicFramePr/>
                <a:graphic xmlns:a="http://schemas.openxmlformats.org/drawingml/2006/main">
                  <a:graphicData uri="http://schemas.microsoft.com/office/word/2010/wordprocessingShape">
                    <wps:wsp>
                      <wps:cNvSpPr/>
                      <wps:spPr>
                        <a:xfrm>
                          <a:off x="0" y="0"/>
                          <a:ext cx="374650" cy="139700"/>
                        </a:xfrm>
                        <a:custGeom>
                          <a:avLst/>
                          <a:gdLst/>
                          <a:ahLst/>
                          <a:cxnLst/>
                          <a:pathLst>
                            <a:path w="590" h="220">
                              <a:moveTo>
                                <a:pt x="590" y="220"/>
                              </a:moveTo>
                              <a:lnTo>
                                <a:pt x="0" y="220"/>
                              </a:lnTo>
                              <a:lnTo>
                                <a:pt x="0" y="0"/>
                              </a:lnTo>
                              <a:lnTo>
                                <a:pt x="590" y="0"/>
                              </a:lnTo>
                              <a:lnTo>
                                <a:pt x="590" y="7"/>
                              </a:lnTo>
                              <a:lnTo>
                                <a:pt x="15" y="7"/>
                              </a:lnTo>
                              <a:lnTo>
                                <a:pt x="7" y="15"/>
                              </a:lnTo>
                              <a:lnTo>
                                <a:pt x="15" y="15"/>
                              </a:lnTo>
                              <a:lnTo>
                                <a:pt x="15" y="205"/>
                              </a:lnTo>
                              <a:lnTo>
                                <a:pt x="7" y="205"/>
                              </a:lnTo>
                              <a:lnTo>
                                <a:pt x="15" y="212"/>
                              </a:lnTo>
                              <a:lnTo>
                                <a:pt x="590" y="212"/>
                              </a:lnTo>
                              <a:lnTo>
                                <a:pt x="590" y="220"/>
                              </a:lnTo>
                              <a:close/>
                              <a:moveTo>
                                <a:pt x="15" y="15"/>
                              </a:moveTo>
                              <a:lnTo>
                                <a:pt x="7" y="15"/>
                              </a:lnTo>
                              <a:lnTo>
                                <a:pt x="15" y="7"/>
                              </a:lnTo>
                              <a:lnTo>
                                <a:pt x="15" y="15"/>
                              </a:lnTo>
                              <a:close/>
                              <a:moveTo>
                                <a:pt x="575" y="15"/>
                              </a:moveTo>
                              <a:lnTo>
                                <a:pt x="15" y="15"/>
                              </a:lnTo>
                              <a:lnTo>
                                <a:pt x="15" y="7"/>
                              </a:lnTo>
                              <a:lnTo>
                                <a:pt x="575" y="7"/>
                              </a:lnTo>
                              <a:lnTo>
                                <a:pt x="575" y="15"/>
                              </a:lnTo>
                              <a:close/>
                              <a:moveTo>
                                <a:pt x="575" y="212"/>
                              </a:moveTo>
                              <a:lnTo>
                                <a:pt x="575" y="7"/>
                              </a:lnTo>
                              <a:lnTo>
                                <a:pt x="582" y="15"/>
                              </a:lnTo>
                              <a:lnTo>
                                <a:pt x="590" y="15"/>
                              </a:lnTo>
                              <a:lnTo>
                                <a:pt x="590" y="205"/>
                              </a:lnTo>
                              <a:lnTo>
                                <a:pt x="582" y="205"/>
                              </a:lnTo>
                              <a:lnTo>
                                <a:pt x="575" y="212"/>
                              </a:lnTo>
                              <a:close/>
                              <a:moveTo>
                                <a:pt x="590" y="15"/>
                              </a:moveTo>
                              <a:lnTo>
                                <a:pt x="582" y="15"/>
                              </a:lnTo>
                              <a:lnTo>
                                <a:pt x="575" y="7"/>
                              </a:lnTo>
                              <a:lnTo>
                                <a:pt x="590" y="7"/>
                              </a:lnTo>
                              <a:lnTo>
                                <a:pt x="590" y="15"/>
                              </a:lnTo>
                              <a:close/>
                              <a:moveTo>
                                <a:pt x="15" y="212"/>
                              </a:moveTo>
                              <a:lnTo>
                                <a:pt x="7" y="205"/>
                              </a:lnTo>
                              <a:lnTo>
                                <a:pt x="15" y="205"/>
                              </a:lnTo>
                              <a:lnTo>
                                <a:pt x="15" y="212"/>
                              </a:lnTo>
                              <a:close/>
                              <a:moveTo>
                                <a:pt x="575" y="212"/>
                              </a:moveTo>
                              <a:lnTo>
                                <a:pt x="15" y="212"/>
                              </a:lnTo>
                              <a:lnTo>
                                <a:pt x="15" y="205"/>
                              </a:lnTo>
                              <a:lnTo>
                                <a:pt x="575" y="205"/>
                              </a:lnTo>
                              <a:lnTo>
                                <a:pt x="575" y="212"/>
                              </a:lnTo>
                              <a:close/>
                              <a:moveTo>
                                <a:pt x="590" y="212"/>
                              </a:moveTo>
                              <a:lnTo>
                                <a:pt x="575" y="212"/>
                              </a:lnTo>
                              <a:lnTo>
                                <a:pt x="582" y="205"/>
                              </a:lnTo>
                              <a:lnTo>
                                <a:pt x="590" y="205"/>
                              </a:lnTo>
                              <a:lnTo>
                                <a:pt x="590" y="212"/>
                              </a:lnTo>
                              <a:close/>
                            </a:path>
                          </a:pathLst>
                        </a:custGeom>
                        <a:solidFill>
                          <a:srgbClr val="000000"/>
                        </a:solidFill>
                        <a:ln>
                          <a:noFill/>
                        </a:ln>
                      </wps:spPr>
                      <wps:bodyPr upright="1"/>
                    </wps:wsp>
                  </a:graphicData>
                </a:graphic>
              </wp:anchor>
            </w:drawing>
          </mc:Choice>
          <mc:Fallback>
            <w:pict>
              <v:shape id="任意多边形 100" o:spid="_x0000_s1026" o:spt="100" style="position:absolute;left:0pt;margin-left:472.35pt;margin-top:-13.35pt;height:11pt;width:29.5pt;mso-position-horizontal-relative:page;z-index:15771648;mso-width-relative:page;mso-height-relative:page;" fillcolor="#000000" filled="t" stroked="f" coordsize="590,220" o:gfxdata="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XQgaYtkAAAALAQAADwAAAAAAAAABACAAAAAiAAAAZHJzL2Rv&#10;d25yZXYueG1sUEsBAhQAFAAAAAgAh07iQOzGm5vkAgAAHAsAAA4AAAAAAAAAAQAgAAAAKAEAAGRy&#10;cy9lMm9Eb2MueG1sUEsFBgAAAAAGAAYAWQEAAH4GAAAAAA==&#10;" path="m590,220l0,220,0,0,590,0,590,7,15,7,7,15,15,15,15,205,7,205,15,212,590,212,590,220xm15,15l7,15,15,7,15,15xm575,15l15,15,15,7,575,7,575,15xm575,212l575,7,582,15,590,15,590,205,582,205,575,212xm590,15l582,15,575,7,590,7,590,15xm15,212l7,205,15,205,15,212xm575,212l15,212,15,205,575,205,575,212xm590,212l575,212,582,205,590,205,590,212xe">
                <v:fill on="t" focussize="0,0"/>
                <v:stroke on="f"/>
                <v:imagedata o:title=""/>
                <o:lock v:ext="edit" aspectratio="f"/>
              </v:shape>
            </w:pict>
          </mc:Fallback>
        </mc:AlternateContent>
      </w:r>
      <w:r>
        <w:rPr>
          <w:color w:val="00AFEF"/>
          <w:u w:val="single" w:color="00AFEF"/>
        </w:rPr>
        <w:t>③在三栏式账户的余额栏前，如未印明余额方向的，在余额栏内登记负数余额；</w:t>
      </w:r>
    </w:p>
    <w:p>
      <w:pPr>
        <w:pStyle w:val="6"/>
        <w:ind w:left="0" w:right="397"/>
        <w:jc w:val="center"/>
      </w:pPr>
      <w:r>
        <w:rPr>
          <w:w w:val="95"/>
        </w:rPr>
        <w:t>应收账款-甲公司明细账</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6"/>
        <w:gridCol w:w="947"/>
        <w:gridCol w:w="947"/>
        <w:gridCol w:w="825"/>
        <w:gridCol w:w="1145"/>
        <w:gridCol w:w="1009"/>
        <w:gridCol w:w="809"/>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93" w:type="dxa"/>
            <w:gridSpan w:val="2"/>
          </w:tcPr>
          <w:p>
            <w:pPr>
              <w:pStyle w:val="14"/>
              <w:spacing w:before="69" w:line="237" w:lineRule="exact"/>
              <w:ind w:left="5"/>
              <w:jc w:val="center"/>
              <w:rPr>
                <w:sz w:val="20"/>
              </w:rPr>
            </w:pPr>
            <w:r>
              <w:rPr>
                <w:w w:val="99"/>
                <w:sz w:val="20"/>
              </w:rPr>
              <w:t>年</w:t>
            </w:r>
          </w:p>
        </w:tc>
        <w:tc>
          <w:tcPr>
            <w:tcW w:w="1772" w:type="dxa"/>
            <w:gridSpan w:val="2"/>
          </w:tcPr>
          <w:p>
            <w:pPr>
              <w:pStyle w:val="14"/>
              <w:spacing w:before="69" w:line="237" w:lineRule="exact"/>
              <w:ind w:left="665" w:right="656"/>
              <w:jc w:val="center"/>
              <w:rPr>
                <w:sz w:val="20"/>
              </w:rPr>
            </w:pPr>
            <w:r>
              <w:rPr>
                <w:sz w:val="20"/>
              </w:rPr>
              <w:t>凭证</w:t>
            </w:r>
          </w:p>
        </w:tc>
        <w:tc>
          <w:tcPr>
            <w:tcW w:w="1145" w:type="dxa"/>
            <w:vMerge w:val="restart"/>
          </w:tcPr>
          <w:p>
            <w:pPr>
              <w:pStyle w:val="14"/>
              <w:spacing w:before="6"/>
              <w:rPr>
                <w:sz w:val="18"/>
              </w:rPr>
            </w:pPr>
          </w:p>
          <w:p>
            <w:pPr>
              <w:pStyle w:val="14"/>
              <w:ind w:left="371"/>
              <w:rPr>
                <w:sz w:val="20"/>
              </w:rPr>
            </w:pPr>
            <w:r>
              <w:rPr>
                <w:sz w:val="20"/>
              </w:rPr>
              <w:t>摘要</w:t>
            </w:r>
          </w:p>
        </w:tc>
        <w:tc>
          <w:tcPr>
            <w:tcW w:w="1009" w:type="dxa"/>
            <w:vMerge w:val="restart"/>
          </w:tcPr>
          <w:p>
            <w:pPr>
              <w:pStyle w:val="14"/>
              <w:spacing w:before="6"/>
              <w:rPr>
                <w:sz w:val="18"/>
              </w:rPr>
            </w:pPr>
          </w:p>
          <w:p>
            <w:pPr>
              <w:pStyle w:val="14"/>
              <w:ind w:left="304"/>
              <w:rPr>
                <w:sz w:val="20"/>
              </w:rPr>
            </w:pPr>
            <w:r>
              <w:rPr>
                <w:sz w:val="20"/>
              </w:rPr>
              <w:t>借方</w:t>
            </w:r>
          </w:p>
        </w:tc>
        <w:tc>
          <w:tcPr>
            <w:tcW w:w="809" w:type="dxa"/>
            <w:vMerge w:val="restart"/>
          </w:tcPr>
          <w:p>
            <w:pPr>
              <w:pStyle w:val="14"/>
              <w:spacing w:before="6"/>
              <w:rPr>
                <w:sz w:val="18"/>
              </w:rPr>
            </w:pPr>
          </w:p>
          <w:p>
            <w:pPr>
              <w:pStyle w:val="14"/>
              <w:ind w:left="204"/>
              <w:rPr>
                <w:sz w:val="20"/>
              </w:rPr>
            </w:pPr>
            <w:r>
              <w:rPr>
                <w:sz w:val="20"/>
              </w:rPr>
              <w:t>贷方</w:t>
            </w:r>
          </w:p>
        </w:tc>
        <w:tc>
          <w:tcPr>
            <w:tcW w:w="947" w:type="dxa"/>
            <w:vMerge w:val="restart"/>
          </w:tcPr>
          <w:p>
            <w:pPr>
              <w:pStyle w:val="14"/>
              <w:spacing w:before="6"/>
              <w:rPr>
                <w:sz w:val="18"/>
              </w:rPr>
            </w:pPr>
          </w:p>
          <w:p>
            <w:pPr>
              <w:pStyle w:val="14"/>
              <w:ind w:left="173"/>
              <w:rPr>
                <w:sz w:val="20"/>
              </w:rPr>
            </w:pPr>
            <w:r>
              <w:rPr>
                <w:sz w:val="20"/>
              </w:rPr>
              <w:t>借或贷</w:t>
            </w:r>
          </w:p>
        </w:tc>
        <w:tc>
          <w:tcPr>
            <w:tcW w:w="947" w:type="dxa"/>
            <w:vMerge w:val="restart"/>
          </w:tcPr>
          <w:p>
            <w:pPr>
              <w:pStyle w:val="14"/>
              <w:spacing w:before="6"/>
              <w:rPr>
                <w:sz w:val="18"/>
              </w:rPr>
            </w:pPr>
          </w:p>
          <w:p>
            <w:pPr>
              <w:pStyle w:val="14"/>
              <w:ind w:left="272"/>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spacing w:before="69" w:line="237" w:lineRule="exact"/>
              <w:ind w:left="6"/>
              <w:jc w:val="center"/>
              <w:rPr>
                <w:sz w:val="20"/>
              </w:rPr>
            </w:pPr>
            <w:r>
              <w:rPr>
                <w:w w:val="99"/>
                <w:sz w:val="20"/>
              </w:rPr>
              <w:t>月</w:t>
            </w:r>
          </w:p>
        </w:tc>
        <w:tc>
          <w:tcPr>
            <w:tcW w:w="947" w:type="dxa"/>
          </w:tcPr>
          <w:p>
            <w:pPr>
              <w:pStyle w:val="14"/>
              <w:spacing w:before="69" w:line="237" w:lineRule="exact"/>
              <w:ind w:left="9"/>
              <w:jc w:val="center"/>
              <w:rPr>
                <w:sz w:val="20"/>
              </w:rPr>
            </w:pPr>
            <w:r>
              <w:rPr>
                <w:w w:val="99"/>
                <w:sz w:val="20"/>
              </w:rPr>
              <w:t>日</w:t>
            </w:r>
          </w:p>
        </w:tc>
        <w:tc>
          <w:tcPr>
            <w:tcW w:w="947" w:type="dxa"/>
          </w:tcPr>
          <w:p>
            <w:pPr>
              <w:pStyle w:val="14"/>
              <w:spacing w:before="69" w:line="237" w:lineRule="exact"/>
              <w:ind w:left="197" w:right="193"/>
              <w:jc w:val="center"/>
              <w:rPr>
                <w:sz w:val="20"/>
              </w:rPr>
            </w:pPr>
            <w:r>
              <w:rPr>
                <w:sz w:val="20"/>
              </w:rPr>
              <w:t>种类</w:t>
            </w:r>
          </w:p>
        </w:tc>
        <w:tc>
          <w:tcPr>
            <w:tcW w:w="825" w:type="dxa"/>
          </w:tcPr>
          <w:p>
            <w:pPr>
              <w:pStyle w:val="14"/>
              <w:spacing w:before="69" w:line="237" w:lineRule="exact"/>
              <w:ind w:left="191" w:right="183"/>
              <w:jc w:val="center"/>
              <w:rPr>
                <w:sz w:val="20"/>
              </w:rPr>
            </w:pPr>
            <w:r>
              <w:rPr>
                <w:sz w:val="20"/>
              </w:rPr>
              <w:t>号数</w:t>
            </w:r>
          </w:p>
        </w:tc>
        <w:tc>
          <w:tcPr>
            <w:tcW w:w="1145" w:type="dxa"/>
            <w:vMerge w:val="continue"/>
            <w:tcBorders>
              <w:top w:val="nil"/>
            </w:tcBorders>
          </w:tcPr>
          <w:p>
            <w:pPr>
              <w:rPr>
                <w:sz w:val="2"/>
                <w:szCs w:val="2"/>
              </w:rPr>
            </w:pPr>
          </w:p>
        </w:tc>
        <w:tc>
          <w:tcPr>
            <w:tcW w:w="1009" w:type="dxa"/>
            <w:vMerge w:val="continue"/>
            <w:tcBorders>
              <w:top w:val="nil"/>
            </w:tcBorders>
          </w:tcPr>
          <w:p>
            <w:pPr>
              <w:rPr>
                <w:sz w:val="2"/>
                <w:szCs w:val="2"/>
              </w:rPr>
            </w:pPr>
          </w:p>
        </w:tc>
        <w:tc>
          <w:tcPr>
            <w:tcW w:w="809"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spacing w:before="69" w:line="237" w:lineRule="exact"/>
              <w:ind w:left="351" w:right="344"/>
              <w:jc w:val="center"/>
              <w:rPr>
                <w:sz w:val="20"/>
              </w:rPr>
            </w:pPr>
            <w:r>
              <w:rPr>
                <w:sz w:val="20"/>
              </w:rPr>
              <w:t>12</w:t>
            </w:r>
          </w:p>
        </w:tc>
        <w:tc>
          <w:tcPr>
            <w:tcW w:w="947" w:type="dxa"/>
          </w:tcPr>
          <w:p>
            <w:pPr>
              <w:pStyle w:val="14"/>
              <w:spacing w:before="69" w:line="237" w:lineRule="exact"/>
              <w:ind w:left="202" w:right="192"/>
              <w:jc w:val="center"/>
              <w:rPr>
                <w:sz w:val="20"/>
              </w:rPr>
            </w:pPr>
            <w:r>
              <w:rPr>
                <w:sz w:val="20"/>
              </w:rPr>
              <w:t>20</w:t>
            </w:r>
          </w:p>
        </w:tc>
        <w:tc>
          <w:tcPr>
            <w:tcW w:w="947" w:type="dxa"/>
          </w:tcPr>
          <w:p>
            <w:pPr>
              <w:pStyle w:val="14"/>
              <w:spacing w:before="69" w:line="237" w:lineRule="exact"/>
              <w:ind w:left="6"/>
              <w:jc w:val="center"/>
              <w:rPr>
                <w:sz w:val="20"/>
              </w:rPr>
            </w:pPr>
            <w:r>
              <w:rPr>
                <w:w w:val="99"/>
                <w:sz w:val="20"/>
              </w:rPr>
              <w:t>转</w:t>
            </w:r>
          </w:p>
        </w:tc>
        <w:tc>
          <w:tcPr>
            <w:tcW w:w="825" w:type="dxa"/>
          </w:tcPr>
          <w:p>
            <w:pPr>
              <w:pStyle w:val="14"/>
              <w:spacing w:before="69" w:line="237" w:lineRule="exact"/>
              <w:ind w:left="7"/>
              <w:jc w:val="center"/>
              <w:rPr>
                <w:sz w:val="20"/>
              </w:rPr>
            </w:pPr>
            <w:r>
              <w:rPr>
                <w:w w:val="99"/>
                <w:sz w:val="20"/>
              </w:rPr>
              <w:t>2</w:t>
            </w:r>
          </w:p>
        </w:tc>
        <w:tc>
          <w:tcPr>
            <w:tcW w:w="1145" w:type="dxa"/>
          </w:tcPr>
          <w:p>
            <w:pPr>
              <w:pStyle w:val="14"/>
              <w:spacing w:before="69" w:line="237" w:lineRule="exact"/>
              <w:ind w:left="151" w:right="143"/>
              <w:jc w:val="center"/>
              <w:rPr>
                <w:sz w:val="20"/>
              </w:rPr>
            </w:pPr>
            <w:r>
              <w:rPr>
                <w:sz w:val="20"/>
              </w:rPr>
              <w:t>销售商品</w:t>
            </w:r>
          </w:p>
        </w:tc>
        <w:tc>
          <w:tcPr>
            <w:tcW w:w="1009" w:type="dxa"/>
          </w:tcPr>
          <w:p>
            <w:pPr>
              <w:pStyle w:val="14"/>
              <w:spacing w:before="69" w:line="237" w:lineRule="exact"/>
              <w:ind w:left="253"/>
              <w:rPr>
                <w:sz w:val="20"/>
              </w:rPr>
            </w:pPr>
            <w:r>
              <w:rPr>
                <w:sz w:val="20"/>
              </w:rPr>
              <w:t>50000</w:t>
            </w:r>
          </w:p>
        </w:tc>
        <w:tc>
          <w:tcPr>
            <w:tcW w:w="809" w:type="dxa"/>
          </w:tcPr>
          <w:p>
            <w:pPr>
              <w:pStyle w:val="14"/>
              <w:rPr>
                <w:rFonts w:ascii="Times New Roman"/>
                <w:sz w:val="18"/>
              </w:rPr>
            </w:pPr>
          </w:p>
        </w:tc>
        <w:tc>
          <w:tcPr>
            <w:tcW w:w="947" w:type="dxa"/>
          </w:tcPr>
          <w:p>
            <w:pPr>
              <w:pStyle w:val="14"/>
              <w:spacing w:before="69" w:line="237" w:lineRule="exact"/>
              <w:ind w:left="7"/>
              <w:jc w:val="center"/>
              <w:rPr>
                <w:sz w:val="20"/>
              </w:rPr>
            </w:pPr>
            <w:r>
              <w:rPr>
                <w:w w:val="99"/>
                <w:sz w:val="20"/>
              </w:rPr>
              <w:t>借</w:t>
            </w:r>
          </w:p>
        </w:tc>
        <w:tc>
          <w:tcPr>
            <w:tcW w:w="947" w:type="dxa"/>
          </w:tcPr>
          <w:p>
            <w:pPr>
              <w:pStyle w:val="14"/>
              <w:spacing w:before="69" w:line="237" w:lineRule="exact"/>
              <w:ind w:left="201" w:right="193"/>
              <w:jc w:val="center"/>
              <w:rPr>
                <w:sz w:val="20"/>
              </w:rPr>
            </w:pPr>
            <w:r>
              <w:rPr>
                <w:sz w:val="20"/>
              </w:rPr>
              <w:t>50000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spacing w:before="69" w:line="237" w:lineRule="exact"/>
              <w:ind w:left="351" w:right="344"/>
              <w:jc w:val="center"/>
              <w:rPr>
                <w:sz w:val="20"/>
              </w:rPr>
            </w:pPr>
            <w:r>
              <w:rPr>
                <w:sz w:val="20"/>
              </w:rPr>
              <w:t>12</w:t>
            </w:r>
          </w:p>
        </w:tc>
        <w:tc>
          <w:tcPr>
            <w:tcW w:w="947" w:type="dxa"/>
          </w:tcPr>
          <w:p>
            <w:pPr>
              <w:pStyle w:val="14"/>
              <w:spacing w:before="69" w:line="237" w:lineRule="exact"/>
              <w:ind w:left="202" w:right="192"/>
              <w:jc w:val="center"/>
              <w:rPr>
                <w:sz w:val="20"/>
              </w:rPr>
            </w:pPr>
            <w:r>
              <w:rPr>
                <w:sz w:val="20"/>
              </w:rPr>
              <w:t>25</w:t>
            </w:r>
          </w:p>
        </w:tc>
        <w:tc>
          <w:tcPr>
            <w:tcW w:w="947" w:type="dxa"/>
          </w:tcPr>
          <w:p>
            <w:pPr>
              <w:pStyle w:val="14"/>
              <w:spacing w:before="69" w:line="237" w:lineRule="exact"/>
              <w:ind w:left="6"/>
              <w:jc w:val="center"/>
              <w:rPr>
                <w:sz w:val="20"/>
              </w:rPr>
            </w:pPr>
            <w:r>
              <w:rPr>
                <w:w w:val="99"/>
                <w:sz w:val="20"/>
              </w:rPr>
              <w:t>收</w:t>
            </w:r>
          </w:p>
        </w:tc>
        <w:tc>
          <w:tcPr>
            <w:tcW w:w="825" w:type="dxa"/>
          </w:tcPr>
          <w:p>
            <w:pPr>
              <w:pStyle w:val="14"/>
              <w:spacing w:before="69" w:line="237" w:lineRule="exact"/>
              <w:ind w:left="7"/>
              <w:jc w:val="center"/>
              <w:rPr>
                <w:sz w:val="20"/>
              </w:rPr>
            </w:pPr>
            <w:r>
              <w:rPr>
                <w:w w:val="99"/>
                <w:sz w:val="20"/>
              </w:rPr>
              <w:t>5</w:t>
            </w:r>
          </w:p>
        </w:tc>
        <w:tc>
          <w:tcPr>
            <w:tcW w:w="1145" w:type="dxa"/>
          </w:tcPr>
          <w:p>
            <w:pPr>
              <w:pStyle w:val="14"/>
              <w:spacing w:before="69" w:line="237" w:lineRule="exact"/>
              <w:ind w:left="151" w:right="143"/>
              <w:jc w:val="center"/>
              <w:rPr>
                <w:sz w:val="20"/>
              </w:rPr>
            </w:pPr>
            <w:r>
              <w:rPr>
                <w:sz w:val="20"/>
              </w:rPr>
              <w:t>收到欠款</w:t>
            </w:r>
          </w:p>
        </w:tc>
        <w:tc>
          <w:tcPr>
            <w:tcW w:w="1009" w:type="dxa"/>
          </w:tcPr>
          <w:p>
            <w:pPr>
              <w:pStyle w:val="14"/>
              <w:rPr>
                <w:rFonts w:ascii="Times New Roman"/>
                <w:sz w:val="18"/>
              </w:rPr>
            </w:pPr>
          </w:p>
        </w:tc>
        <w:tc>
          <w:tcPr>
            <w:tcW w:w="809" w:type="dxa"/>
          </w:tcPr>
          <w:p>
            <w:pPr>
              <w:pStyle w:val="14"/>
              <w:spacing w:before="69" w:line="237" w:lineRule="exact"/>
              <w:ind w:left="154"/>
              <w:rPr>
                <w:sz w:val="20"/>
              </w:rPr>
            </w:pPr>
            <w:r>
              <w:rPr>
                <w:sz w:val="20"/>
              </w:rPr>
              <w:t>80000</w:t>
            </w:r>
          </w:p>
        </w:tc>
        <w:tc>
          <w:tcPr>
            <w:tcW w:w="947" w:type="dxa"/>
          </w:tcPr>
          <w:p>
            <w:pPr>
              <w:pStyle w:val="14"/>
              <w:spacing w:before="69" w:line="237" w:lineRule="exact"/>
              <w:ind w:left="7"/>
              <w:jc w:val="center"/>
              <w:rPr>
                <w:sz w:val="20"/>
              </w:rPr>
            </w:pPr>
            <w:r>
              <w:rPr>
                <w:w w:val="99"/>
                <w:sz w:val="20"/>
              </w:rPr>
              <w:t>贷</w:t>
            </w:r>
          </w:p>
        </w:tc>
        <w:tc>
          <w:tcPr>
            <w:tcW w:w="947" w:type="dxa"/>
          </w:tcPr>
          <w:p>
            <w:pPr>
              <w:pStyle w:val="14"/>
              <w:spacing w:before="69" w:line="237" w:lineRule="exact"/>
              <w:ind w:left="201" w:right="193"/>
              <w:jc w:val="center"/>
              <w:rPr>
                <w:sz w:val="20"/>
              </w:rPr>
            </w:pPr>
            <w:r>
              <w:rPr>
                <w:sz w:val="20"/>
              </w:rPr>
              <w:t>30000</w:t>
            </w:r>
          </w:p>
        </w:tc>
      </w:tr>
    </w:tbl>
    <w:p>
      <w:pPr>
        <w:pStyle w:val="6"/>
        <w:spacing w:before="69"/>
        <w:ind w:left="0" w:right="397"/>
        <w:jc w:val="center"/>
      </w:pPr>
      <w:r>
        <w:rPr>
          <w:w w:val="95"/>
        </w:rPr>
        <w:t>应收账款-甲公司明细账</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5"/>
        <w:gridCol w:w="1065"/>
        <w:gridCol w:w="1065"/>
        <w:gridCol w:w="1065"/>
        <w:gridCol w:w="1065"/>
        <w:gridCol w:w="1065"/>
        <w:gridCol w:w="1066"/>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130" w:type="dxa"/>
            <w:gridSpan w:val="2"/>
          </w:tcPr>
          <w:p>
            <w:pPr>
              <w:pStyle w:val="14"/>
              <w:spacing w:before="69" w:line="237" w:lineRule="exact"/>
              <w:ind w:left="8"/>
              <w:jc w:val="center"/>
              <w:rPr>
                <w:sz w:val="20"/>
              </w:rPr>
            </w:pPr>
            <w:r>
              <w:rPr>
                <w:w w:val="99"/>
                <w:sz w:val="20"/>
              </w:rPr>
              <w:t>年</w:t>
            </w:r>
          </w:p>
        </w:tc>
        <w:tc>
          <w:tcPr>
            <w:tcW w:w="2130" w:type="dxa"/>
            <w:gridSpan w:val="2"/>
          </w:tcPr>
          <w:p>
            <w:pPr>
              <w:pStyle w:val="14"/>
              <w:spacing w:before="69" w:line="237" w:lineRule="exact"/>
              <w:ind w:left="694" w:right="686"/>
              <w:jc w:val="center"/>
              <w:rPr>
                <w:sz w:val="20"/>
              </w:rPr>
            </w:pPr>
            <w:r>
              <w:rPr>
                <w:sz w:val="20"/>
              </w:rPr>
              <w:t>凭证</w:t>
            </w:r>
          </w:p>
        </w:tc>
        <w:tc>
          <w:tcPr>
            <w:tcW w:w="1065" w:type="dxa"/>
            <w:vMerge w:val="restart"/>
          </w:tcPr>
          <w:p>
            <w:pPr>
              <w:pStyle w:val="14"/>
              <w:spacing w:before="6"/>
              <w:rPr>
                <w:sz w:val="18"/>
              </w:rPr>
            </w:pPr>
          </w:p>
          <w:p>
            <w:pPr>
              <w:pStyle w:val="14"/>
              <w:ind w:left="330"/>
              <w:rPr>
                <w:sz w:val="20"/>
              </w:rPr>
            </w:pPr>
            <w:r>
              <w:rPr>
                <w:sz w:val="20"/>
              </w:rPr>
              <w:t>摘要</w:t>
            </w:r>
          </w:p>
        </w:tc>
        <w:tc>
          <w:tcPr>
            <w:tcW w:w="1065" w:type="dxa"/>
            <w:vMerge w:val="restart"/>
          </w:tcPr>
          <w:p>
            <w:pPr>
              <w:pStyle w:val="14"/>
              <w:spacing w:before="6"/>
              <w:rPr>
                <w:sz w:val="18"/>
              </w:rPr>
            </w:pPr>
          </w:p>
          <w:p>
            <w:pPr>
              <w:pStyle w:val="14"/>
              <w:ind w:left="331"/>
              <w:rPr>
                <w:sz w:val="20"/>
              </w:rPr>
            </w:pPr>
            <w:r>
              <w:rPr>
                <w:sz w:val="20"/>
              </w:rPr>
              <w:t>借方</w:t>
            </w:r>
          </w:p>
        </w:tc>
        <w:tc>
          <w:tcPr>
            <w:tcW w:w="1066" w:type="dxa"/>
            <w:vMerge w:val="restart"/>
          </w:tcPr>
          <w:p>
            <w:pPr>
              <w:pStyle w:val="14"/>
              <w:spacing w:before="6"/>
              <w:rPr>
                <w:sz w:val="18"/>
              </w:rPr>
            </w:pPr>
          </w:p>
          <w:p>
            <w:pPr>
              <w:pStyle w:val="14"/>
              <w:ind w:left="332"/>
              <w:rPr>
                <w:sz w:val="20"/>
              </w:rPr>
            </w:pPr>
            <w:r>
              <w:rPr>
                <w:sz w:val="20"/>
              </w:rPr>
              <w:t>贷方</w:t>
            </w:r>
          </w:p>
        </w:tc>
        <w:tc>
          <w:tcPr>
            <w:tcW w:w="1066" w:type="dxa"/>
            <w:vMerge w:val="restart"/>
          </w:tcPr>
          <w:p>
            <w:pPr>
              <w:pStyle w:val="14"/>
              <w:spacing w:before="6"/>
              <w:rPr>
                <w:sz w:val="18"/>
              </w:rPr>
            </w:pPr>
          </w:p>
          <w:p>
            <w:pPr>
              <w:pStyle w:val="14"/>
              <w:ind w:left="331"/>
              <w:rPr>
                <w:sz w:val="20"/>
              </w:rPr>
            </w:pPr>
            <w:r>
              <w:rPr>
                <w:sz w:val="20"/>
              </w:rPr>
              <w:t>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5" w:type="dxa"/>
          </w:tcPr>
          <w:p>
            <w:pPr>
              <w:pStyle w:val="14"/>
              <w:spacing w:before="69" w:line="237" w:lineRule="exact"/>
              <w:ind w:right="422"/>
              <w:jc w:val="right"/>
              <w:rPr>
                <w:sz w:val="20"/>
              </w:rPr>
            </w:pPr>
            <w:r>
              <w:rPr>
                <w:w w:val="99"/>
                <w:sz w:val="20"/>
              </w:rPr>
              <w:t>月</w:t>
            </w:r>
          </w:p>
        </w:tc>
        <w:tc>
          <w:tcPr>
            <w:tcW w:w="1065" w:type="dxa"/>
          </w:tcPr>
          <w:p>
            <w:pPr>
              <w:pStyle w:val="14"/>
              <w:spacing w:before="69" w:line="237" w:lineRule="exact"/>
              <w:ind w:left="8"/>
              <w:jc w:val="center"/>
              <w:rPr>
                <w:sz w:val="20"/>
              </w:rPr>
            </w:pPr>
            <w:r>
              <w:rPr>
                <w:w w:val="99"/>
                <w:sz w:val="20"/>
              </w:rPr>
              <w:t>日</w:t>
            </w:r>
          </w:p>
        </w:tc>
        <w:tc>
          <w:tcPr>
            <w:tcW w:w="1065" w:type="dxa"/>
          </w:tcPr>
          <w:p>
            <w:pPr>
              <w:pStyle w:val="14"/>
              <w:spacing w:before="69" w:line="237" w:lineRule="exact"/>
              <w:ind w:left="310" w:right="303"/>
              <w:jc w:val="center"/>
              <w:rPr>
                <w:sz w:val="20"/>
              </w:rPr>
            </w:pPr>
            <w:r>
              <w:rPr>
                <w:sz w:val="20"/>
              </w:rPr>
              <w:t>种类</w:t>
            </w:r>
          </w:p>
        </w:tc>
        <w:tc>
          <w:tcPr>
            <w:tcW w:w="1065" w:type="dxa"/>
          </w:tcPr>
          <w:p>
            <w:pPr>
              <w:pStyle w:val="14"/>
              <w:spacing w:before="69" w:line="237" w:lineRule="exact"/>
              <w:ind w:left="311" w:right="303"/>
              <w:jc w:val="center"/>
              <w:rPr>
                <w:sz w:val="20"/>
              </w:rPr>
            </w:pPr>
            <w:r>
              <w:rPr>
                <w:sz w:val="20"/>
              </w:rPr>
              <w:t>号数</w:t>
            </w:r>
          </w:p>
        </w:tc>
        <w:tc>
          <w:tcPr>
            <w:tcW w:w="1065" w:type="dxa"/>
            <w:vMerge w:val="continue"/>
            <w:tcBorders>
              <w:top w:val="nil"/>
            </w:tcBorders>
          </w:tcPr>
          <w:p>
            <w:pPr>
              <w:rPr>
                <w:sz w:val="2"/>
                <w:szCs w:val="2"/>
              </w:rPr>
            </w:pPr>
          </w:p>
        </w:tc>
        <w:tc>
          <w:tcPr>
            <w:tcW w:w="1065" w:type="dxa"/>
            <w:vMerge w:val="continue"/>
            <w:tcBorders>
              <w:top w:val="nil"/>
            </w:tcBorders>
          </w:tcPr>
          <w:p>
            <w:pPr>
              <w:rPr>
                <w:sz w:val="2"/>
                <w:szCs w:val="2"/>
              </w:rPr>
            </w:pPr>
          </w:p>
        </w:tc>
        <w:tc>
          <w:tcPr>
            <w:tcW w:w="1066" w:type="dxa"/>
            <w:vMerge w:val="continue"/>
            <w:tcBorders>
              <w:top w:val="nil"/>
            </w:tcBorders>
          </w:tcPr>
          <w:p>
            <w:pPr>
              <w:rPr>
                <w:sz w:val="2"/>
                <w:szCs w:val="2"/>
              </w:rPr>
            </w:pPr>
          </w:p>
        </w:tc>
        <w:tc>
          <w:tcPr>
            <w:tcW w:w="106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065" w:type="dxa"/>
          </w:tcPr>
          <w:p>
            <w:pPr>
              <w:pStyle w:val="14"/>
              <w:spacing w:before="69" w:line="235" w:lineRule="exact"/>
              <w:ind w:right="420"/>
              <w:jc w:val="right"/>
              <w:rPr>
                <w:sz w:val="20"/>
              </w:rPr>
            </w:pPr>
            <w:r>
              <w:rPr>
                <w:sz w:val="20"/>
              </w:rPr>
              <w:t>12</w:t>
            </w:r>
          </w:p>
        </w:tc>
        <w:tc>
          <w:tcPr>
            <w:tcW w:w="1065" w:type="dxa"/>
          </w:tcPr>
          <w:p>
            <w:pPr>
              <w:pStyle w:val="14"/>
              <w:spacing w:before="69" w:line="235" w:lineRule="exact"/>
              <w:ind w:left="311" w:right="301"/>
              <w:jc w:val="center"/>
              <w:rPr>
                <w:sz w:val="20"/>
              </w:rPr>
            </w:pPr>
            <w:r>
              <w:rPr>
                <w:sz w:val="20"/>
              </w:rPr>
              <w:t>20</w:t>
            </w:r>
          </w:p>
        </w:tc>
        <w:tc>
          <w:tcPr>
            <w:tcW w:w="1065" w:type="dxa"/>
          </w:tcPr>
          <w:p>
            <w:pPr>
              <w:pStyle w:val="14"/>
              <w:spacing w:before="69" w:line="235" w:lineRule="exact"/>
              <w:ind w:left="5"/>
              <w:jc w:val="center"/>
              <w:rPr>
                <w:sz w:val="20"/>
              </w:rPr>
            </w:pPr>
            <w:r>
              <w:rPr>
                <w:w w:val="99"/>
                <w:sz w:val="20"/>
              </w:rPr>
              <w:t>转</w:t>
            </w:r>
          </w:p>
        </w:tc>
        <w:tc>
          <w:tcPr>
            <w:tcW w:w="1065" w:type="dxa"/>
          </w:tcPr>
          <w:p>
            <w:pPr>
              <w:pStyle w:val="14"/>
              <w:spacing w:before="69" w:line="235" w:lineRule="exact"/>
              <w:ind w:left="7"/>
              <w:jc w:val="center"/>
              <w:rPr>
                <w:sz w:val="20"/>
              </w:rPr>
            </w:pPr>
            <w:r>
              <w:rPr>
                <w:w w:val="99"/>
                <w:sz w:val="20"/>
              </w:rPr>
              <w:t>2</w:t>
            </w:r>
          </w:p>
        </w:tc>
        <w:tc>
          <w:tcPr>
            <w:tcW w:w="1065" w:type="dxa"/>
          </w:tcPr>
          <w:p>
            <w:pPr>
              <w:pStyle w:val="14"/>
              <w:spacing w:before="69" w:line="235" w:lineRule="exact"/>
              <w:ind w:left="131"/>
              <w:rPr>
                <w:sz w:val="20"/>
              </w:rPr>
            </w:pPr>
            <w:r>
              <w:rPr>
                <w:sz w:val="20"/>
              </w:rPr>
              <w:t>销售商品</w:t>
            </w:r>
          </w:p>
        </w:tc>
        <w:tc>
          <w:tcPr>
            <w:tcW w:w="1065" w:type="dxa"/>
          </w:tcPr>
          <w:p>
            <w:pPr>
              <w:pStyle w:val="14"/>
              <w:spacing w:before="69" w:line="235" w:lineRule="exact"/>
              <w:ind w:left="281"/>
              <w:rPr>
                <w:sz w:val="20"/>
              </w:rPr>
            </w:pPr>
            <w:r>
              <w:rPr>
                <w:sz w:val="20"/>
              </w:rPr>
              <w:t>50000</w:t>
            </w:r>
          </w:p>
        </w:tc>
        <w:tc>
          <w:tcPr>
            <w:tcW w:w="1066" w:type="dxa"/>
          </w:tcPr>
          <w:p>
            <w:pPr>
              <w:pStyle w:val="14"/>
              <w:rPr>
                <w:rFonts w:ascii="Times New Roman"/>
                <w:sz w:val="18"/>
              </w:rPr>
            </w:pPr>
          </w:p>
        </w:tc>
        <w:tc>
          <w:tcPr>
            <w:tcW w:w="1066" w:type="dxa"/>
          </w:tcPr>
          <w:p>
            <w:pPr>
              <w:pStyle w:val="14"/>
              <w:spacing w:before="69" w:line="235" w:lineRule="exact"/>
              <w:ind w:left="283"/>
              <w:rPr>
                <w:sz w:val="20"/>
              </w:rPr>
            </w:pPr>
            <w:r>
              <w:rPr>
                <w:sz w:val="20"/>
              </w:rPr>
              <w:t>50000</w:t>
            </w:r>
          </w:p>
        </w:tc>
      </w:tr>
    </w:tbl>
    <w:p>
      <w:pPr>
        <w:spacing w:after="0" w:line="235" w:lineRule="exact"/>
        <w:rPr>
          <w:sz w:val="20"/>
        </w:rPr>
        <w:sectPr>
          <w:pgSz w:w="11910" w:h="16160"/>
          <w:pgMar w:top="1680" w:right="360" w:bottom="860" w:left="760" w:header="0" w:footer="584" w:gutter="0"/>
        </w:sectPr>
      </w:pPr>
    </w:p>
    <w:p>
      <w:pPr>
        <w:pStyle w:val="6"/>
        <w:spacing w:before="1"/>
        <w:ind w:left="0"/>
        <w:rPr>
          <w:sz w:val="14"/>
        </w:rPr>
      </w:pP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5"/>
        <w:gridCol w:w="1065"/>
        <w:gridCol w:w="1065"/>
        <w:gridCol w:w="1065"/>
        <w:gridCol w:w="1065"/>
        <w:gridCol w:w="1065"/>
        <w:gridCol w:w="1066"/>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5" w:type="dxa"/>
          </w:tcPr>
          <w:p>
            <w:pPr>
              <w:pStyle w:val="14"/>
              <w:spacing w:before="68" w:line="238" w:lineRule="exact"/>
              <w:ind w:left="311" w:right="303"/>
              <w:jc w:val="center"/>
              <w:rPr>
                <w:sz w:val="20"/>
              </w:rPr>
            </w:pPr>
            <w:r>
              <w:rPr>
                <w:sz w:val="20"/>
              </w:rPr>
              <w:t>12</w:t>
            </w:r>
          </w:p>
        </w:tc>
        <w:tc>
          <w:tcPr>
            <w:tcW w:w="1065" w:type="dxa"/>
          </w:tcPr>
          <w:p>
            <w:pPr>
              <w:pStyle w:val="14"/>
              <w:spacing w:before="68" w:line="238" w:lineRule="exact"/>
              <w:ind w:left="311" w:right="301"/>
              <w:jc w:val="center"/>
              <w:rPr>
                <w:sz w:val="20"/>
              </w:rPr>
            </w:pPr>
            <w:r>
              <w:rPr>
                <w:sz w:val="20"/>
              </w:rPr>
              <w:t>25</w:t>
            </w:r>
          </w:p>
        </w:tc>
        <w:tc>
          <w:tcPr>
            <w:tcW w:w="1065" w:type="dxa"/>
          </w:tcPr>
          <w:p>
            <w:pPr>
              <w:pStyle w:val="14"/>
              <w:spacing w:before="68" w:line="238" w:lineRule="exact"/>
              <w:ind w:left="5"/>
              <w:jc w:val="center"/>
              <w:rPr>
                <w:sz w:val="20"/>
              </w:rPr>
            </w:pPr>
            <w:r>
              <w:rPr>
                <w:w w:val="99"/>
                <w:sz w:val="20"/>
              </w:rPr>
              <w:t>收</w:t>
            </w:r>
          </w:p>
        </w:tc>
        <w:tc>
          <w:tcPr>
            <w:tcW w:w="1065" w:type="dxa"/>
          </w:tcPr>
          <w:p>
            <w:pPr>
              <w:pStyle w:val="14"/>
              <w:spacing w:before="68" w:line="238" w:lineRule="exact"/>
              <w:ind w:left="7"/>
              <w:jc w:val="center"/>
              <w:rPr>
                <w:sz w:val="20"/>
              </w:rPr>
            </w:pPr>
            <w:r>
              <w:rPr>
                <w:w w:val="99"/>
                <w:sz w:val="20"/>
              </w:rPr>
              <w:t>5</w:t>
            </w:r>
          </w:p>
        </w:tc>
        <w:tc>
          <w:tcPr>
            <w:tcW w:w="1065" w:type="dxa"/>
          </w:tcPr>
          <w:p>
            <w:pPr>
              <w:pStyle w:val="14"/>
              <w:spacing w:before="68" w:line="238" w:lineRule="exact"/>
              <w:ind w:left="131"/>
              <w:rPr>
                <w:sz w:val="20"/>
              </w:rPr>
            </w:pPr>
            <w:r>
              <w:rPr>
                <w:sz w:val="20"/>
              </w:rPr>
              <w:t>收到欠款</w:t>
            </w:r>
          </w:p>
        </w:tc>
        <w:tc>
          <w:tcPr>
            <w:tcW w:w="1065" w:type="dxa"/>
          </w:tcPr>
          <w:p>
            <w:pPr>
              <w:pStyle w:val="14"/>
              <w:rPr>
                <w:rFonts w:ascii="Times New Roman"/>
                <w:sz w:val="20"/>
              </w:rPr>
            </w:pPr>
          </w:p>
        </w:tc>
        <w:tc>
          <w:tcPr>
            <w:tcW w:w="1066" w:type="dxa"/>
          </w:tcPr>
          <w:p>
            <w:pPr>
              <w:pStyle w:val="14"/>
              <w:spacing w:before="68" w:line="238" w:lineRule="exact"/>
              <w:ind w:left="281"/>
              <w:rPr>
                <w:sz w:val="20"/>
              </w:rPr>
            </w:pPr>
            <w:r>
              <w:rPr>
                <w:sz w:val="20"/>
              </w:rPr>
              <w:t>80000</w:t>
            </w:r>
          </w:p>
        </w:tc>
        <w:tc>
          <w:tcPr>
            <w:tcW w:w="1066" w:type="dxa"/>
          </w:tcPr>
          <w:p>
            <w:pPr>
              <w:pStyle w:val="14"/>
              <w:spacing w:before="68" w:line="238" w:lineRule="exact"/>
              <w:ind w:left="283"/>
              <w:rPr>
                <w:sz w:val="20"/>
              </w:rPr>
            </w:pPr>
            <w:r>
              <w:rPr>
                <w:sz w:val="20"/>
              </w:rPr>
              <w:t>30000</w:t>
            </w:r>
          </w:p>
        </w:tc>
      </w:tr>
    </w:tbl>
    <w:p>
      <w:pPr>
        <w:pStyle w:val="13"/>
        <w:numPr>
          <w:ilvl w:val="0"/>
          <w:numId w:val="34"/>
        </w:numPr>
        <w:tabs>
          <w:tab w:val="left" w:pos="1224"/>
        </w:tabs>
        <w:spacing w:before="68" w:after="0" w:line="304" w:lineRule="auto"/>
        <w:ind w:left="322" w:right="749" w:firstLine="400"/>
        <w:jc w:val="left"/>
        <w:rPr>
          <w:sz w:val="20"/>
        </w:rPr>
      </w:pPr>
      <w:r>
        <mc:AlternateContent>
          <mc:Choice Requires="wps">
            <w:drawing>
              <wp:anchor distT="0" distB="0" distL="114300" distR="114300" simplePos="0" relativeHeight="482406400" behindDoc="1" locked="0" layoutInCell="1" allowOverlap="1">
                <wp:simplePos x="0" y="0"/>
                <wp:positionH relativeFrom="page">
                  <wp:posOffset>5836920</wp:posOffset>
                </wp:positionH>
                <wp:positionV relativeFrom="paragraph">
                  <wp:posOffset>180975</wp:posOffset>
                </wp:positionV>
                <wp:extent cx="502920" cy="5715"/>
                <wp:effectExtent l="0" t="0" r="0" b="0"/>
                <wp:wrapNone/>
                <wp:docPr id="251" name="任意多边形 101"/>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01" o:spid="_x0000_s1026" o:spt="100" style="position:absolute;left:0pt;margin-left:459.6pt;margin-top:14.25pt;height:0.45pt;width:39.6pt;mso-position-horizontal-relative:page;z-index:-20910080;mso-width-relative:page;mso-height-relative:page;" filled="f" stroked="t" coordsize="792,9" o:gfxdata="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N2kJxnXAAAACQEAAA8AAAAAAAAAAQAgAAAAIgAA&#10;AGRycy9kb3ducmV2LnhtbFBLAQIUABQAAAAIAIdO4kC0gDSd7QIAAJsKAAAOAAAAAAAAAAEAIAAA&#10;ACYBAABkcnMvZTJvRG9jLnhtbFBLBQYAAAAABgAGAFkBAACF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07424" behindDoc="1" locked="0" layoutInCell="1" allowOverlap="1">
                <wp:simplePos x="0" y="0"/>
                <wp:positionH relativeFrom="page">
                  <wp:posOffset>6600825</wp:posOffset>
                </wp:positionH>
                <wp:positionV relativeFrom="paragraph">
                  <wp:posOffset>180975</wp:posOffset>
                </wp:positionV>
                <wp:extent cx="251460" cy="5715"/>
                <wp:effectExtent l="0" t="0" r="0" b="0"/>
                <wp:wrapNone/>
                <wp:docPr id="253" name="任意多边形 10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02" o:spid="_x0000_s1026" o:spt="100" style="position:absolute;left:0pt;margin-left:519.75pt;margin-top:14.25pt;height:0.45pt;width:19.8pt;mso-position-horizontal-relative:page;z-index:-20909056;mso-width-relative:page;mso-height-relative:page;" filled="f" stroked="t" coordsize="396,9" o:gfxdata="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X&#10;21cl2gAAAAsBAAAPAAAAAAAAAAEAIAAAACIAAABkcnMvZG93bnJldi54bWxQSwECFAAUAAAACACH&#10;TuJAJ8BqWpQCAABXBwAADgAAAAAAAAABACAAAAAp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07424" behindDoc="1" locked="0" layoutInCell="1" allowOverlap="1">
                <wp:simplePos x="0" y="0"/>
                <wp:positionH relativeFrom="page">
                  <wp:posOffset>2470785</wp:posOffset>
                </wp:positionH>
                <wp:positionV relativeFrom="paragraph">
                  <wp:posOffset>388620</wp:posOffset>
                </wp:positionV>
                <wp:extent cx="502920" cy="5715"/>
                <wp:effectExtent l="0" t="0" r="0" b="0"/>
                <wp:wrapNone/>
                <wp:docPr id="252" name="任意多边形 103"/>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03" o:spid="_x0000_s1026" o:spt="100" style="position:absolute;left:0pt;margin-left:194.55pt;margin-top:30.6pt;height:0.45pt;width:39.6pt;mso-position-horizontal-relative:page;z-index:-20909056;mso-width-relative:page;mso-height-relative:page;" filled="f" stroked="t" coordsize="792,9" o:gfxdata="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Ya01B1wAAAAkBAAAPAAAAAAAAAAEAIAAAACIA&#10;AABkcnMvZG93bnJldi54bWxQSwECFAAUAAAACACHTuJAU00+Q+4CAACbCgAADgAAAAAAAAABACAA&#10;AAAm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15773696" behindDoc="0" locked="0" layoutInCell="1" allowOverlap="1">
                <wp:simplePos x="0" y="0"/>
                <wp:positionH relativeFrom="page">
                  <wp:posOffset>5975985</wp:posOffset>
                </wp:positionH>
                <wp:positionV relativeFrom="paragraph">
                  <wp:posOffset>-160655</wp:posOffset>
                </wp:positionV>
                <wp:extent cx="374650" cy="139700"/>
                <wp:effectExtent l="0" t="0" r="6350" b="12700"/>
                <wp:wrapNone/>
                <wp:docPr id="98" name="任意多边形 104"/>
                <wp:cNvGraphicFramePr/>
                <a:graphic xmlns:a="http://schemas.openxmlformats.org/drawingml/2006/main">
                  <a:graphicData uri="http://schemas.microsoft.com/office/word/2010/wordprocessingShape">
                    <wps:wsp>
                      <wps:cNvSpPr/>
                      <wps:spPr>
                        <a:xfrm>
                          <a:off x="0" y="0"/>
                          <a:ext cx="374650" cy="139700"/>
                        </a:xfrm>
                        <a:custGeom>
                          <a:avLst/>
                          <a:gdLst/>
                          <a:ahLst/>
                          <a:cxnLst/>
                          <a:pathLst>
                            <a:path w="590" h="220">
                              <a:moveTo>
                                <a:pt x="590" y="220"/>
                              </a:moveTo>
                              <a:lnTo>
                                <a:pt x="0" y="220"/>
                              </a:lnTo>
                              <a:lnTo>
                                <a:pt x="0" y="0"/>
                              </a:lnTo>
                              <a:lnTo>
                                <a:pt x="590" y="0"/>
                              </a:lnTo>
                              <a:lnTo>
                                <a:pt x="590" y="8"/>
                              </a:lnTo>
                              <a:lnTo>
                                <a:pt x="15" y="8"/>
                              </a:lnTo>
                              <a:lnTo>
                                <a:pt x="7" y="15"/>
                              </a:lnTo>
                              <a:lnTo>
                                <a:pt x="15" y="15"/>
                              </a:lnTo>
                              <a:lnTo>
                                <a:pt x="15" y="205"/>
                              </a:lnTo>
                              <a:lnTo>
                                <a:pt x="7" y="205"/>
                              </a:lnTo>
                              <a:lnTo>
                                <a:pt x="15" y="213"/>
                              </a:lnTo>
                              <a:lnTo>
                                <a:pt x="590" y="213"/>
                              </a:lnTo>
                              <a:lnTo>
                                <a:pt x="590" y="220"/>
                              </a:lnTo>
                              <a:close/>
                              <a:moveTo>
                                <a:pt x="15" y="15"/>
                              </a:moveTo>
                              <a:lnTo>
                                <a:pt x="7" y="15"/>
                              </a:lnTo>
                              <a:lnTo>
                                <a:pt x="15" y="8"/>
                              </a:lnTo>
                              <a:lnTo>
                                <a:pt x="15" y="15"/>
                              </a:lnTo>
                              <a:close/>
                              <a:moveTo>
                                <a:pt x="575" y="15"/>
                              </a:moveTo>
                              <a:lnTo>
                                <a:pt x="15" y="15"/>
                              </a:lnTo>
                              <a:lnTo>
                                <a:pt x="15" y="8"/>
                              </a:lnTo>
                              <a:lnTo>
                                <a:pt x="575" y="8"/>
                              </a:lnTo>
                              <a:lnTo>
                                <a:pt x="575" y="15"/>
                              </a:lnTo>
                              <a:close/>
                              <a:moveTo>
                                <a:pt x="575" y="213"/>
                              </a:moveTo>
                              <a:lnTo>
                                <a:pt x="575" y="8"/>
                              </a:lnTo>
                              <a:lnTo>
                                <a:pt x="582" y="15"/>
                              </a:lnTo>
                              <a:lnTo>
                                <a:pt x="590" y="15"/>
                              </a:lnTo>
                              <a:lnTo>
                                <a:pt x="590" y="205"/>
                              </a:lnTo>
                              <a:lnTo>
                                <a:pt x="582" y="205"/>
                              </a:lnTo>
                              <a:lnTo>
                                <a:pt x="575" y="213"/>
                              </a:lnTo>
                              <a:close/>
                              <a:moveTo>
                                <a:pt x="590" y="15"/>
                              </a:moveTo>
                              <a:lnTo>
                                <a:pt x="582" y="15"/>
                              </a:lnTo>
                              <a:lnTo>
                                <a:pt x="575" y="8"/>
                              </a:lnTo>
                              <a:lnTo>
                                <a:pt x="590" y="8"/>
                              </a:lnTo>
                              <a:lnTo>
                                <a:pt x="590" y="15"/>
                              </a:lnTo>
                              <a:close/>
                              <a:moveTo>
                                <a:pt x="15" y="213"/>
                              </a:moveTo>
                              <a:lnTo>
                                <a:pt x="7" y="205"/>
                              </a:lnTo>
                              <a:lnTo>
                                <a:pt x="15" y="205"/>
                              </a:lnTo>
                              <a:lnTo>
                                <a:pt x="15" y="213"/>
                              </a:lnTo>
                              <a:close/>
                              <a:moveTo>
                                <a:pt x="575" y="213"/>
                              </a:moveTo>
                              <a:lnTo>
                                <a:pt x="15" y="213"/>
                              </a:lnTo>
                              <a:lnTo>
                                <a:pt x="15" y="205"/>
                              </a:lnTo>
                              <a:lnTo>
                                <a:pt x="575" y="205"/>
                              </a:lnTo>
                              <a:lnTo>
                                <a:pt x="575" y="213"/>
                              </a:lnTo>
                              <a:close/>
                              <a:moveTo>
                                <a:pt x="590" y="213"/>
                              </a:moveTo>
                              <a:lnTo>
                                <a:pt x="575" y="213"/>
                              </a:lnTo>
                              <a:lnTo>
                                <a:pt x="582" y="205"/>
                              </a:lnTo>
                              <a:lnTo>
                                <a:pt x="590" y="205"/>
                              </a:lnTo>
                              <a:lnTo>
                                <a:pt x="590" y="213"/>
                              </a:lnTo>
                              <a:close/>
                            </a:path>
                          </a:pathLst>
                        </a:custGeom>
                        <a:solidFill>
                          <a:srgbClr val="000000"/>
                        </a:solidFill>
                        <a:ln>
                          <a:noFill/>
                        </a:ln>
                      </wps:spPr>
                      <wps:bodyPr upright="1"/>
                    </wps:wsp>
                  </a:graphicData>
                </a:graphic>
              </wp:anchor>
            </w:drawing>
          </mc:Choice>
          <mc:Fallback>
            <w:pict>
              <v:shape id="任意多边形 104" o:spid="_x0000_s1026" o:spt="100" style="position:absolute;left:0pt;margin-left:470.55pt;margin-top:-12.65pt;height:11pt;width:29.5pt;mso-position-horizontal-relative:page;z-index:15773696;mso-width-relative:page;mso-height-relative:page;" fillcolor="#000000" filled="t" stroked="f" coordsize="590,220" o:gfxdata="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I/QIjvaAAAACwEAAA8AAAAAAAAAAQAgAAAAIgAAAGRy&#10;cy9kb3ducmV2LnhtbFBLAQIUABQAAAAIAIdO4kBdX5GG5wIAABwLAAAOAAAAAAAAAAEAIAAAACkB&#10;AABkcnMvZTJvRG9jLnhtbFBLBQYAAAAABgAGAFkBAACCBgAAAAA=&#10;" path="m590,220l0,220,0,0,590,0,590,8,15,8,7,15,15,15,15,205,7,205,15,213,590,213,590,220xm15,15l7,15,15,8,15,15xm575,15l15,15,15,8,575,8,575,15xm575,213l575,8,582,15,590,15,590,205,582,205,575,213xm590,15l582,15,575,8,590,8,590,15xm15,213l7,205,15,205,15,213xm575,213l15,213,15,205,575,205,575,213xm590,213l575,213,582,205,590,205,590,213xe">
                <v:fill on="t" focussize="0,0"/>
                <v:stroke on="f"/>
                <v:imagedata o:title=""/>
                <o:lock v:ext="edit" aspectratio="f"/>
              </v:shape>
            </w:pict>
          </mc:Fallback>
        </mc:AlternateContent>
      </w:r>
      <w:r>
        <mc:AlternateContent>
          <mc:Choice Requires="wps">
            <w:drawing>
              <wp:anchor distT="0" distB="0" distL="114300" distR="114300" simplePos="0" relativeHeight="15774720" behindDoc="0" locked="0" layoutInCell="1" allowOverlap="1">
                <wp:simplePos x="0" y="0"/>
                <wp:positionH relativeFrom="page">
                  <wp:posOffset>1071245</wp:posOffset>
                </wp:positionH>
                <wp:positionV relativeFrom="paragraph">
                  <wp:posOffset>413385</wp:posOffset>
                </wp:positionV>
                <wp:extent cx="5420995" cy="1493520"/>
                <wp:effectExtent l="0" t="0" r="0" b="0"/>
                <wp:wrapNone/>
                <wp:docPr id="100" name="文本框 105"/>
                <wp:cNvGraphicFramePr/>
                <a:graphic xmlns:a="http://schemas.openxmlformats.org/drawingml/2006/main">
                  <a:graphicData uri="http://schemas.microsoft.com/office/word/2010/wordprocessingShape">
                    <wps:wsp>
                      <wps:cNvSpPr txBox="1"/>
                      <wps:spPr>
                        <a:xfrm>
                          <a:off x="0" y="0"/>
                          <a:ext cx="5420995" cy="149352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6"/>
                              <w:gridCol w:w="947"/>
                              <w:gridCol w:w="947"/>
                              <w:gridCol w:w="947"/>
                              <w:gridCol w:w="947"/>
                              <w:gridCol w:w="947"/>
                              <w:gridCol w:w="947"/>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93" w:type="dxa"/>
                                  <w:gridSpan w:val="2"/>
                                </w:tcPr>
                                <w:p>
                                  <w:pPr>
                                    <w:pStyle w:val="14"/>
                                    <w:spacing w:before="68" w:line="237" w:lineRule="exact"/>
                                    <w:ind w:left="5"/>
                                    <w:jc w:val="center"/>
                                    <w:rPr>
                                      <w:sz w:val="20"/>
                                    </w:rPr>
                                  </w:pPr>
                                  <w:r>
                                    <w:rPr>
                                      <w:w w:val="99"/>
                                      <w:sz w:val="20"/>
                                    </w:rPr>
                                    <w:t>年</w:t>
                                  </w:r>
                                </w:p>
                              </w:tc>
                              <w:tc>
                                <w:tcPr>
                                  <w:tcW w:w="1894" w:type="dxa"/>
                                  <w:gridSpan w:val="2"/>
                                </w:tcPr>
                                <w:p>
                                  <w:pPr>
                                    <w:pStyle w:val="14"/>
                                    <w:spacing w:before="68" w:line="237" w:lineRule="exact"/>
                                    <w:ind w:left="725" w:right="718"/>
                                    <w:jc w:val="center"/>
                                    <w:rPr>
                                      <w:sz w:val="20"/>
                                    </w:rPr>
                                  </w:pPr>
                                  <w:r>
                                    <w:rPr>
                                      <w:sz w:val="20"/>
                                    </w:rPr>
                                    <w:t>凭证</w:t>
                                  </w:r>
                                </w:p>
                              </w:tc>
                              <w:tc>
                                <w:tcPr>
                                  <w:tcW w:w="947" w:type="dxa"/>
                                  <w:vMerge w:val="restart"/>
                                </w:tcPr>
                                <w:p>
                                  <w:pPr>
                                    <w:pStyle w:val="14"/>
                                    <w:rPr>
                                      <w:sz w:val="20"/>
                                    </w:rPr>
                                  </w:pPr>
                                </w:p>
                                <w:p>
                                  <w:pPr>
                                    <w:pStyle w:val="14"/>
                                    <w:spacing w:before="143"/>
                                    <w:ind w:left="273"/>
                                    <w:rPr>
                                      <w:sz w:val="20"/>
                                    </w:rPr>
                                  </w:pPr>
                                  <w:r>
                                    <w:rPr>
                                      <w:sz w:val="20"/>
                                    </w:rPr>
                                    <w:t>摘要</w:t>
                                  </w:r>
                                </w:p>
                              </w:tc>
                              <w:tc>
                                <w:tcPr>
                                  <w:tcW w:w="3788" w:type="dxa"/>
                                  <w:gridSpan w:val="4"/>
                                </w:tcPr>
                                <w:p>
                                  <w:pPr>
                                    <w:pStyle w:val="14"/>
                                    <w:spacing w:before="68" w:line="237" w:lineRule="exact"/>
                                    <w:ind w:left="1274" w:right="1264"/>
                                    <w:jc w:val="center"/>
                                    <w:rPr>
                                      <w:sz w:val="20"/>
                                    </w:rPr>
                                  </w:pPr>
                                  <w:r>
                                    <w:rPr>
                                      <w:sz w:val="20"/>
                                    </w:rPr>
                                    <w:t>借方（项目）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946" w:type="dxa"/>
                                </w:tcPr>
                                <w:p>
                                  <w:pPr>
                                    <w:pStyle w:val="14"/>
                                    <w:spacing w:before="1"/>
                                    <w:rPr>
                                      <w:sz w:val="18"/>
                                    </w:rPr>
                                  </w:pPr>
                                </w:p>
                                <w:p>
                                  <w:pPr>
                                    <w:pStyle w:val="14"/>
                                    <w:ind w:left="6"/>
                                    <w:jc w:val="center"/>
                                    <w:rPr>
                                      <w:sz w:val="20"/>
                                    </w:rPr>
                                  </w:pPr>
                                  <w:r>
                                    <w:rPr>
                                      <w:w w:val="99"/>
                                      <w:sz w:val="20"/>
                                    </w:rPr>
                                    <w:t>月</w:t>
                                  </w:r>
                                </w:p>
                              </w:tc>
                              <w:tc>
                                <w:tcPr>
                                  <w:tcW w:w="947" w:type="dxa"/>
                                </w:tcPr>
                                <w:p>
                                  <w:pPr>
                                    <w:pStyle w:val="14"/>
                                    <w:spacing w:before="1"/>
                                    <w:rPr>
                                      <w:sz w:val="18"/>
                                    </w:rPr>
                                  </w:pPr>
                                </w:p>
                                <w:p>
                                  <w:pPr>
                                    <w:pStyle w:val="14"/>
                                    <w:ind w:left="9"/>
                                    <w:jc w:val="center"/>
                                    <w:rPr>
                                      <w:sz w:val="20"/>
                                    </w:rPr>
                                  </w:pPr>
                                  <w:r>
                                    <w:rPr>
                                      <w:w w:val="99"/>
                                      <w:sz w:val="20"/>
                                    </w:rPr>
                                    <w:t>日</w:t>
                                  </w:r>
                                </w:p>
                              </w:tc>
                              <w:tc>
                                <w:tcPr>
                                  <w:tcW w:w="947" w:type="dxa"/>
                                </w:tcPr>
                                <w:p>
                                  <w:pPr>
                                    <w:pStyle w:val="14"/>
                                    <w:spacing w:before="1"/>
                                    <w:rPr>
                                      <w:sz w:val="18"/>
                                    </w:rPr>
                                  </w:pPr>
                                </w:p>
                                <w:p>
                                  <w:pPr>
                                    <w:pStyle w:val="14"/>
                                    <w:ind w:left="271"/>
                                    <w:rPr>
                                      <w:sz w:val="20"/>
                                    </w:rPr>
                                  </w:pPr>
                                  <w:r>
                                    <w:rPr>
                                      <w:sz w:val="20"/>
                                    </w:rPr>
                                    <w:t>种类</w:t>
                                  </w:r>
                                </w:p>
                              </w:tc>
                              <w:tc>
                                <w:tcPr>
                                  <w:tcW w:w="947" w:type="dxa"/>
                                </w:tcPr>
                                <w:p>
                                  <w:pPr>
                                    <w:pStyle w:val="14"/>
                                    <w:spacing w:before="1"/>
                                    <w:rPr>
                                      <w:sz w:val="18"/>
                                    </w:rPr>
                                  </w:pPr>
                                </w:p>
                                <w:p>
                                  <w:pPr>
                                    <w:pStyle w:val="14"/>
                                    <w:ind w:left="272"/>
                                    <w:rPr>
                                      <w:sz w:val="20"/>
                                    </w:rPr>
                                  </w:pPr>
                                  <w:r>
                                    <w:rPr>
                                      <w:sz w:val="20"/>
                                    </w:rPr>
                                    <w:t>号数</w:t>
                                  </w:r>
                                </w:p>
                              </w:tc>
                              <w:tc>
                                <w:tcPr>
                                  <w:tcW w:w="947" w:type="dxa"/>
                                  <w:vMerge w:val="continue"/>
                                  <w:tcBorders>
                                    <w:top w:val="nil"/>
                                  </w:tcBorders>
                                </w:tcPr>
                                <w:p>
                                  <w:pPr>
                                    <w:rPr>
                                      <w:sz w:val="2"/>
                                      <w:szCs w:val="2"/>
                                    </w:rPr>
                                  </w:pPr>
                                </w:p>
                              </w:tc>
                              <w:tc>
                                <w:tcPr>
                                  <w:tcW w:w="947" w:type="dxa"/>
                                </w:tcPr>
                                <w:p>
                                  <w:pPr>
                                    <w:pStyle w:val="14"/>
                                    <w:spacing w:before="8" w:line="326" w:lineRule="exact"/>
                                    <w:ind w:left="372" w:right="161" w:hanging="200"/>
                                    <w:rPr>
                                      <w:sz w:val="20"/>
                                    </w:rPr>
                                  </w:pPr>
                                  <w:r>
                                    <w:rPr>
                                      <w:sz w:val="20"/>
                                    </w:rPr>
                                    <w:t>直接材料</w:t>
                                  </w:r>
                                </w:p>
                              </w:tc>
                              <w:tc>
                                <w:tcPr>
                                  <w:tcW w:w="947" w:type="dxa"/>
                                </w:tcPr>
                                <w:p>
                                  <w:pPr>
                                    <w:pStyle w:val="14"/>
                                    <w:spacing w:before="8" w:line="326" w:lineRule="exact"/>
                                    <w:ind w:left="371" w:right="162" w:hanging="200"/>
                                    <w:rPr>
                                      <w:sz w:val="20"/>
                                    </w:rPr>
                                  </w:pPr>
                                  <w:r>
                                    <w:rPr>
                                      <w:sz w:val="20"/>
                                    </w:rPr>
                                    <w:t>直接人工</w:t>
                                  </w:r>
                                </w:p>
                              </w:tc>
                              <w:tc>
                                <w:tcPr>
                                  <w:tcW w:w="947" w:type="dxa"/>
                                </w:tcPr>
                                <w:p>
                                  <w:pPr>
                                    <w:pStyle w:val="14"/>
                                    <w:spacing w:before="8" w:line="326" w:lineRule="exact"/>
                                    <w:ind w:left="372" w:right="161" w:hanging="200"/>
                                    <w:rPr>
                                      <w:sz w:val="20"/>
                                    </w:rPr>
                                  </w:pPr>
                                  <w:r>
                                    <w:rPr>
                                      <w:sz w:val="20"/>
                                    </w:rPr>
                                    <w:t>制造费用</w:t>
                                  </w:r>
                                </w:p>
                              </w:tc>
                              <w:tc>
                                <w:tcPr>
                                  <w:tcW w:w="947" w:type="dxa"/>
                                </w:tcPr>
                                <w:p>
                                  <w:pPr>
                                    <w:pStyle w:val="14"/>
                                    <w:spacing w:before="1"/>
                                    <w:rPr>
                                      <w:sz w:val="18"/>
                                    </w:rPr>
                                  </w:pPr>
                                </w:p>
                                <w:p>
                                  <w:pPr>
                                    <w:pStyle w:val="14"/>
                                    <w:ind w:left="272"/>
                                    <w:rPr>
                                      <w:sz w:val="20"/>
                                    </w:rPr>
                                  </w:pPr>
                                  <w:r>
                                    <w:rPr>
                                      <w:sz w:val="20"/>
                                    </w:rPr>
                                    <w:t>合计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spacing w:line="306" w:lineRule="exact"/>
                                    <w:ind w:left="339" w:right="-288"/>
                                    <w:rPr>
                                      <w:sz w:val="44"/>
                                    </w:rPr>
                                  </w:pPr>
                                  <w:r>
                                    <w:rPr>
                                      <w:color w:val="FFFF00"/>
                                      <w:spacing w:val="-6"/>
                                      <w:sz w:val="44"/>
                                    </w:rPr>
                                    <w:t>此页</w:t>
                                  </w:r>
                                </w:p>
                              </w:tc>
                              <w:tc>
                                <w:tcPr>
                                  <w:tcW w:w="947" w:type="dxa"/>
                                </w:tcPr>
                                <w:p>
                                  <w:pPr>
                                    <w:pStyle w:val="14"/>
                                    <w:spacing w:line="306" w:lineRule="exact"/>
                                    <w:ind w:left="273" w:right="-216"/>
                                    <w:rPr>
                                      <w:sz w:val="44"/>
                                    </w:rPr>
                                  </w:pPr>
                                  <w:r>
                                    <w:rPr>
                                      <w:color w:val="FFFF00"/>
                                      <w:spacing w:val="-9"/>
                                      <w:sz w:val="44"/>
                                    </w:rPr>
                                    <w:t>空白</w:t>
                                  </w: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spacing w:line="306" w:lineRule="exact"/>
                                    <w:ind w:left="254" w:right="-202"/>
                                    <w:rPr>
                                      <w:sz w:val="44"/>
                                    </w:rPr>
                                  </w:pPr>
                                  <w:r>
                                    <w:rPr>
                                      <w:color w:val="FFFF00"/>
                                      <w:spacing w:val="-7"/>
                                      <w:sz w:val="44"/>
                                    </w:rPr>
                                    <w:t>二狗</w:t>
                                  </w:r>
                                </w:p>
                              </w:tc>
                              <w:tc>
                                <w:tcPr>
                                  <w:tcW w:w="947"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r>
                          </w:tbl>
                          <w:p>
                            <w:pPr>
                              <w:pStyle w:val="6"/>
                              <w:spacing w:before="0"/>
                              <w:ind w:left="0"/>
                            </w:pPr>
                          </w:p>
                        </w:txbxContent>
                      </wps:txbx>
                      <wps:bodyPr lIns="0" tIns="0" rIns="0" bIns="0" upright="1"/>
                    </wps:wsp>
                  </a:graphicData>
                </a:graphic>
              </wp:anchor>
            </w:drawing>
          </mc:Choice>
          <mc:Fallback>
            <w:pict>
              <v:shape id="文本框 105" o:spid="_x0000_s1026" o:spt="202" type="#_x0000_t202" style="position:absolute;left:0pt;margin-left:84.35pt;margin-top:32.55pt;height:117.6pt;width:426.85pt;mso-position-horizontal-relative:page;z-index:15774720;mso-width-relative:page;mso-height-relative:page;" filled="f" stroked="f" coordsize="21600,21600" o:gfxdata="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K8YZMrZAAAACwEAAA8A&#10;AAAAAAAAAQAgAAAAIgAAAGRycy9kb3ducmV2LnhtbFBLAQIUABQAAAAIAIdO4kC4/E6xpAEAACkD&#10;AAAOAAAAAAAAAAEAIAAAACg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6"/>
                        <w:gridCol w:w="947"/>
                        <w:gridCol w:w="947"/>
                        <w:gridCol w:w="947"/>
                        <w:gridCol w:w="947"/>
                        <w:gridCol w:w="947"/>
                        <w:gridCol w:w="947"/>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93" w:type="dxa"/>
                            <w:gridSpan w:val="2"/>
                          </w:tcPr>
                          <w:p>
                            <w:pPr>
                              <w:pStyle w:val="14"/>
                              <w:spacing w:before="68" w:line="237" w:lineRule="exact"/>
                              <w:ind w:left="5"/>
                              <w:jc w:val="center"/>
                              <w:rPr>
                                <w:sz w:val="20"/>
                              </w:rPr>
                            </w:pPr>
                            <w:r>
                              <w:rPr>
                                <w:w w:val="99"/>
                                <w:sz w:val="20"/>
                              </w:rPr>
                              <w:t>年</w:t>
                            </w:r>
                          </w:p>
                        </w:tc>
                        <w:tc>
                          <w:tcPr>
                            <w:tcW w:w="1894" w:type="dxa"/>
                            <w:gridSpan w:val="2"/>
                          </w:tcPr>
                          <w:p>
                            <w:pPr>
                              <w:pStyle w:val="14"/>
                              <w:spacing w:before="68" w:line="237" w:lineRule="exact"/>
                              <w:ind w:left="725" w:right="718"/>
                              <w:jc w:val="center"/>
                              <w:rPr>
                                <w:sz w:val="20"/>
                              </w:rPr>
                            </w:pPr>
                            <w:r>
                              <w:rPr>
                                <w:sz w:val="20"/>
                              </w:rPr>
                              <w:t>凭证</w:t>
                            </w:r>
                          </w:p>
                        </w:tc>
                        <w:tc>
                          <w:tcPr>
                            <w:tcW w:w="947" w:type="dxa"/>
                            <w:vMerge w:val="restart"/>
                          </w:tcPr>
                          <w:p>
                            <w:pPr>
                              <w:pStyle w:val="14"/>
                              <w:rPr>
                                <w:sz w:val="20"/>
                              </w:rPr>
                            </w:pPr>
                          </w:p>
                          <w:p>
                            <w:pPr>
                              <w:pStyle w:val="14"/>
                              <w:spacing w:before="143"/>
                              <w:ind w:left="273"/>
                              <w:rPr>
                                <w:sz w:val="20"/>
                              </w:rPr>
                            </w:pPr>
                            <w:r>
                              <w:rPr>
                                <w:sz w:val="20"/>
                              </w:rPr>
                              <w:t>摘要</w:t>
                            </w:r>
                          </w:p>
                        </w:tc>
                        <w:tc>
                          <w:tcPr>
                            <w:tcW w:w="3788" w:type="dxa"/>
                            <w:gridSpan w:val="4"/>
                          </w:tcPr>
                          <w:p>
                            <w:pPr>
                              <w:pStyle w:val="14"/>
                              <w:spacing w:before="68" w:line="237" w:lineRule="exact"/>
                              <w:ind w:left="1274" w:right="1264"/>
                              <w:jc w:val="center"/>
                              <w:rPr>
                                <w:sz w:val="20"/>
                              </w:rPr>
                            </w:pPr>
                            <w:r>
                              <w:rPr>
                                <w:sz w:val="20"/>
                              </w:rPr>
                              <w:t>借方（项目）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946" w:type="dxa"/>
                          </w:tcPr>
                          <w:p>
                            <w:pPr>
                              <w:pStyle w:val="14"/>
                              <w:spacing w:before="1"/>
                              <w:rPr>
                                <w:sz w:val="18"/>
                              </w:rPr>
                            </w:pPr>
                          </w:p>
                          <w:p>
                            <w:pPr>
                              <w:pStyle w:val="14"/>
                              <w:ind w:left="6"/>
                              <w:jc w:val="center"/>
                              <w:rPr>
                                <w:sz w:val="20"/>
                              </w:rPr>
                            </w:pPr>
                            <w:r>
                              <w:rPr>
                                <w:w w:val="99"/>
                                <w:sz w:val="20"/>
                              </w:rPr>
                              <w:t>月</w:t>
                            </w:r>
                          </w:p>
                        </w:tc>
                        <w:tc>
                          <w:tcPr>
                            <w:tcW w:w="947" w:type="dxa"/>
                          </w:tcPr>
                          <w:p>
                            <w:pPr>
                              <w:pStyle w:val="14"/>
                              <w:spacing w:before="1"/>
                              <w:rPr>
                                <w:sz w:val="18"/>
                              </w:rPr>
                            </w:pPr>
                          </w:p>
                          <w:p>
                            <w:pPr>
                              <w:pStyle w:val="14"/>
                              <w:ind w:left="9"/>
                              <w:jc w:val="center"/>
                              <w:rPr>
                                <w:sz w:val="20"/>
                              </w:rPr>
                            </w:pPr>
                            <w:r>
                              <w:rPr>
                                <w:w w:val="99"/>
                                <w:sz w:val="20"/>
                              </w:rPr>
                              <w:t>日</w:t>
                            </w:r>
                          </w:p>
                        </w:tc>
                        <w:tc>
                          <w:tcPr>
                            <w:tcW w:w="947" w:type="dxa"/>
                          </w:tcPr>
                          <w:p>
                            <w:pPr>
                              <w:pStyle w:val="14"/>
                              <w:spacing w:before="1"/>
                              <w:rPr>
                                <w:sz w:val="18"/>
                              </w:rPr>
                            </w:pPr>
                          </w:p>
                          <w:p>
                            <w:pPr>
                              <w:pStyle w:val="14"/>
                              <w:ind w:left="271"/>
                              <w:rPr>
                                <w:sz w:val="20"/>
                              </w:rPr>
                            </w:pPr>
                            <w:r>
                              <w:rPr>
                                <w:sz w:val="20"/>
                              </w:rPr>
                              <w:t>种类</w:t>
                            </w:r>
                          </w:p>
                        </w:tc>
                        <w:tc>
                          <w:tcPr>
                            <w:tcW w:w="947" w:type="dxa"/>
                          </w:tcPr>
                          <w:p>
                            <w:pPr>
                              <w:pStyle w:val="14"/>
                              <w:spacing w:before="1"/>
                              <w:rPr>
                                <w:sz w:val="18"/>
                              </w:rPr>
                            </w:pPr>
                          </w:p>
                          <w:p>
                            <w:pPr>
                              <w:pStyle w:val="14"/>
                              <w:ind w:left="272"/>
                              <w:rPr>
                                <w:sz w:val="20"/>
                              </w:rPr>
                            </w:pPr>
                            <w:r>
                              <w:rPr>
                                <w:sz w:val="20"/>
                              </w:rPr>
                              <w:t>号数</w:t>
                            </w:r>
                          </w:p>
                        </w:tc>
                        <w:tc>
                          <w:tcPr>
                            <w:tcW w:w="947" w:type="dxa"/>
                            <w:vMerge w:val="continue"/>
                            <w:tcBorders>
                              <w:top w:val="nil"/>
                            </w:tcBorders>
                          </w:tcPr>
                          <w:p>
                            <w:pPr>
                              <w:rPr>
                                <w:sz w:val="2"/>
                                <w:szCs w:val="2"/>
                              </w:rPr>
                            </w:pPr>
                          </w:p>
                        </w:tc>
                        <w:tc>
                          <w:tcPr>
                            <w:tcW w:w="947" w:type="dxa"/>
                          </w:tcPr>
                          <w:p>
                            <w:pPr>
                              <w:pStyle w:val="14"/>
                              <w:spacing w:before="8" w:line="326" w:lineRule="exact"/>
                              <w:ind w:left="372" w:right="161" w:hanging="200"/>
                              <w:rPr>
                                <w:sz w:val="20"/>
                              </w:rPr>
                            </w:pPr>
                            <w:r>
                              <w:rPr>
                                <w:sz w:val="20"/>
                              </w:rPr>
                              <w:t>直接材料</w:t>
                            </w:r>
                          </w:p>
                        </w:tc>
                        <w:tc>
                          <w:tcPr>
                            <w:tcW w:w="947" w:type="dxa"/>
                          </w:tcPr>
                          <w:p>
                            <w:pPr>
                              <w:pStyle w:val="14"/>
                              <w:spacing w:before="8" w:line="326" w:lineRule="exact"/>
                              <w:ind w:left="371" w:right="162" w:hanging="200"/>
                              <w:rPr>
                                <w:sz w:val="20"/>
                              </w:rPr>
                            </w:pPr>
                            <w:r>
                              <w:rPr>
                                <w:sz w:val="20"/>
                              </w:rPr>
                              <w:t>直接人工</w:t>
                            </w:r>
                          </w:p>
                        </w:tc>
                        <w:tc>
                          <w:tcPr>
                            <w:tcW w:w="947" w:type="dxa"/>
                          </w:tcPr>
                          <w:p>
                            <w:pPr>
                              <w:pStyle w:val="14"/>
                              <w:spacing w:before="8" w:line="326" w:lineRule="exact"/>
                              <w:ind w:left="372" w:right="161" w:hanging="200"/>
                              <w:rPr>
                                <w:sz w:val="20"/>
                              </w:rPr>
                            </w:pPr>
                            <w:r>
                              <w:rPr>
                                <w:sz w:val="20"/>
                              </w:rPr>
                              <w:t>制造费用</w:t>
                            </w:r>
                          </w:p>
                        </w:tc>
                        <w:tc>
                          <w:tcPr>
                            <w:tcW w:w="947" w:type="dxa"/>
                          </w:tcPr>
                          <w:p>
                            <w:pPr>
                              <w:pStyle w:val="14"/>
                              <w:spacing w:before="1"/>
                              <w:rPr>
                                <w:sz w:val="18"/>
                              </w:rPr>
                            </w:pPr>
                          </w:p>
                          <w:p>
                            <w:pPr>
                              <w:pStyle w:val="14"/>
                              <w:ind w:left="272"/>
                              <w:rPr>
                                <w:sz w:val="20"/>
                              </w:rPr>
                            </w:pPr>
                            <w:r>
                              <w:rPr>
                                <w:sz w:val="20"/>
                              </w:rPr>
                              <w:t>合计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spacing w:line="306" w:lineRule="exact"/>
                              <w:ind w:left="339" w:right="-288"/>
                              <w:rPr>
                                <w:sz w:val="44"/>
                              </w:rPr>
                            </w:pPr>
                            <w:r>
                              <w:rPr>
                                <w:color w:val="FFFF00"/>
                                <w:spacing w:val="-6"/>
                                <w:sz w:val="44"/>
                              </w:rPr>
                              <w:t>此页</w:t>
                            </w:r>
                          </w:p>
                        </w:tc>
                        <w:tc>
                          <w:tcPr>
                            <w:tcW w:w="947" w:type="dxa"/>
                          </w:tcPr>
                          <w:p>
                            <w:pPr>
                              <w:pStyle w:val="14"/>
                              <w:spacing w:line="306" w:lineRule="exact"/>
                              <w:ind w:left="273" w:right="-216"/>
                              <w:rPr>
                                <w:sz w:val="44"/>
                              </w:rPr>
                            </w:pPr>
                            <w:r>
                              <w:rPr>
                                <w:color w:val="FFFF00"/>
                                <w:spacing w:val="-9"/>
                                <w:sz w:val="44"/>
                              </w:rPr>
                              <w:t>空白</w:t>
                            </w: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spacing w:line="306" w:lineRule="exact"/>
                              <w:ind w:left="254" w:right="-202"/>
                              <w:rPr>
                                <w:sz w:val="44"/>
                              </w:rPr>
                            </w:pPr>
                            <w:r>
                              <w:rPr>
                                <w:color w:val="FFFF00"/>
                                <w:spacing w:val="-7"/>
                                <w:sz w:val="44"/>
                              </w:rPr>
                              <w:t>二狗</w:t>
                            </w:r>
                          </w:p>
                        </w:tc>
                        <w:tc>
                          <w:tcPr>
                            <w:tcW w:w="947"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rPr>
                                <w:rFonts w:ascii="Times New Roman"/>
                                <w:sz w:val="20"/>
                              </w:rPr>
                            </w:pPr>
                          </w:p>
                        </w:tc>
                      </w:tr>
                    </w:tbl>
                    <w:p>
                      <w:pPr>
                        <w:pStyle w:val="6"/>
                        <w:spacing w:before="0"/>
                        <w:ind w:left="0"/>
                      </w:pPr>
                    </w:p>
                  </w:txbxContent>
                </v:textbox>
              </v:shape>
            </w:pict>
          </mc:Fallback>
        </mc:AlternateContent>
      </w:r>
      <w:r>
        <w:rPr>
          <w:w w:val="95"/>
          <w:sz w:val="20"/>
        </w:rPr>
        <w:t>账簿要按照页次顺序</w:t>
      </w:r>
      <w:r>
        <w:rPr>
          <w:b/>
          <w:color w:val="00AFEF"/>
          <w:w w:val="95"/>
          <w:sz w:val="20"/>
          <w:u w:val="single" w:color="00AFEF"/>
        </w:rPr>
        <w:t>连续登记，不得跳行、隔页</w:t>
      </w:r>
      <w:r>
        <w:rPr>
          <w:w w:val="95"/>
          <w:sz w:val="20"/>
        </w:rPr>
        <w:t>，如果发生跳行隔页应在空行空页</w:t>
      </w:r>
      <w:r>
        <w:rPr>
          <w:b/>
          <w:color w:val="00AFEF"/>
          <w:w w:val="95"/>
          <w:sz w:val="20"/>
        </w:rPr>
        <w:t>划线注销</w:t>
      </w:r>
      <w:r>
        <w:rPr>
          <w:w w:val="95"/>
          <w:sz w:val="20"/>
        </w:rPr>
        <w:t>，或</w:t>
      </w:r>
      <w:r>
        <w:rPr>
          <w:b/>
          <w:color w:val="00AFEF"/>
          <w:w w:val="95"/>
          <w:sz w:val="20"/>
        </w:rPr>
        <w:t>注明</w:t>
      </w:r>
      <w:r>
        <w:rPr>
          <w:b/>
          <w:color w:val="00AFEF"/>
          <w:spacing w:val="2"/>
          <w:w w:val="99"/>
          <w:sz w:val="20"/>
          <w:u w:val="single" w:color="00AFEF"/>
        </w:rPr>
        <w:t>“此</w:t>
      </w:r>
      <w:r>
        <w:rPr>
          <w:b/>
          <w:color w:val="00AFEF"/>
          <w:spacing w:val="-21"/>
          <w:w w:val="99"/>
          <w:sz w:val="20"/>
          <w:u w:val="single" w:color="00AFEF"/>
        </w:rPr>
        <w:t>行空白”“此页空白”</w:t>
      </w:r>
      <w:r>
        <w:rPr>
          <w:w w:val="99"/>
          <w:sz w:val="20"/>
        </w:rPr>
        <w:t>，并由</w:t>
      </w:r>
      <w:r>
        <w:rPr>
          <w:b/>
          <w:color w:val="00AFEF"/>
          <w:spacing w:val="1"/>
          <w:w w:val="99"/>
          <w:sz w:val="20"/>
        </w:rPr>
        <w:t>记账人员</w:t>
      </w:r>
      <w:r>
        <w:rPr>
          <w:w w:val="99"/>
          <w:sz w:val="20"/>
        </w:rPr>
        <w:t>和会</w:t>
      </w:r>
      <w:r>
        <w:rPr>
          <w:b/>
          <w:color w:val="00AFEF"/>
          <w:w w:val="99"/>
          <w:sz w:val="20"/>
          <w:u w:val="single" w:color="00AFEF"/>
        </w:rPr>
        <w:t>计机构负责人</w:t>
      </w:r>
      <w:r>
        <w:rPr>
          <w:b/>
          <w:color w:val="00AFEF"/>
          <w:spacing w:val="2"/>
          <w:w w:val="99"/>
          <w:sz w:val="20"/>
          <w:u w:val="single" w:color="00AFEF"/>
        </w:rPr>
        <w:t>（</w:t>
      </w:r>
      <w:r>
        <w:rPr>
          <w:b/>
          <w:color w:val="00AFEF"/>
          <w:w w:val="99"/>
          <w:sz w:val="20"/>
          <w:u w:val="single" w:color="00AFEF"/>
        </w:rPr>
        <w:t>或会计主管人员</w:t>
      </w:r>
      <w:r>
        <w:rPr>
          <w:b/>
          <w:color w:val="00AFEF"/>
          <w:spacing w:val="2"/>
          <w:w w:val="99"/>
          <w:sz w:val="20"/>
          <w:u w:val="single" w:color="00AFEF"/>
        </w:rPr>
        <w:t>）</w:t>
      </w:r>
      <w:r>
        <w:rPr>
          <w:w w:val="99"/>
          <w:sz w:val="20"/>
        </w:rPr>
        <w:t>在更正处签章。</w:t>
      </w:r>
    </w:p>
    <w:p>
      <w:pPr>
        <w:pStyle w:val="6"/>
        <w:spacing w:before="0"/>
        <w:ind w:left="0"/>
      </w:pPr>
    </w:p>
    <w:p>
      <w:pPr>
        <w:pStyle w:val="6"/>
        <w:spacing w:before="0"/>
        <w:ind w:left="0"/>
      </w:pPr>
    </w:p>
    <w:p>
      <w:pPr>
        <w:pStyle w:val="6"/>
        <w:spacing w:before="0"/>
        <w:ind w:left="0"/>
      </w:pPr>
    </w:p>
    <w:p>
      <w:pPr>
        <w:pStyle w:val="6"/>
        <w:spacing w:before="5"/>
        <w:ind w:left="0"/>
        <w:rPr>
          <w:sz w:val="14"/>
        </w:rPr>
      </w:pPr>
      <w:r>
        <mc:AlternateContent>
          <mc:Choice Requires="wps">
            <w:drawing>
              <wp:anchor distT="0" distB="0" distL="0" distR="0" simplePos="0" relativeHeight="487630848" behindDoc="1" locked="0" layoutInCell="1" allowOverlap="1">
                <wp:simplePos x="0" y="0"/>
                <wp:positionH relativeFrom="page">
                  <wp:posOffset>1097280</wp:posOffset>
                </wp:positionH>
                <wp:positionV relativeFrom="paragraph">
                  <wp:posOffset>141605</wp:posOffset>
                </wp:positionV>
                <wp:extent cx="5375275" cy="717550"/>
                <wp:effectExtent l="0" t="0" r="15875" b="6350"/>
                <wp:wrapTopAndBottom/>
                <wp:docPr id="351" name="任意多边形 106"/>
                <wp:cNvGraphicFramePr/>
                <a:graphic xmlns:a="http://schemas.openxmlformats.org/drawingml/2006/main">
                  <a:graphicData uri="http://schemas.microsoft.com/office/word/2010/wordprocessingShape">
                    <wps:wsp>
                      <wps:cNvSpPr/>
                      <wps:spPr>
                        <a:xfrm>
                          <a:off x="0" y="0"/>
                          <a:ext cx="5375275" cy="717550"/>
                        </a:xfrm>
                        <a:custGeom>
                          <a:avLst/>
                          <a:gdLst/>
                          <a:ahLst/>
                          <a:cxnLst/>
                          <a:pathLst>
                            <a:path w="8465" h="1130">
                              <a:moveTo>
                                <a:pt x="8069" y="947"/>
                              </a:moveTo>
                              <a:lnTo>
                                <a:pt x="8068" y="936"/>
                              </a:lnTo>
                              <a:lnTo>
                                <a:pt x="8051" y="936"/>
                              </a:lnTo>
                              <a:lnTo>
                                <a:pt x="8038" y="936"/>
                              </a:lnTo>
                              <a:lnTo>
                                <a:pt x="6607" y="1086"/>
                              </a:lnTo>
                              <a:lnTo>
                                <a:pt x="6539" y="446"/>
                              </a:lnTo>
                              <a:lnTo>
                                <a:pt x="6539" y="445"/>
                              </a:lnTo>
                              <a:lnTo>
                                <a:pt x="6681" y="430"/>
                              </a:lnTo>
                              <a:lnTo>
                                <a:pt x="7970" y="294"/>
                              </a:lnTo>
                              <a:lnTo>
                                <a:pt x="8038" y="934"/>
                              </a:lnTo>
                              <a:lnTo>
                                <a:pt x="8053" y="934"/>
                              </a:lnTo>
                              <a:lnTo>
                                <a:pt x="8068" y="934"/>
                              </a:lnTo>
                              <a:lnTo>
                                <a:pt x="7999" y="279"/>
                              </a:lnTo>
                              <a:lnTo>
                                <a:pt x="7999" y="276"/>
                              </a:lnTo>
                              <a:lnTo>
                                <a:pt x="7998" y="273"/>
                              </a:lnTo>
                              <a:lnTo>
                                <a:pt x="7996" y="270"/>
                              </a:lnTo>
                              <a:lnTo>
                                <a:pt x="7994" y="267"/>
                              </a:lnTo>
                              <a:lnTo>
                                <a:pt x="7992" y="265"/>
                              </a:lnTo>
                              <a:lnTo>
                                <a:pt x="7989" y="264"/>
                              </a:lnTo>
                              <a:lnTo>
                                <a:pt x="7985" y="263"/>
                              </a:lnTo>
                              <a:lnTo>
                                <a:pt x="7982" y="263"/>
                              </a:lnTo>
                              <a:lnTo>
                                <a:pt x="6521" y="417"/>
                              </a:lnTo>
                              <a:lnTo>
                                <a:pt x="6518" y="417"/>
                              </a:lnTo>
                              <a:lnTo>
                                <a:pt x="6515" y="419"/>
                              </a:lnTo>
                              <a:lnTo>
                                <a:pt x="6512" y="421"/>
                              </a:lnTo>
                              <a:lnTo>
                                <a:pt x="6510" y="423"/>
                              </a:lnTo>
                              <a:lnTo>
                                <a:pt x="6509" y="426"/>
                              </a:lnTo>
                              <a:lnTo>
                                <a:pt x="6508" y="430"/>
                              </a:lnTo>
                              <a:lnTo>
                                <a:pt x="6508" y="433"/>
                              </a:lnTo>
                              <a:lnTo>
                                <a:pt x="6578" y="1104"/>
                              </a:lnTo>
                              <a:lnTo>
                                <a:pt x="6579" y="1108"/>
                              </a:lnTo>
                              <a:lnTo>
                                <a:pt x="6581" y="1111"/>
                              </a:lnTo>
                              <a:lnTo>
                                <a:pt x="6583" y="1113"/>
                              </a:lnTo>
                              <a:lnTo>
                                <a:pt x="6585" y="1115"/>
                              </a:lnTo>
                              <a:lnTo>
                                <a:pt x="6588" y="1117"/>
                              </a:lnTo>
                              <a:lnTo>
                                <a:pt x="6592" y="1118"/>
                              </a:lnTo>
                              <a:lnTo>
                                <a:pt x="6595" y="1118"/>
                              </a:lnTo>
                              <a:lnTo>
                                <a:pt x="6752" y="1101"/>
                              </a:lnTo>
                              <a:lnTo>
                                <a:pt x="8056" y="964"/>
                              </a:lnTo>
                              <a:lnTo>
                                <a:pt x="8059" y="963"/>
                              </a:lnTo>
                              <a:lnTo>
                                <a:pt x="8062" y="962"/>
                              </a:lnTo>
                              <a:lnTo>
                                <a:pt x="8065" y="960"/>
                              </a:lnTo>
                              <a:lnTo>
                                <a:pt x="8067" y="957"/>
                              </a:lnTo>
                              <a:lnTo>
                                <a:pt x="8068" y="954"/>
                              </a:lnTo>
                              <a:lnTo>
                                <a:pt x="8069" y="951"/>
                              </a:lnTo>
                              <a:lnTo>
                                <a:pt x="8069" y="951"/>
                              </a:lnTo>
                              <a:lnTo>
                                <a:pt x="8069" y="947"/>
                              </a:lnTo>
                              <a:close/>
                              <a:moveTo>
                                <a:pt x="8465" y="45"/>
                              </a:moveTo>
                              <a:lnTo>
                                <a:pt x="8459" y="0"/>
                              </a:lnTo>
                              <a:lnTo>
                                <a:pt x="5167" y="423"/>
                              </a:lnTo>
                              <a:lnTo>
                                <a:pt x="5167" y="148"/>
                              </a:lnTo>
                              <a:lnTo>
                                <a:pt x="5167" y="133"/>
                              </a:lnTo>
                              <a:lnTo>
                                <a:pt x="5167" y="129"/>
                              </a:lnTo>
                              <a:lnTo>
                                <a:pt x="5166" y="126"/>
                              </a:lnTo>
                              <a:lnTo>
                                <a:pt x="5164" y="123"/>
                              </a:lnTo>
                              <a:lnTo>
                                <a:pt x="5161" y="121"/>
                              </a:lnTo>
                              <a:lnTo>
                                <a:pt x="5159" y="119"/>
                              </a:lnTo>
                              <a:lnTo>
                                <a:pt x="5155" y="118"/>
                              </a:lnTo>
                              <a:lnTo>
                                <a:pt x="5152" y="118"/>
                              </a:lnTo>
                              <a:lnTo>
                                <a:pt x="5137" y="118"/>
                              </a:lnTo>
                              <a:lnTo>
                                <a:pt x="5137" y="148"/>
                              </a:lnTo>
                              <a:lnTo>
                                <a:pt x="5137" y="427"/>
                              </a:lnTo>
                              <a:lnTo>
                                <a:pt x="5137" y="472"/>
                              </a:lnTo>
                              <a:lnTo>
                                <a:pt x="5137" y="797"/>
                              </a:lnTo>
                              <a:lnTo>
                                <a:pt x="2913" y="797"/>
                              </a:lnTo>
                              <a:lnTo>
                                <a:pt x="2913" y="757"/>
                              </a:lnTo>
                              <a:lnTo>
                                <a:pt x="5137" y="472"/>
                              </a:lnTo>
                              <a:lnTo>
                                <a:pt x="5137" y="427"/>
                              </a:lnTo>
                              <a:lnTo>
                                <a:pt x="2913" y="712"/>
                              </a:lnTo>
                              <a:lnTo>
                                <a:pt x="2913" y="148"/>
                              </a:lnTo>
                              <a:lnTo>
                                <a:pt x="5137" y="148"/>
                              </a:lnTo>
                              <a:lnTo>
                                <a:pt x="5137" y="118"/>
                              </a:lnTo>
                              <a:lnTo>
                                <a:pt x="2898" y="118"/>
                              </a:lnTo>
                              <a:lnTo>
                                <a:pt x="2895" y="118"/>
                              </a:lnTo>
                              <a:lnTo>
                                <a:pt x="2892" y="119"/>
                              </a:lnTo>
                              <a:lnTo>
                                <a:pt x="2889" y="121"/>
                              </a:lnTo>
                              <a:lnTo>
                                <a:pt x="2886" y="123"/>
                              </a:lnTo>
                              <a:lnTo>
                                <a:pt x="2884" y="126"/>
                              </a:lnTo>
                              <a:lnTo>
                                <a:pt x="2883" y="129"/>
                              </a:lnTo>
                              <a:lnTo>
                                <a:pt x="2883" y="133"/>
                              </a:lnTo>
                              <a:lnTo>
                                <a:pt x="2883" y="716"/>
                              </a:lnTo>
                              <a:lnTo>
                                <a:pt x="0" y="1085"/>
                              </a:lnTo>
                              <a:lnTo>
                                <a:pt x="6" y="1130"/>
                              </a:lnTo>
                              <a:lnTo>
                                <a:pt x="2883" y="761"/>
                              </a:lnTo>
                              <a:lnTo>
                                <a:pt x="2883" y="812"/>
                              </a:lnTo>
                              <a:lnTo>
                                <a:pt x="2883" y="815"/>
                              </a:lnTo>
                              <a:lnTo>
                                <a:pt x="2884" y="818"/>
                              </a:lnTo>
                              <a:lnTo>
                                <a:pt x="2886" y="821"/>
                              </a:lnTo>
                              <a:lnTo>
                                <a:pt x="2889" y="823"/>
                              </a:lnTo>
                              <a:lnTo>
                                <a:pt x="2892" y="825"/>
                              </a:lnTo>
                              <a:lnTo>
                                <a:pt x="2895" y="826"/>
                              </a:lnTo>
                              <a:lnTo>
                                <a:pt x="2898" y="827"/>
                              </a:lnTo>
                              <a:lnTo>
                                <a:pt x="5152" y="827"/>
                              </a:lnTo>
                              <a:lnTo>
                                <a:pt x="5155" y="826"/>
                              </a:lnTo>
                              <a:lnTo>
                                <a:pt x="5159" y="825"/>
                              </a:lnTo>
                              <a:lnTo>
                                <a:pt x="5161" y="823"/>
                              </a:lnTo>
                              <a:lnTo>
                                <a:pt x="5164" y="821"/>
                              </a:lnTo>
                              <a:lnTo>
                                <a:pt x="5166" y="818"/>
                              </a:lnTo>
                              <a:lnTo>
                                <a:pt x="5167" y="815"/>
                              </a:lnTo>
                              <a:lnTo>
                                <a:pt x="5167" y="812"/>
                              </a:lnTo>
                              <a:lnTo>
                                <a:pt x="5167" y="797"/>
                              </a:lnTo>
                              <a:lnTo>
                                <a:pt x="5167" y="468"/>
                              </a:lnTo>
                              <a:lnTo>
                                <a:pt x="8465" y="45"/>
                              </a:lnTo>
                              <a:close/>
                            </a:path>
                          </a:pathLst>
                        </a:custGeom>
                        <a:solidFill>
                          <a:srgbClr val="FFFF00"/>
                        </a:solidFill>
                        <a:ln>
                          <a:noFill/>
                        </a:ln>
                      </wps:spPr>
                      <wps:bodyPr upright="1"/>
                    </wps:wsp>
                  </a:graphicData>
                </a:graphic>
              </wp:anchor>
            </w:drawing>
          </mc:Choice>
          <mc:Fallback>
            <w:pict>
              <v:shape id="任意多边形 106" o:spid="_x0000_s1026" o:spt="100" style="position:absolute;left:0pt;margin-left:86.4pt;margin-top:11.15pt;height:56.5pt;width:423.25pt;mso-position-horizontal-relative:page;mso-wrap-distance-bottom:0pt;mso-wrap-distance-top:0pt;z-index:-15685632;mso-width-relative:page;mso-height-relative:page;" fillcolor="#FFFF00" filled="t" stroked="f" coordsize="8465,1130" o:gfxdata="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BpldIzYAAAACwEAAA8AAAAAAAAAAQAg&#10;AAAAIgAAAGRycy9kb3ducmV2LnhtbFBLAQIUABQAAAAIAIdO4kCfgmtPgQQAAAgUAAAOAAAAAAAA&#10;AAEAIAAAACcBAABkcnMvZTJvRG9jLnhtbFBLBQYAAAAABgAGAFkBAAAaCAAAAAA=&#10;" path="m8069,947l8068,936,8051,936,8038,936,6607,1086,6539,446,6539,445,6681,430,7970,294,8038,934,8053,934,8068,934,7999,279,7999,276,7998,273,7996,270,7994,267,7992,265,7989,264,7985,263,7982,263,6521,417,6518,417,6515,419,6512,421,6510,423,6509,426,6508,430,6508,433,6578,1104,6579,1108,6581,1111,6583,1113,6585,1115,6588,1117,6592,1118,6595,1118,6752,1101,8056,964,8059,963,8062,962,8065,960,8067,957,8068,954,8069,951,8069,951,8069,947xm8465,45l8459,0,5167,423,5167,148,5167,133,5167,129,5166,126,5164,123,5161,121,5159,119,5155,118,5152,118,5137,118,5137,148,5137,427,5137,472,5137,797,2913,797,2913,757,5137,472,5137,427,2913,712,2913,148,5137,148,5137,118,2898,118,2895,118,2892,119,2889,121,2886,123,2884,126,2883,129,2883,133,2883,716,0,1085,6,1130,2883,761,2883,812,2883,815,2884,818,2886,821,2889,823,2892,825,2895,826,2898,827,5152,827,5155,826,5159,825,5161,823,5164,821,5166,818,5167,815,5167,812,5167,797,5167,468,8465,45xe">
                <v:fill on="t" focussize="0,0"/>
                <v:stroke on="f"/>
                <v:imagedata o:title=""/>
                <o:lock v:ext="edit" aspectratio="f"/>
                <w10:wrap type="topAndBottom"/>
              </v:shape>
            </w:pict>
          </mc:Fallback>
        </mc:AlternateContent>
      </w:r>
    </w:p>
    <w:p>
      <w:pPr>
        <w:pStyle w:val="6"/>
        <w:spacing w:before="11"/>
        <w:ind w:left="0"/>
        <w:rPr>
          <w:sz w:val="15"/>
        </w:rPr>
      </w:pPr>
    </w:p>
    <w:p>
      <w:pPr>
        <w:pStyle w:val="13"/>
        <w:numPr>
          <w:ilvl w:val="0"/>
          <w:numId w:val="34"/>
        </w:numPr>
        <w:tabs>
          <w:tab w:val="left" w:pos="1224"/>
        </w:tabs>
        <w:spacing w:before="0" w:after="0" w:line="304" w:lineRule="auto"/>
        <w:ind w:left="322" w:right="761" w:firstLine="400"/>
        <w:jc w:val="left"/>
        <w:rPr>
          <w:b/>
          <w:sz w:val="20"/>
        </w:rPr>
      </w:pPr>
      <w:r>
        <w:rPr>
          <w:w w:val="95"/>
          <w:sz w:val="20"/>
        </w:rPr>
        <w:t>凡需要结出余额的账户，结出余额后，应在“借或贷”栏内写明“借”或“贷”字样，没有余额的账</w:t>
      </w:r>
      <w:r>
        <w:rPr>
          <w:spacing w:val="1"/>
          <w:w w:val="99"/>
          <w:sz w:val="20"/>
        </w:rPr>
        <w:t>户，</w:t>
      </w:r>
      <w:r>
        <w:rPr>
          <w:b/>
          <w:color w:val="00AFEF"/>
          <w:spacing w:val="-8"/>
          <w:w w:val="99"/>
          <w:sz w:val="20"/>
          <w:u w:val="single" w:color="00AFEF"/>
        </w:rPr>
        <w:t>应在“借或贷”栏内写“平”，并在“余额”栏内用“</w:t>
      </w:r>
      <w:r>
        <w:rPr>
          <w:b/>
          <w:color w:val="00AFEF"/>
          <w:spacing w:val="1"/>
          <w:w w:val="98"/>
          <w:sz w:val="20"/>
          <w:u w:val="single" w:color="00AFEF"/>
        </w:rPr>
        <w:t>0</w:t>
      </w:r>
      <w:r>
        <w:rPr>
          <w:b/>
          <w:color w:val="00AFEF"/>
          <w:w w:val="99"/>
          <w:sz w:val="20"/>
          <w:u w:val="single" w:color="00AFEF"/>
        </w:rPr>
        <w:t>”表示。</w:t>
      </w:r>
    </w:p>
    <w:p>
      <w:pPr>
        <w:pStyle w:val="13"/>
        <w:numPr>
          <w:ilvl w:val="0"/>
          <w:numId w:val="34"/>
        </w:numPr>
        <w:tabs>
          <w:tab w:val="left" w:pos="1224"/>
        </w:tabs>
        <w:spacing w:before="2" w:after="0" w:line="304" w:lineRule="auto"/>
        <w:ind w:left="322" w:right="761" w:firstLine="400"/>
        <w:jc w:val="left"/>
        <w:rPr>
          <w:sz w:val="20"/>
        </w:rPr>
      </w:pPr>
      <w:r>
        <w:rPr>
          <w:w w:val="95"/>
          <w:sz w:val="20"/>
        </w:rPr>
        <w:t xml:space="preserve">每一账页登记完毕结转下页时，应当结出本页合计数及余额，写在本页最后一行和下页第一行有关栏   </w:t>
      </w:r>
      <w:r>
        <w:rPr>
          <w:sz w:val="20"/>
        </w:rPr>
        <w:t>内，并在摘要栏内</w:t>
      </w:r>
      <w:r>
        <w:rPr>
          <w:b/>
          <w:color w:val="00AFEF"/>
          <w:sz w:val="20"/>
          <w:u w:val="single" w:color="00AFEF"/>
        </w:rPr>
        <w:t>注明“过次页”和“承前页”字样</w:t>
      </w:r>
      <w:r>
        <w:rPr>
          <w:sz w:val="20"/>
        </w:rPr>
        <w:t>。</w:t>
      </w:r>
    </w:p>
    <w:p>
      <w:pPr>
        <w:pStyle w:val="13"/>
        <w:numPr>
          <w:ilvl w:val="0"/>
          <w:numId w:val="34"/>
        </w:numPr>
        <w:tabs>
          <w:tab w:val="left" w:pos="1224"/>
        </w:tabs>
        <w:spacing w:before="0" w:after="0" w:line="256" w:lineRule="exact"/>
        <w:ind w:left="1223" w:right="0" w:hanging="501"/>
        <w:jc w:val="left"/>
        <w:rPr>
          <w:sz w:val="20"/>
        </w:rPr>
      </w:pPr>
      <w:r>
        <w:rPr>
          <w:sz w:val="20"/>
        </w:rPr>
        <w:t>账簿记录发生错误，</w:t>
      </w:r>
      <w:r>
        <w:rPr>
          <w:b/>
          <w:color w:val="00AFEF"/>
          <w:sz w:val="20"/>
          <w:u w:val="single" w:color="00AFEF"/>
        </w:rPr>
        <w:t>不准涂改、挖补、刮擦或者用药水消除字迹</w:t>
      </w:r>
      <w:r>
        <w:rPr>
          <w:sz w:val="20"/>
        </w:rPr>
        <w:t>，必须采用规定的方法更正。</w:t>
      </w:r>
    </w:p>
    <w:p>
      <w:pPr>
        <w:pStyle w:val="5"/>
      </w:pPr>
      <w:r>
        <w:t>（三）会计账簿的格式与登记方法</w:t>
      </w:r>
    </w:p>
    <w:p>
      <w:pPr>
        <w:pStyle w:val="13"/>
        <w:numPr>
          <w:ilvl w:val="0"/>
          <w:numId w:val="35"/>
        </w:numPr>
        <w:tabs>
          <w:tab w:val="left" w:pos="925"/>
        </w:tabs>
        <w:spacing w:before="70" w:after="0" w:line="304" w:lineRule="auto"/>
        <w:ind w:left="322" w:right="744" w:firstLine="400"/>
        <w:jc w:val="left"/>
        <w:rPr>
          <w:sz w:val="18"/>
        </w:rPr>
      </w:pPr>
      <w:r>
        <w:rPr>
          <w:b/>
          <w:w w:val="95"/>
          <w:sz w:val="20"/>
        </w:rPr>
        <w:t>日记账的格式与登记方法:</w:t>
      </w:r>
      <w:r>
        <w:rPr>
          <w:w w:val="95"/>
          <w:sz w:val="20"/>
        </w:rPr>
        <w:t>日记账按其所核算和监督经济业务的范围，可分为</w:t>
      </w:r>
      <w:r>
        <w:rPr>
          <w:b/>
          <w:color w:val="00AFEF"/>
          <w:w w:val="95"/>
          <w:sz w:val="20"/>
          <w:u w:val="single" w:color="00AFEF"/>
        </w:rPr>
        <w:t>特种日记账和普通日记账</w:t>
      </w:r>
      <w:r>
        <w:rPr>
          <w:w w:val="95"/>
          <w:sz w:val="20"/>
        </w:rPr>
        <w:t xml:space="preserve">。   </w:t>
      </w:r>
      <w:r>
        <w:rPr>
          <w:sz w:val="20"/>
        </w:rPr>
        <w:t>在我国，</w:t>
      </w:r>
      <w:r>
        <w:rPr>
          <w:color w:val="FF0000"/>
          <w:sz w:val="20"/>
          <w:u w:val="double" w:color="FF0000"/>
        </w:rPr>
        <w:t>大多数企业一般只设库存现金日记账和银行存款日记账</w:t>
      </w:r>
      <w:r>
        <w:rPr>
          <w:sz w:val="20"/>
        </w:rPr>
        <w:t>。</w:t>
      </w:r>
    </w:p>
    <w:p>
      <w:pPr>
        <w:pStyle w:val="13"/>
        <w:numPr>
          <w:ilvl w:val="0"/>
          <w:numId w:val="36"/>
        </w:numPr>
        <w:tabs>
          <w:tab w:val="left" w:pos="1224"/>
        </w:tabs>
        <w:spacing w:before="2" w:after="0" w:line="304" w:lineRule="auto"/>
        <w:ind w:left="322" w:right="662" w:firstLine="400"/>
        <w:jc w:val="both"/>
        <w:rPr>
          <w:sz w:val="20"/>
        </w:rPr>
      </w:pPr>
      <w:r>
        <w:rPr>
          <w:b/>
          <w:sz w:val="20"/>
        </w:rPr>
        <w:t>库存现金日记账的格式与登记方法:</w:t>
      </w:r>
      <w:r>
        <w:rPr>
          <w:spacing w:val="-2"/>
          <w:sz w:val="20"/>
        </w:rPr>
        <w:t>库存现金日记账是用来核算和监督库存现金日常收、付和结存情况</w:t>
      </w:r>
      <w:r>
        <w:rPr>
          <w:spacing w:val="-5"/>
          <w:sz w:val="20"/>
        </w:rPr>
        <w:t>的序时账簿。库存现金日记账的格式主要有</w:t>
      </w:r>
      <w:r>
        <w:rPr>
          <w:color w:val="FF0000"/>
          <w:sz w:val="20"/>
          <w:u w:val="double" w:color="FF0000"/>
        </w:rPr>
        <w:t>三栏式</w:t>
      </w:r>
      <w:r>
        <w:rPr>
          <w:spacing w:val="-5"/>
          <w:sz w:val="20"/>
        </w:rPr>
        <w:t>，库存现金日记账</w:t>
      </w:r>
      <w:r>
        <w:rPr>
          <w:color w:val="FF0000"/>
          <w:sz w:val="20"/>
          <w:u w:val="double" w:color="FF0000"/>
        </w:rPr>
        <w:t>必须使用订本账</w:t>
      </w:r>
      <w:r>
        <w:rPr>
          <w:spacing w:val="-5"/>
          <w:sz w:val="20"/>
        </w:rPr>
        <w:t>。三栏式库存现金日记账是</w:t>
      </w:r>
      <w:r>
        <w:rPr>
          <w:spacing w:val="-5"/>
          <w:w w:val="95"/>
          <w:sz w:val="20"/>
        </w:rPr>
        <w:t>用来登记库存现金的增减变动及其结果的日记账。设借方、贷方和余额三个金额栏目，一般将其分别称为</w:t>
      </w:r>
      <w:r>
        <w:rPr>
          <w:color w:val="FF0000"/>
          <w:w w:val="95"/>
          <w:sz w:val="20"/>
          <w:u w:val="double" w:color="FF0000"/>
        </w:rPr>
        <w:t>收入、</w:t>
      </w:r>
      <w:r>
        <w:rPr>
          <w:color w:val="FF0000"/>
          <w:spacing w:val="-199"/>
          <w:w w:val="95"/>
          <w:sz w:val="20"/>
          <w:u w:val="double" w:color="FF0000"/>
        </w:rPr>
        <w:t>支</w:t>
      </w:r>
      <w:r>
        <w:rPr>
          <w:color w:val="FF0000"/>
          <w:spacing w:val="208"/>
          <w:w w:val="95"/>
          <w:sz w:val="20"/>
          <w:u w:val="double" w:color="FF0000"/>
        </w:rPr>
        <w:t xml:space="preserve"> </w:t>
      </w:r>
      <w:r>
        <w:rPr>
          <w:color w:val="FF0000"/>
          <w:sz w:val="20"/>
          <w:u w:val="double" w:color="FF0000"/>
        </w:rPr>
        <w:t>出和结余</w:t>
      </w:r>
      <w:r>
        <w:rPr>
          <w:spacing w:val="-5"/>
          <w:sz w:val="20"/>
        </w:rPr>
        <w:t>三个基本栏目。三栏式库存现金日记账是由出纳人员根据</w:t>
      </w:r>
      <w:r>
        <w:rPr>
          <w:color w:val="FF0000"/>
          <w:spacing w:val="-4"/>
          <w:sz w:val="20"/>
          <w:u w:val="double" w:color="FF0000"/>
        </w:rPr>
        <w:t>库存现金收款凭证、库存现金付款凭证以及银行存款的付款凭证</w:t>
      </w:r>
      <w:r>
        <w:rPr>
          <w:spacing w:val="-4"/>
          <w:sz w:val="20"/>
        </w:rPr>
        <w:t>，按照库存现金收、付款业务和银行存款付款业务发生时间的先后顺序逐日逐笔登记。</w:t>
      </w:r>
    </w:p>
    <w:p>
      <w:pPr>
        <w:pStyle w:val="6"/>
        <w:spacing w:before="3"/>
      </w:pPr>
      <w:r>
        <w:t>每日终了，应分别计算库存现金收入和付出的合计数，并结出余额，同时将余额与</w:t>
      </w:r>
      <w:r>
        <w:rPr>
          <w:color w:val="FF0000"/>
          <w:u w:val="double" w:color="FF0000"/>
        </w:rPr>
        <w:t>出纳</w:t>
      </w:r>
      <w:r>
        <w:t>人员的库存现金核对。</w:t>
      </w:r>
    </w:p>
    <w:p>
      <w:pPr>
        <w:pStyle w:val="6"/>
        <w:ind w:left="0" w:right="397"/>
        <w:jc w:val="center"/>
      </w:pPr>
      <w:r>
        <w:t>三栏式库存现金日记账</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6"/>
        <w:gridCol w:w="947"/>
        <w:gridCol w:w="844"/>
        <w:gridCol w:w="832"/>
        <w:gridCol w:w="1023"/>
        <w:gridCol w:w="1241"/>
        <w:gridCol w:w="795"/>
        <w:gridCol w:w="947"/>
        <w:gridCol w:w="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93" w:type="dxa"/>
            <w:gridSpan w:val="2"/>
          </w:tcPr>
          <w:p>
            <w:pPr>
              <w:pStyle w:val="14"/>
              <w:spacing w:before="69" w:line="236" w:lineRule="exact"/>
              <w:ind w:left="621"/>
              <w:rPr>
                <w:sz w:val="20"/>
              </w:rPr>
            </w:pPr>
            <w:r>
              <w:rPr>
                <w:sz w:val="20"/>
              </w:rPr>
              <w:t>2019 年</w:t>
            </w:r>
          </w:p>
        </w:tc>
        <w:tc>
          <w:tcPr>
            <w:tcW w:w="1676" w:type="dxa"/>
            <w:gridSpan w:val="2"/>
          </w:tcPr>
          <w:p>
            <w:pPr>
              <w:pStyle w:val="14"/>
              <w:spacing w:before="69" w:line="236" w:lineRule="exact"/>
              <w:ind w:left="617" w:right="608"/>
              <w:jc w:val="center"/>
              <w:rPr>
                <w:sz w:val="20"/>
              </w:rPr>
            </w:pPr>
            <w:r>
              <w:rPr>
                <w:sz w:val="20"/>
              </w:rPr>
              <w:t>凭证</w:t>
            </w:r>
          </w:p>
        </w:tc>
        <w:tc>
          <w:tcPr>
            <w:tcW w:w="1023" w:type="dxa"/>
            <w:vMerge w:val="restart"/>
          </w:tcPr>
          <w:p>
            <w:pPr>
              <w:pStyle w:val="14"/>
              <w:spacing w:before="7"/>
              <w:rPr>
                <w:sz w:val="18"/>
              </w:rPr>
            </w:pPr>
          </w:p>
          <w:p>
            <w:pPr>
              <w:pStyle w:val="14"/>
              <w:ind w:left="311"/>
              <w:rPr>
                <w:sz w:val="20"/>
              </w:rPr>
            </w:pPr>
            <w:r>
              <w:rPr>
                <w:sz w:val="20"/>
              </w:rPr>
              <w:t>摘要</w:t>
            </w:r>
          </w:p>
        </w:tc>
        <w:tc>
          <w:tcPr>
            <w:tcW w:w="1241" w:type="dxa"/>
            <w:vMerge w:val="restart"/>
          </w:tcPr>
          <w:p>
            <w:pPr>
              <w:pStyle w:val="14"/>
              <w:spacing w:before="7"/>
              <w:rPr>
                <w:sz w:val="18"/>
              </w:rPr>
            </w:pPr>
          </w:p>
          <w:p>
            <w:pPr>
              <w:pStyle w:val="14"/>
              <w:ind w:left="219"/>
              <w:rPr>
                <w:sz w:val="20"/>
              </w:rPr>
            </w:pPr>
            <w:r>
              <w:rPr>
                <w:sz w:val="20"/>
              </w:rPr>
              <w:t>对方科目</w:t>
            </w:r>
          </w:p>
        </w:tc>
        <w:tc>
          <w:tcPr>
            <w:tcW w:w="795" w:type="dxa"/>
            <w:vMerge w:val="restart"/>
          </w:tcPr>
          <w:p>
            <w:pPr>
              <w:pStyle w:val="14"/>
              <w:spacing w:before="7"/>
              <w:rPr>
                <w:sz w:val="18"/>
              </w:rPr>
            </w:pPr>
          </w:p>
          <w:p>
            <w:pPr>
              <w:pStyle w:val="14"/>
              <w:ind w:left="195"/>
              <w:rPr>
                <w:sz w:val="20"/>
              </w:rPr>
            </w:pPr>
            <w:r>
              <w:rPr>
                <w:sz w:val="20"/>
              </w:rPr>
              <w:t>收入</w:t>
            </w:r>
          </w:p>
        </w:tc>
        <w:tc>
          <w:tcPr>
            <w:tcW w:w="947" w:type="dxa"/>
            <w:vMerge w:val="restart"/>
          </w:tcPr>
          <w:p>
            <w:pPr>
              <w:pStyle w:val="14"/>
              <w:spacing w:before="7"/>
              <w:rPr>
                <w:sz w:val="18"/>
              </w:rPr>
            </w:pPr>
          </w:p>
          <w:p>
            <w:pPr>
              <w:pStyle w:val="14"/>
              <w:ind w:left="271"/>
              <w:rPr>
                <w:sz w:val="20"/>
              </w:rPr>
            </w:pPr>
            <w:r>
              <w:rPr>
                <w:sz w:val="20"/>
              </w:rPr>
              <w:t>支出</w:t>
            </w:r>
          </w:p>
        </w:tc>
        <w:tc>
          <w:tcPr>
            <w:tcW w:w="947" w:type="dxa"/>
            <w:vMerge w:val="restart"/>
          </w:tcPr>
          <w:p>
            <w:pPr>
              <w:pStyle w:val="14"/>
              <w:spacing w:before="7"/>
              <w:rPr>
                <w:sz w:val="18"/>
              </w:rPr>
            </w:pPr>
          </w:p>
          <w:p>
            <w:pPr>
              <w:pStyle w:val="14"/>
              <w:ind w:left="272"/>
              <w:rPr>
                <w:sz w:val="20"/>
              </w:rPr>
            </w:pPr>
            <w:r>
              <w:rPr>
                <w:sz w:val="20"/>
              </w:rPr>
              <w:t>结余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spacing w:before="70" w:line="236" w:lineRule="exact"/>
              <w:ind w:left="6"/>
              <w:jc w:val="center"/>
              <w:rPr>
                <w:sz w:val="20"/>
              </w:rPr>
            </w:pPr>
            <w:r>
              <w:rPr>
                <w:w w:val="99"/>
                <w:sz w:val="20"/>
              </w:rPr>
              <w:t>月</w:t>
            </w:r>
          </w:p>
        </w:tc>
        <w:tc>
          <w:tcPr>
            <w:tcW w:w="947" w:type="dxa"/>
          </w:tcPr>
          <w:p>
            <w:pPr>
              <w:pStyle w:val="14"/>
              <w:spacing w:before="70" w:line="236" w:lineRule="exact"/>
              <w:ind w:left="9"/>
              <w:jc w:val="center"/>
              <w:rPr>
                <w:sz w:val="20"/>
              </w:rPr>
            </w:pPr>
            <w:r>
              <w:rPr>
                <w:w w:val="99"/>
                <w:sz w:val="20"/>
              </w:rPr>
              <w:t>日</w:t>
            </w:r>
          </w:p>
        </w:tc>
        <w:tc>
          <w:tcPr>
            <w:tcW w:w="844" w:type="dxa"/>
          </w:tcPr>
          <w:p>
            <w:pPr>
              <w:pStyle w:val="14"/>
              <w:spacing w:before="70" w:line="236" w:lineRule="exact"/>
              <w:ind w:right="212"/>
              <w:jc w:val="right"/>
              <w:rPr>
                <w:sz w:val="20"/>
              </w:rPr>
            </w:pPr>
            <w:r>
              <w:rPr>
                <w:w w:val="95"/>
                <w:sz w:val="20"/>
              </w:rPr>
              <w:t>种类</w:t>
            </w:r>
          </w:p>
        </w:tc>
        <w:tc>
          <w:tcPr>
            <w:tcW w:w="832" w:type="dxa"/>
          </w:tcPr>
          <w:p>
            <w:pPr>
              <w:pStyle w:val="14"/>
              <w:spacing w:before="70" w:line="236" w:lineRule="exact"/>
              <w:ind w:left="193" w:right="188"/>
              <w:jc w:val="center"/>
              <w:rPr>
                <w:sz w:val="20"/>
              </w:rPr>
            </w:pPr>
            <w:r>
              <w:rPr>
                <w:sz w:val="20"/>
              </w:rPr>
              <w:t>号数</w:t>
            </w:r>
          </w:p>
        </w:tc>
        <w:tc>
          <w:tcPr>
            <w:tcW w:w="1023" w:type="dxa"/>
            <w:vMerge w:val="continue"/>
            <w:tcBorders>
              <w:top w:val="nil"/>
            </w:tcBorders>
          </w:tcPr>
          <w:p>
            <w:pPr>
              <w:rPr>
                <w:sz w:val="2"/>
                <w:szCs w:val="2"/>
              </w:rPr>
            </w:pPr>
          </w:p>
        </w:tc>
        <w:tc>
          <w:tcPr>
            <w:tcW w:w="1241" w:type="dxa"/>
            <w:vMerge w:val="continue"/>
            <w:tcBorders>
              <w:top w:val="nil"/>
            </w:tcBorders>
          </w:tcPr>
          <w:p>
            <w:pPr>
              <w:rPr>
                <w:sz w:val="2"/>
                <w:szCs w:val="2"/>
              </w:rPr>
            </w:pPr>
          </w:p>
        </w:tc>
        <w:tc>
          <w:tcPr>
            <w:tcW w:w="795" w:type="dxa"/>
            <w:vMerge w:val="continue"/>
            <w:tcBorders>
              <w:top w:val="nil"/>
            </w:tcBorders>
          </w:tcPr>
          <w:p>
            <w:pPr>
              <w:rPr>
                <w:sz w:val="2"/>
                <w:szCs w:val="2"/>
              </w:rPr>
            </w:pPr>
          </w:p>
        </w:tc>
        <w:tc>
          <w:tcPr>
            <w:tcW w:w="947" w:type="dxa"/>
            <w:vMerge w:val="continue"/>
            <w:tcBorders>
              <w:top w:val="nil"/>
            </w:tcBorders>
          </w:tcPr>
          <w:p>
            <w:pPr>
              <w:rPr>
                <w:sz w:val="2"/>
                <w:szCs w:val="2"/>
              </w:rPr>
            </w:pPr>
          </w:p>
        </w:tc>
        <w:tc>
          <w:tcPr>
            <w:tcW w:w="947"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spacing w:before="69" w:line="236" w:lineRule="exact"/>
              <w:ind w:left="7"/>
              <w:jc w:val="center"/>
              <w:rPr>
                <w:sz w:val="20"/>
              </w:rPr>
            </w:pPr>
            <w:r>
              <w:rPr>
                <w:w w:val="99"/>
                <w:sz w:val="20"/>
              </w:rPr>
              <w:t>1</w:t>
            </w:r>
          </w:p>
        </w:tc>
        <w:tc>
          <w:tcPr>
            <w:tcW w:w="947" w:type="dxa"/>
          </w:tcPr>
          <w:p>
            <w:pPr>
              <w:pStyle w:val="14"/>
              <w:spacing w:before="69" w:line="236" w:lineRule="exact"/>
              <w:ind w:left="6"/>
              <w:jc w:val="center"/>
              <w:rPr>
                <w:sz w:val="20"/>
              </w:rPr>
            </w:pPr>
            <w:r>
              <w:rPr>
                <w:w w:val="99"/>
                <w:sz w:val="20"/>
              </w:rPr>
              <w:t>1</w:t>
            </w:r>
          </w:p>
        </w:tc>
        <w:tc>
          <w:tcPr>
            <w:tcW w:w="844" w:type="dxa"/>
          </w:tcPr>
          <w:p>
            <w:pPr>
              <w:pStyle w:val="14"/>
              <w:rPr>
                <w:rFonts w:ascii="Times New Roman"/>
                <w:sz w:val="20"/>
              </w:rPr>
            </w:pPr>
          </w:p>
        </w:tc>
        <w:tc>
          <w:tcPr>
            <w:tcW w:w="832" w:type="dxa"/>
          </w:tcPr>
          <w:p>
            <w:pPr>
              <w:pStyle w:val="14"/>
              <w:rPr>
                <w:rFonts w:ascii="Times New Roman"/>
                <w:sz w:val="20"/>
              </w:rPr>
            </w:pPr>
          </w:p>
        </w:tc>
        <w:tc>
          <w:tcPr>
            <w:tcW w:w="1023" w:type="dxa"/>
          </w:tcPr>
          <w:p>
            <w:pPr>
              <w:pStyle w:val="14"/>
              <w:spacing w:before="69" w:line="236" w:lineRule="exact"/>
              <w:ind w:left="89" w:right="84"/>
              <w:jc w:val="center"/>
              <w:rPr>
                <w:sz w:val="20"/>
              </w:rPr>
            </w:pPr>
            <w:r>
              <w:rPr>
                <w:sz w:val="20"/>
              </w:rPr>
              <w:t>期初余额</w:t>
            </w:r>
          </w:p>
        </w:tc>
        <w:tc>
          <w:tcPr>
            <w:tcW w:w="1241" w:type="dxa"/>
          </w:tcPr>
          <w:p>
            <w:pPr>
              <w:pStyle w:val="14"/>
              <w:rPr>
                <w:rFonts w:ascii="Times New Roman"/>
                <w:sz w:val="20"/>
              </w:rPr>
            </w:pPr>
          </w:p>
        </w:tc>
        <w:tc>
          <w:tcPr>
            <w:tcW w:w="795" w:type="dxa"/>
          </w:tcPr>
          <w:p>
            <w:pPr>
              <w:pStyle w:val="14"/>
              <w:rPr>
                <w:rFonts w:ascii="Times New Roman"/>
                <w:sz w:val="20"/>
              </w:rPr>
            </w:pPr>
          </w:p>
        </w:tc>
        <w:tc>
          <w:tcPr>
            <w:tcW w:w="947" w:type="dxa"/>
          </w:tcPr>
          <w:p>
            <w:pPr>
              <w:pStyle w:val="14"/>
              <w:rPr>
                <w:rFonts w:ascii="Times New Roman"/>
                <w:sz w:val="20"/>
              </w:rPr>
            </w:pPr>
          </w:p>
        </w:tc>
        <w:tc>
          <w:tcPr>
            <w:tcW w:w="947" w:type="dxa"/>
          </w:tcPr>
          <w:p>
            <w:pPr>
              <w:pStyle w:val="14"/>
              <w:spacing w:before="69" w:line="236" w:lineRule="exact"/>
              <w:ind w:left="272"/>
              <w:rPr>
                <w:sz w:val="20"/>
              </w:rPr>
            </w:pPr>
            <w:r>
              <w:rPr>
                <w:sz w:val="20"/>
              </w:rPr>
              <w:t>1000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rPr>
                <w:rFonts w:ascii="Times New Roman"/>
                <w:sz w:val="20"/>
              </w:rPr>
            </w:pPr>
          </w:p>
        </w:tc>
        <w:tc>
          <w:tcPr>
            <w:tcW w:w="947" w:type="dxa"/>
          </w:tcPr>
          <w:p>
            <w:pPr>
              <w:pStyle w:val="14"/>
              <w:spacing w:before="70" w:line="236" w:lineRule="exact"/>
              <w:ind w:left="6"/>
              <w:jc w:val="center"/>
              <w:rPr>
                <w:sz w:val="20"/>
              </w:rPr>
            </w:pPr>
            <w:r>
              <w:rPr>
                <w:w w:val="99"/>
                <w:sz w:val="20"/>
              </w:rPr>
              <w:t>7</w:t>
            </w:r>
          </w:p>
        </w:tc>
        <w:tc>
          <w:tcPr>
            <w:tcW w:w="844" w:type="dxa"/>
          </w:tcPr>
          <w:p>
            <w:pPr>
              <w:pStyle w:val="14"/>
              <w:spacing w:before="70" w:line="236" w:lineRule="exact"/>
              <w:ind w:right="212"/>
              <w:jc w:val="right"/>
              <w:rPr>
                <w:sz w:val="20"/>
              </w:rPr>
            </w:pPr>
            <w:r>
              <w:rPr>
                <w:w w:val="95"/>
                <w:sz w:val="20"/>
              </w:rPr>
              <w:t>现付</w:t>
            </w:r>
          </w:p>
        </w:tc>
        <w:tc>
          <w:tcPr>
            <w:tcW w:w="832" w:type="dxa"/>
          </w:tcPr>
          <w:p>
            <w:pPr>
              <w:pStyle w:val="14"/>
              <w:spacing w:before="70" w:line="236" w:lineRule="exact"/>
              <w:ind w:left="9"/>
              <w:jc w:val="center"/>
              <w:rPr>
                <w:sz w:val="20"/>
              </w:rPr>
            </w:pPr>
            <w:r>
              <w:rPr>
                <w:w w:val="99"/>
                <w:sz w:val="20"/>
              </w:rPr>
              <w:t>1</w:t>
            </w:r>
          </w:p>
        </w:tc>
        <w:tc>
          <w:tcPr>
            <w:tcW w:w="1023" w:type="dxa"/>
          </w:tcPr>
          <w:p>
            <w:pPr>
              <w:pStyle w:val="14"/>
              <w:spacing w:before="70" w:line="236" w:lineRule="exact"/>
              <w:ind w:left="89" w:right="81"/>
              <w:jc w:val="center"/>
              <w:rPr>
                <w:sz w:val="20"/>
              </w:rPr>
            </w:pPr>
            <w:r>
              <w:rPr>
                <w:sz w:val="20"/>
              </w:rPr>
              <w:t>付运费</w:t>
            </w:r>
          </w:p>
        </w:tc>
        <w:tc>
          <w:tcPr>
            <w:tcW w:w="1241" w:type="dxa"/>
          </w:tcPr>
          <w:p>
            <w:pPr>
              <w:pStyle w:val="14"/>
              <w:spacing w:before="70" w:line="236" w:lineRule="exact"/>
              <w:ind w:left="98" w:right="91"/>
              <w:jc w:val="center"/>
              <w:rPr>
                <w:sz w:val="20"/>
              </w:rPr>
            </w:pPr>
            <w:r>
              <w:rPr>
                <w:sz w:val="20"/>
              </w:rPr>
              <w:t>在途物资</w:t>
            </w:r>
          </w:p>
        </w:tc>
        <w:tc>
          <w:tcPr>
            <w:tcW w:w="795" w:type="dxa"/>
          </w:tcPr>
          <w:p>
            <w:pPr>
              <w:pStyle w:val="14"/>
              <w:rPr>
                <w:rFonts w:ascii="Times New Roman"/>
                <w:sz w:val="20"/>
              </w:rPr>
            </w:pPr>
          </w:p>
        </w:tc>
        <w:tc>
          <w:tcPr>
            <w:tcW w:w="947" w:type="dxa"/>
          </w:tcPr>
          <w:p>
            <w:pPr>
              <w:pStyle w:val="14"/>
              <w:spacing w:before="70" w:line="236" w:lineRule="exact"/>
              <w:ind w:left="201" w:right="193"/>
              <w:jc w:val="center"/>
              <w:rPr>
                <w:sz w:val="20"/>
              </w:rPr>
            </w:pPr>
            <w:r>
              <w:rPr>
                <w:sz w:val="20"/>
              </w:rPr>
              <w:t>100</w:t>
            </w:r>
          </w:p>
        </w:tc>
        <w:tc>
          <w:tcPr>
            <w:tcW w:w="947" w:type="dxa"/>
          </w:tcPr>
          <w:p>
            <w:pPr>
              <w:pStyle w:val="14"/>
              <w:spacing w:before="70" w:line="236" w:lineRule="exact"/>
              <w:ind w:left="323"/>
              <w:rPr>
                <w:sz w:val="20"/>
              </w:rPr>
            </w:pPr>
            <w:r>
              <w:rPr>
                <w:sz w:val="20"/>
              </w:rPr>
              <w:t>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946" w:type="dxa"/>
          </w:tcPr>
          <w:p>
            <w:pPr>
              <w:pStyle w:val="14"/>
              <w:rPr>
                <w:rFonts w:ascii="Times New Roman"/>
                <w:sz w:val="20"/>
              </w:rPr>
            </w:pPr>
          </w:p>
        </w:tc>
        <w:tc>
          <w:tcPr>
            <w:tcW w:w="947" w:type="dxa"/>
          </w:tcPr>
          <w:p>
            <w:pPr>
              <w:pStyle w:val="14"/>
              <w:spacing w:before="70" w:line="236" w:lineRule="exact"/>
              <w:ind w:left="6"/>
              <w:jc w:val="center"/>
              <w:rPr>
                <w:sz w:val="20"/>
              </w:rPr>
            </w:pPr>
            <w:r>
              <w:rPr>
                <w:w w:val="99"/>
                <w:sz w:val="20"/>
              </w:rPr>
              <w:t>8</w:t>
            </w:r>
          </w:p>
        </w:tc>
        <w:tc>
          <w:tcPr>
            <w:tcW w:w="844" w:type="dxa"/>
          </w:tcPr>
          <w:p>
            <w:pPr>
              <w:pStyle w:val="14"/>
              <w:spacing w:before="70" w:line="236" w:lineRule="exact"/>
              <w:ind w:right="212"/>
              <w:jc w:val="right"/>
              <w:rPr>
                <w:sz w:val="20"/>
              </w:rPr>
            </w:pPr>
            <w:r>
              <w:rPr>
                <w:w w:val="95"/>
                <w:sz w:val="20"/>
              </w:rPr>
              <w:t>银付</w:t>
            </w:r>
          </w:p>
        </w:tc>
        <w:tc>
          <w:tcPr>
            <w:tcW w:w="832" w:type="dxa"/>
          </w:tcPr>
          <w:p>
            <w:pPr>
              <w:pStyle w:val="14"/>
              <w:spacing w:before="70" w:line="236" w:lineRule="exact"/>
              <w:ind w:left="9"/>
              <w:jc w:val="center"/>
              <w:rPr>
                <w:sz w:val="20"/>
              </w:rPr>
            </w:pPr>
            <w:r>
              <w:rPr>
                <w:w w:val="99"/>
                <w:sz w:val="20"/>
              </w:rPr>
              <w:t>1</w:t>
            </w:r>
          </w:p>
        </w:tc>
        <w:tc>
          <w:tcPr>
            <w:tcW w:w="1023" w:type="dxa"/>
          </w:tcPr>
          <w:p>
            <w:pPr>
              <w:pStyle w:val="14"/>
              <w:spacing w:before="70" w:line="236" w:lineRule="exact"/>
              <w:ind w:left="89" w:right="81"/>
              <w:jc w:val="center"/>
              <w:rPr>
                <w:sz w:val="20"/>
              </w:rPr>
            </w:pPr>
            <w:r>
              <w:rPr>
                <w:sz w:val="20"/>
              </w:rPr>
              <w:t>提现</w:t>
            </w:r>
          </w:p>
        </w:tc>
        <w:tc>
          <w:tcPr>
            <w:tcW w:w="1241" w:type="dxa"/>
          </w:tcPr>
          <w:p>
            <w:pPr>
              <w:pStyle w:val="14"/>
              <w:spacing w:before="70" w:line="236" w:lineRule="exact"/>
              <w:ind w:left="98" w:right="91"/>
              <w:jc w:val="center"/>
              <w:rPr>
                <w:sz w:val="20"/>
              </w:rPr>
            </w:pPr>
            <w:r>
              <w:rPr>
                <w:sz w:val="20"/>
              </w:rPr>
              <w:t>银行存款</w:t>
            </w:r>
          </w:p>
        </w:tc>
        <w:tc>
          <w:tcPr>
            <w:tcW w:w="795" w:type="dxa"/>
          </w:tcPr>
          <w:p>
            <w:pPr>
              <w:pStyle w:val="14"/>
              <w:spacing w:before="70" w:line="236" w:lineRule="exact"/>
              <w:ind w:left="127" w:right="117"/>
              <w:jc w:val="center"/>
              <w:rPr>
                <w:sz w:val="20"/>
              </w:rPr>
            </w:pPr>
            <w:r>
              <w:rPr>
                <w:sz w:val="20"/>
              </w:rPr>
              <w:t>10000</w:t>
            </w:r>
          </w:p>
        </w:tc>
        <w:tc>
          <w:tcPr>
            <w:tcW w:w="947" w:type="dxa"/>
          </w:tcPr>
          <w:p>
            <w:pPr>
              <w:pStyle w:val="14"/>
              <w:rPr>
                <w:rFonts w:ascii="Times New Roman"/>
                <w:sz w:val="20"/>
              </w:rPr>
            </w:pPr>
          </w:p>
        </w:tc>
        <w:tc>
          <w:tcPr>
            <w:tcW w:w="947" w:type="dxa"/>
          </w:tcPr>
          <w:p>
            <w:pPr>
              <w:pStyle w:val="14"/>
              <w:spacing w:before="70" w:line="236" w:lineRule="exact"/>
              <w:ind w:left="222"/>
              <w:rPr>
                <w:sz w:val="20"/>
              </w:rPr>
            </w:pPr>
            <w:r>
              <w:rPr>
                <w:sz w:val="20"/>
              </w:rPr>
              <w:t>10900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946" w:type="dxa"/>
          </w:tcPr>
          <w:p>
            <w:pPr>
              <w:pStyle w:val="14"/>
              <w:rPr>
                <w:rFonts w:ascii="Times New Roman"/>
                <w:sz w:val="20"/>
              </w:rPr>
            </w:pPr>
          </w:p>
        </w:tc>
        <w:tc>
          <w:tcPr>
            <w:tcW w:w="947" w:type="dxa"/>
          </w:tcPr>
          <w:p>
            <w:pPr>
              <w:pStyle w:val="14"/>
              <w:spacing w:before="69" w:line="236" w:lineRule="exact"/>
              <w:ind w:left="202" w:right="192"/>
              <w:jc w:val="center"/>
              <w:rPr>
                <w:sz w:val="20"/>
              </w:rPr>
            </w:pPr>
            <w:r>
              <w:rPr>
                <w:sz w:val="20"/>
              </w:rPr>
              <w:t>10</w:t>
            </w:r>
          </w:p>
        </w:tc>
        <w:tc>
          <w:tcPr>
            <w:tcW w:w="844" w:type="dxa"/>
          </w:tcPr>
          <w:p>
            <w:pPr>
              <w:pStyle w:val="14"/>
              <w:spacing w:before="69" w:line="236" w:lineRule="exact"/>
              <w:ind w:right="212"/>
              <w:jc w:val="right"/>
              <w:rPr>
                <w:sz w:val="20"/>
              </w:rPr>
            </w:pPr>
            <w:r>
              <w:rPr>
                <w:w w:val="95"/>
                <w:sz w:val="20"/>
              </w:rPr>
              <w:t>现收</w:t>
            </w:r>
          </w:p>
        </w:tc>
        <w:tc>
          <w:tcPr>
            <w:tcW w:w="832" w:type="dxa"/>
          </w:tcPr>
          <w:p>
            <w:pPr>
              <w:pStyle w:val="14"/>
              <w:spacing w:before="69" w:line="236" w:lineRule="exact"/>
              <w:ind w:left="9"/>
              <w:jc w:val="center"/>
              <w:rPr>
                <w:sz w:val="20"/>
              </w:rPr>
            </w:pPr>
            <w:r>
              <w:rPr>
                <w:w w:val="99"/>
                <w:sz w:val="20"/>
              </w:rPr>
              <w:t>1</w:t>
            </w:r>
          </w:p>
        </w:tc>
        <w:tc>
          <w:tcPr>
            <w:tcW w:w="1023" w:type="dxa"/>
          </w:tcPr>
          <w:p>
            <w:pPr>
              <w:pStyle w:val="14"/>
              <w:spacing w:before="69" w:line="236" w:lineRule="exact"/>
              <w:ind w:left="89" w:right="81"/>
              <w:jc w:val="center"/>
              <w:rPr>
                <w:sz w:val="20"/>
              </w:rPr>
            </w:pPr>
            <w:r>
              <w:rPr>
                <w:sz w:val="20"/>
              </w:rPr>
              <w:t>罚款</w:t>
            </w:r>
          </w:p>
        </w:tc>
        <w:tc>
          <w:tcPr>
            <w:tcW w:w="1241" w:type="dxa"/>
          </w:tcPr>
          <w:p>
            <w:pPr>
              <w:pStyle w:val="14"/>
              <w:spacing w:before="69" w:line="236" w:lineRule="exact"/>
              <w:ind w:left="98" w:right="93"/>
              <w:jc w:val="center"/>
              <w:rPr>
                <w:sz w:val="20"/>
              </w:rPr>
            </w:pPr>
            <w:r>
              <w:rPr>
                <w:sz w:val="20"/>
              </w:rPr>
              <w:t>营业外收入</w:t>
            </w:r>
          </w:p>
        </w:tc>
        <w:tc>
          <w:tcPr>
            <w:tcW w:w="795" w:type="dxa"/>
          </w:tcPr>
          <w:p>
            <w:pPr>
              <w:pStyle w:val="14"/>
              <w:spacing w:before="69" w:line="236" w:lineRule="exact"/>
              <w:ind w:left="125" w:right="117"/>
              <w:jc w:val="center"/>
              <w:rPr>
                <w:sz w:val="20"/>
              </w:rPr>
            </w:pPr>
            <w:r>
              <w:rPr>
                <w:sz w:val="20"/>
              </w:rPr>
              <w:t>500</w:t>
            </w:r>
          </w:p>
        </w:tc>
        <w:tc>
          <w:tcPr>
            <w:tcW w:w="947" w:type="dxa"/>
          </w:tcPr>
          <w:p>
            <w:pPr>
              <w:pStyle w:val="14"/>
              <w:rPr>
                <w:rFonts w:ascii="Times New Roman"/>
                <w:sz w:val="20"/>
              </w:rPr>
            </w:pPr>
          </w:p>
        </w:tc>
        <w:tc>
          <w:tcPr>
            <w:tcW w:w="947" w:type="dxa"/>
          </w:tcPr>
          <w:p>
            <w:pPr>
              <w:pStyle w:val="14"/>
              <w:spacing w:before="69" w:line="236" w:lineRule="exact"/>
              <w:ind w:left="222"/>
              <w:rPr>
                <w:sz w:val="20"/>
              </w:rPr>
            </w:pPr>
            <w:r>
              <w:rPr>
                <w:sz w:val="20"/>
              </w:rPr>
              <w:t>11400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946" w:type="dxa"/>
          </w:tcPr>
          <w:p>
            <w:pPr>
              <w:pStyle w:val="14"/>
              <w:rPr>
                <w:rFonts w:ascii="Times New Roman"/>
                <w:sz w:val="20"/>
              </w:rPr>
            </w:pPr>
          </w:p>
        </w:tc>
        <w:tc>
          <w:tcPr>
            <w:tcW w:w="947" w:type="dxa"/>
          </w:tcPr>
          <w:p>
            <w:pPr>
              <w:pStyle w:val="14"/>
              <w:spacing w:before="2"/>
              <w:rPr>
                <w:sz w:val="18"/>
              </w:rPr>
            </w:pPr>
          </w:p>
          <w:p>
            <w:pPr>
              <w:pStyle w:val="14"/>
              <w:ind w:left="202" w:right="192"/>
              <w:jc w:val="center"/>
              <w:rPr>
                <w:sz w:val="20"/>
              </w:rPr>
            </w:pPr>
            <w:r>
              <w:rPr>
                <w:sz w:val="20"/>
              </w:rPr>
              <w:t>15</w:t>
            </w:r>
          </w:p>
        </w:tc>
        <w:tc>
          <w:tcPr>
            <w:tcW w:w="844" w:type="dxa"/>
          </w:tcPr>
          <w:p>
            <w:pPr>
              <w:pStyle w:val="14"/>
              <w:spacing w:before="2"/>
              <w:rPr>
                <w:sz w:val="18"/>
              </w:rPr>
            </w:pPr>
          </w:p>
          <w:p>
            <w:pPr>
              <w:pStyle w:val="14"/>
              <w:ind w:right="212"/>
              <w:jc w:val="right"/>
              <w:rPr>
                <w:sz w:val="20"/>
              </w:rPr>
            </w:pPr>
            <w:r>
              <w:rPr>
                <w:w w:val="95"/>
                <w:sz w:val="20"/>
              </w:rPr>
              <w:t>现付</w:t>
            </w:r>
          </w:p>
        </w:tc>
        <w:tc>
          <w:tcPr>
            <w:tcW w:w="832" w:type="dxa"/>
          </w:tcPr>
          <w:p>
            <w:pPr>
              <w:pStyle w:val="14"/>
              <w:spacing w:before="2"/>
              <w:rPr>
                <w:sz w:val="18"/>
              </w:rPr>
            </w:pPr>
          </w:p>
          <w:p>
            <w:pPr>
              <w:pStyle w:val="14"/>
              <w:ind w:left="9"/>
              <w:jc w:val="center"/>
              <w:rPr>
                <w:sz w:val="20"/>
              </w:rPr>
            </w:pPr>
            <w:r>
              <w:rPr>
                <w:w w:val="99"/>
                <w:sz w:val="20"/>
              </w:rPr>
              <w:t>2</w:t>
            </w:r>
          </w:p>
        </w:tc>
        <w:tc>
          <w:tcPr>
            <w:tcW w:w="1023" w:type="dxa"/>
          </w:tcPr>
          <w:p>
            <w:pPr>
              <w:pStyle w:val="14"/>
              <w:spacing w:before="2"/>
              <w:rPr>
                <w:sz w:val="18"/>
              </w:rPr>
            </w:pPr>
          </w:p>
          <w:p>
            <w:pPr>
              <w:pStyle w:val="14"/>
              <w:ind w:left="89" w:right="81"/>
              <w:jc w:val="center"/>
              <w:rPr>
                <w:sz w:val="20"/>
              </w:rPr>
            </w:pPr>
            <w:r>
              <w:rPr>
                <w:sz w:val="20"/>
              </w:rPr>
              <w:t>发工资</w:t>
            </w:r>
          </w:p>
        </w:tc>
        <w:tc>
          <w:tcPr>
            <w:tcW w:w="1241" w:type="dxa"/>
          </w:tcPr>
          <w:p>
            <w:pPr>
              <w:pStyle w:val="14"/>
              <w:spacing w:before="9" w:line="326" w:lineRule="exact"/>
              <w:ind w:left="519" w:right="111" w:hanging="401"/>
              <w:rPr>
                <w:sz w:val="20"/>
              </w:rPr>
            </w:pPr>
            <w:r>
              <w:rPr>
                <w:sz w:val="20"/>
              </w:rPr>
              <w:t>应付职工薪酬</w:t>
            </w:r>
          </w:p>
        </w:tc>
        <w:tc>
          <w:tcPr>
            <w:tcW w:w="795" w:type="dxa"/>
          </w:tcPr>
          <w:p>
            <w:pPr>
              <w:pStyle w:val="14"/>
              <w:rPr>
                <w:rFonts w:ascii="Times New Roman"/>
                <w:sz w:val="20"/>
              </w:rPr>
            </w:pPr>
          </w:p>
        </w:tc>
        <w:tc>
          <w:tcPr>
            <w:tcW w:w="947" w:type="dxa"/>
          </w:tcPr>
          <w:p>
            <w:pPr>
              <w:pStyle w:val="14"/>
              <w:spacing w:before="2"/>
              <w:rPr>
                <w:sz w:val="18"/>
              </w:rPr>
            </w:pPr>
          </w:p>
          <w:p>
            <w:pPr>
              <w:pStyle w:val="14"/>
              <w:ind w:left="202" w:right="192"/>
              <w:jc w:val="center"/>
              <w:rPr>
                <w:sz w:val="20"/>
              </w:rPr>
            </w:pPr>
            <w:r>
              <w:rPr>
                <w:sz w:val="20"/>
              </w:rPr>
              <w:t>11000</w:t>
            </w:r>
          </w:p>
        </w:tc>
        <w:tc>
          <w:tcPr>
            <w:tcW w:w="947" w:type="dxa"/>
          </w:tcPr>
          <w:p>
            <w:pPr>
              <w:pStyle w:val="14"/>
              <w:spacing w:before="2"/>
              <w:rPr>
                <w:sz w:val="18"/>
              </w:rPr>
            </w:pPr>
          </w:p>
          <w:p>
            <w:pPr>
              <w:pStyle w:val="14"/>
              <w:ind w:left="323"/>
              <w:rPr>
                <w:sz w:val="20"/>
              </w:rPr>
            </w:pPr>
            <w:r>
              <w:rPr>
                <w:sz w:val="20"/>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946" w:type="dxa"/>
          </w:tcPr>
          <w:p>
            <w:pPr>
              <w:pStyle w:val="14"/>
              <w:rPr>
                <w:rFonts w:ascii="Times New Roman"/>
                <w:sz w:val="20"/>
              </w:rPr>
            </w:pPr>
          </w:p>
        </w:tc>
        <w:tc>
          <w:tcPr>
            <w:tcW w:w="947" w:type="dxa"/>
          </w:tcPr>
          <w:p>
            <w:pPr>
              <w:pStyle w:val="14"/>
              <w:spacing w:before="61" w:line="236" w:lineRule="exact"/>
              <w:ind w:left="202" w:right="192"/>
              <w:jc w:val="center"/>
              <w:rPr>
                <w:sz w:val="20"/>
              </w:rPr>
            </w:pPr>
            <w:r>
              <w:rPr>
                <w:sz w:val="20"/>
              </w:rPr>
              <w:t>31</w:t>
            </w:r>
          </w:p>
        </w:tc>
        <w:tc>
          <w:tcPr>
            <w:tcW w:w="844" w:type="dxa"/>
          </w:tcPr>
          <w:p>
            <w:pPr>
              <w:pStyle w:val="14"/>
              <w:rPr>
                <w:rFonts w:ascii="Times New Roman"/>
                <w:sz w:val="20"/>
              </w:rPr>
            </w:pPr>
          </w:p>
        </w:tc>
        <w:tc>
          <w:tcPr>
            <w:tcW w:w="832" w:type="dxa"/>
          </w:tcPr>
          <w:p>
            <w:pPr>
              <w:pStyle w:val="14"/>
              <w:rPr>
                <w:rFonts w:ascii="Times New Roman"/>
                <w:sz w:val="20"/>
              </w:rPr>
            </w:pPr>
          </w:p>
        </w:tc>
        <w:tc>
          <w:tcPr>
            <w:tcW w:w="1023" w:type="dxa"/>
          </w:tcPr>
          <w:p>
            <w:pPr>
              <w:pStyle w:val="14"/>
              <w:spacing w:before="61" w:line="236" w:lineRule="exact"/>
              <w:ind w:left="89" w:right="84"/>
              <w:jc w:val="center"/>
              <w:rPr>
                <w:sz w:val="20"/>
              </w:rPr>
            </w:pPr>
            <w:r>
              <w:rPr>
                <w:sz w:val="20"/>
              </w:rPr>
              <w:t>本月合计</w:t>
            </w:r>
          </w:p>
        </w:tc>
        <w:tc>
          <w:tcPr>
            <w:tcW w:w="1241" w:type="dxa"/>
          </w:tcPr>
          <w:p>
            <w:pPr>
              <w:pStyle w:val="14"/>
              <w:rPr>
                <w:rFonts w:ascii="Times New Roman"/>
                <w:sz w:val="20"/>
              </w:rPr>
            </w:pPr>
          </w:p>
        </w:tc>
        <w:tc>
          <w:tcPr>
            <w:tcW w:w="795" w:type="dxa"/>
          </w:tcPr>
          <w:p>
            <w:pPr>
              <w:pStyle w:val="14"/>
              <w:spacing w:before="61" w:line="236" w:lineRule="exact"/>
              <w:ind w:left="127" w:right="117"/>
              <w:jc w:val="center"/>
              <w:rPr>
                <w:sz w:val="20"/>
              </w:rPr>
            </w:pPr>
            <w:r>
              <w:rPr>
                <w:sz w:val="20"/>
              </w:rPr>
              <w:t>10500</w:t>
            </w:r>
          </w:p>
        </w:tc>
        <w:tc>
          <w:tcPr>
            <w:tcW w:w="947" w:type="dxa"/>
          </w:tcPr>
          <w:p>
            <w:pPr>
              <w:pStyle w:val="14"/>
              <w:spacing w:before="61" w:line="236" w:lineRule="exact"/>
              <w:ind w:left="202" w:right="192"/>
              <w:jc w:val="center"/>
              <w:rPr>
                <w:sz w:val="20"/>
              </w:rPr>
            </w:pPr>
            <w:r>
              <w:rPr>
                <w:sz w:val="20"/>
              </w:rPr>
              <w:t>11100</w:t>
            </w:r>
          </w:p>
        </w:tc>
        <w:tc>
          <w:tcPr>
            <w:tcW w:w="947" w:type="dxa"/>
          </w:tcPr>
          <w:p>
            <w:pPr>
              <w:pStyle w:val="14"/>
              <w:spacing w:before="61" w:line="236" w:lineRule="exact"/>
              <w:ind w:left="323"/>
              <w:rPr>
                <w:sz w:val="20"/>
              </w:rPr>
            </w:pPr>
            <w:r>
              <w:rPr>
                <w:sz w:val="20"/>
              </w:rPr>
              <w:t>400</w:t>
            </w:r>
          </w:p>
        </w:tc>
      </w:tr>
    </w:tbl>
    <w:p>
      <w:pPr>
        <w:pStyle w:val="5"/>
        <w:numPr>
          <w:ilvl w:val="0"/>
          <w:numId w:val="36"/>
        </w:numPr>
        <w:tabs>
          <w:tab w:val="left" w:pos="1225"/>
        </w:tabs>
        <w:spacing w:before="70" w:after="0" w:line="240" w:lineRule="auto"/>
        <w:ind w:left="1224" w:right="0" w:hanging="502"/>
        <w:jc w:val="left"/>
      </w:pPr>
      <w:r>
        <w:t>银行存款日记账的格式与登记方法</w:t>
      </w:r>
    </w:p>
    <w:p>
      <w:pPr>
        <w:pStyle w:val="6"/>
        <w:spacing w:before="68" w:line="304" w:lineRule="auto"/>
        <w:ind w:left="322" w:right="722" w:firstLine="400"/>
        <w:jc w:val="both"/>
      </w:pPr>
      <w:r>
        <w:rPr>
          <w:w w:val="95"/>
        </w:rPr>
        <w:t>银行存款日记账是</w:t>
      </w:r>
      <w:r>
        <w:rPr>
          <w:b/>
          <w:color w:val="00AFEF"/>
          <w:spacing w:val="-3"/>
          <w:w w:val="95"/>
          <w:u w:val="single" w:color="00AFEF"/>
        </w:rPr>
        <w:t>用来核算和监督银行存款每日的收入、支出和结余情况的账簿</w:t>
      </w:r>
      <w:r>
        <w:rPr>
          <w:spacing w:val="-7"/>
          <w:w w:val="95"/>
        </w:rPr>
        <w:t xml:space="preserve">。银行存款日记账应按企业   </w:t>
      </w:r>
      <w:r>
        <w:rPr>
          <w:spacing w:val="-10"/>
          <w:w w:val="95"/>
        </w:rPr>
        <w:t>在银行开立的账户和币种分别设置，每个银行账户设置一本日记账。由出纳员根据与银行存款收付业务有关的记    账凭证，按时间先后顺序逐日逐笔进行登记。根据银行存款收款凭证和有关的库存现金付款凭证登记银行存款收</w:t>
      </w:r>
    </w:p>
    <w:p>
      <w:pPr>
        <w:spacing w:after="0" w:line="304" w:lineRule="auto"/>
        <w:jc w:val="both"/>
        <w:sectPr>
          <w:pgSz w:w="11910" w:h="16160"/>
          <w:pgMar w:top="1680" w:right="360" w:bottom="860" w:left="760" w:header="0" w:footer="584" w:gutter="0"/>
        </w:sectPr>
      </w:pPr>
    </w:p>
    <w:p>
      <w:pPr>
        <w:pStyle w:val="6"/>
        <w:spacing w:before="11"/>
        <w:ind w:left="0"/>
        <w:rPr>
          <w:sz w:val="13"/>
        </w:rPr>
      </w:pPr>
    </w:p>
    <w:p>
      <w:pPr>
        <w:pStyle w:val="6"/>
        <w:spacing w:before="71"/>
        <w:ind w:left="322"/>
      </w:pPr>
      <w:r>
        <w:t>入栏，根据银行存款付款凭证登记其支出栏，每日结出存款余额。</w:t>
      </w:r>
    </w:p>
    <w:p>
      <w:pPr>
        <w:pStyle w:val="6"/>
        <w:spacing w:line="304" w:lineRule="auto"/>
        <w:ind w:right="2160"/>
      </w:pPr>
      <w:r>
        <mc:AlternateContent>
          <mc:Choice Requires="wps">
            <w:drawing>
              <wp:anchor distT="0" distB="0" distL="114300" distR="114300" simplePos="0" relativeHeight="482410496" behindDoc="1" locked="0" layoutInCell="1" allowOverlap="1">
                <wp:simplePos x="0" y="0"/>
                <wp:positionH relativeFrom="page">
                  <wp:posOffset>1068705</wp:posOffset>
                </wp:positionH>
                <wp:positionV relativeFrom="paragraph">
                  <wp:posOffset>182880</wp:posOffset>
                </wp:positionV>
                <wp:extent cx="251460" cy="5715"/>
                <wp:effectExtent l="0" t="0" r="0" b="0"/>
                <wp:wrapNone/>
                <wp:docPr id="254" name="任意多边形 10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07" o:spid="_x0000_s1026" o:spt="100" style="position:absolute;left:0pt;margin-left:84.15pt;margin-top:14.4pt;height:0.45pt;width:19.8pt;mso-position-horizontal-relative:page;z-index:-20905984;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pzTz2QAAAAkBAAAPAAAAAAAAAAEAIAAAACIAAABkcnMvZG93bnJldi54bWxQSwECFAAUAAAACACH&#10;TuJArQFZrJ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9"/>
        </w:rPr>
        <w:t>【</w:t>
      </w:r>
      <w:r>
        <w:rPr>
          <w:b/>
          <w:color w:val="00AFEF"/>
          <w:spacing w:val="1"/>
          <w:w w:val="99"/>
        </w:rPr>
        <w:t>提示</w:t>
      </w:r>
      <w:r>
        <w:rPr>
          <w:spacing w:val="2"/>
          <w:w w:val="99"/>
        </w:rPr>
        <w:t>】</w:t>
      </w:r>
      <w:r>
        <w:rPr>
          <w:spacing w:val="1"/>
          <w:w w:val="99"/>
        </w:rPr>
        <w:t>1</w:t>
      </w:r>
      <w:r>
        <w:rPr>
          <w:w w:val="99"/>
        </w:rPr>
        <w:t>.库存现金日记账登记依据：</w:t>
      </w:r>
      <w:r>
        <w:rPr>
          <w:color w:val="FF0000"/>
          <w:spacing w:val="1"/>
          <w:w w:val="99"/>
          <w:u w:val="double" w:color="FF0000"/>
        </w:rPr>
        <w:t>现收</w:t>
      </w:r>
      <w:r>
        <w:rPr>
          <w:color w:val="FF0000"/>
          <w:w w:val="99"/>
          <w:u w:val="double" w:color="FF0000"/>
        </w:rPr>
        <w:t>（收入栏</w:t>
      </w:r>
      <w:r>
        <w:rPr>
          <w:color w:val="FF0000"/>
          <w:spacing w:val="-99"/>
          <w:w w:val="99"/>
          <w:u w:val="double" w:color="FF0000"/>
        </w:rPr>
        <w:t>）</w:t>
      </w:r>
      <w:r>
        <w:rPr>
          <w:color w:val="FF0000"/>
          <w:w w:val="99"/>
          <w:u w:val="double" w:color="FF0000"/>
        </w:rPr>
        <w:t>、现付（支出栏</w:t>
      </w:r>
      <w:r>
        <w:rPr>
          <w:color w:val="FF0000"/>
          <w:spacing w:val="-99"/>
          <w:w w:val="99"/>
          <w:u w:val="double" w:color="FF0000"/>
        </w:rPr>
        <w:t>）</w:t>
      </w:r>
      <w:r>
        <w:rPr>
          <w:color w:val="FF0000"/>
          <w:w w:val="99"/>
          <w:u w:val="double" w:color="FF0000"/>
        </w:rPr>
        <w:t>、银付（收入栏</w:t>
      </w:r>
      <w:r>
        <w:rPr>
          <w:color w:val="FF0000"/>
          <w:spacing w:val="-99"/>
          <w:w w:val="99"/>
          <w:u w:val="double" w:color="FF0000"/>
        </w:rPr>
        <w:t>）</w:t>
      </w:r>
      <w:r>
        <w:rPr>
          <w:w w:val="99"/>
        </w:rPr>
        <w:t>；银行存款日记账登记依据：</w:t>
      </w:r>
      <w:r>
        <w:rPr>
          <w:color w:val="FF0000"/>
          <w:spacing w:val="1"/>
          <w:w w:val="99"/>
          <w:u w:val="double" w:color="FF0000"/>
        </w:rPr>
        <w:t>银收</w:t>
      </w:r>
      <w:r>
        <w:rPr>
          <w:color w:val="FF0000"/>
          <w:w w:val="99"/>
          <w:u w:val="double" w:color="FF0000"/>
        </w:rPr>
        <w:t>（收入栏</w:t>
      </w:r>
      <w:r>
        <w:rPr>
          <w:color w:val="FF0000"/>
          <w:spacing w:val="-99"/>
          <w:w w:val="99"/>
          <w:u w:val="double" w:color="FF0000"/>
        </w:rPr>
        <w:t>）</w:t>
      </w:r>
      <w:r>
        <w:rPr>
          <w:color w:val="FF0000"/>
          <w:w w:val="99"/>
          <w:u w:val="double" w:color="FF0000"/>
        </w:rPr>
        <w:t>、银付（支出栏</w:t>
      </w:r>
      <w:r>
        <w:rPr>
          <w:color w:val="FF0000"/>
          <w:spacing w:val="-99"/>
          <w:w w:val="99"/>
          <w:u w:val="double" w:color="FF0000"/>
        </w:rPr>
        <w:t>）</w:t>
      </w:r>
      <w:r>
        <w:rPr>
          <w:color w:val="FF0000"/>
          <w:w w:val="99"/>
          <w:u w:val="double" w:color="FF0000"/>
        </w:rPr>
        <w:t>、现付（收入栏</w:t>
      </w:r>
      <w:r>
        <w:rPr>
          <w:color w:val="FF0000"/>
          <w:spacing w:val="-99"/>
          <w:w w:val="99"/>
          <w:u w:val="double" w:color="FF0000"/>
        </w:rPr>
        <w:t>）</w:t>
      </w:r>
      <w:r>
        <w:rPr>
          <w:w w:val="99"/>
        </w:rPr>
        <w:t>；</w:t>
      </w:r>
    </w:p>
    <w:p>
      <w:pPr>
        <w:pStyle w:val="13"/>
        <w:numPr>
          <w:ilvl w:val="0"/>
          <w:numId w:val="35"/>
        </w:numPr>
        <w:tabs>
          <w:tab w:val="left" w:pos="925"/>
        </w:tabs>
        <w:spacing w:before="2" w:after="0" w:line="240" w:lineRule="auto"/>
        <w:ind w:left="924" w:right="0" w:hanging="202"/>
        <w:jc w:val="left"/>
        <w:rPr>
          <w:sz w:val="18"/>
        </w:rPr>
      </w:pPr>
      <w:r>
        <w:rPr>
          <w:color w:val="FF0000"/>
          <w:sz w:val="20"/>
          <w:u w:val="double" w:color="FF0000"/>
        </w:rPr>
        <w:t>不得使用银行对账单代替日记账</w:t>
      </w:r>
      <w:r>
        <w:rPr>
          <w:sz w:val="20"/>
        </w:rPr>
        <w:t>；</w:t>
      </w:r>
    </w:p>
    <w:p>
      <w:pPr>
        <w:pStyle w:val="13"/>
        <w:numPr>
          <w:ilvl w:val="0"/>
          <w:numId w:val="35"/>
        </w:numPr>
        <w:tabs>
          <w:tab w:val="left" w:pos="925"/>
        </w:tabs>
        <w:spacing w:before="70" w:after="0" w:line="240" w:lineRule="auto"/>
        <w:ind w:left="924" w:right="0" w:hanging="202"/>
        <w:jc w:val="left"/>
        <w:rPr>
          <w:sz w:val="18"/>
        </w:rPr>
      </w:pPr>
      <w:r>
        <w:rPr>
          <w:color w:val="FF0000"/>
          <w:sz w:val="20"/>
          <w:u w:val="double" w:color="FF0000"/>
        </w:rPr>
        <w:t>企业出纳的工作：管钱、登记库存现金和银行存款日记账</w:t>
      </w:r>
      <w:r>
        <w:rPr>
          <w:sz w:val="20"/>
        </w:rPr>
        <w:t>。</w:t>
      </w:r>
    </w:p>
    <w:p>
      <w:pPr>
        <w:pStyle w:val="5"/>
        <w:numPr>
          <w:ilvl w:val="0"/>
          <w:numId w:val="37"/>
        </w:numPr>
        <w:tabs>
          <w:tab w:val="left" w:pos="925"/>
        </w:tabs>
        <w:spacing w:before="68" w:after="0" w:line="240" w:lineRule="auto"/>
        <w:ind w:left="924" w:right="0" w:hanging="202"/>
        <w:jc w:val="left"/>
      </w:pPr>
      <w:r>
        <w:t>总分类账的格式与登记方法</w:t>
      </w:r>
    </w:p>
    <w:p>
      <w:pPr>
        <w:pStyle w:val="6"/>
      </w:pPr>
      <w:r>
        <w:t>总分类账最常用的格式为</w:t>
      </w:r>
      <w:r>
        <w:rPr>
          <w:color w:val="FF0000"/>
          <w:u w:val="double" w:color="FF0000"/>
        </w:rPr>
        <w:t>三栏式</w:t>
      </w:r>
      <w:r>
        <w:t>，设有借方、贷方和余额三个金额栏目。</w:t>
      </w:r>
    </w:p>
    <w:p>
      <w:pPr>
        <w:pStyle w:val="6"/>
        <w:spacing w:line="304" w:lineRule="auto"/>
        <w:ind w:left="322" w:right="720" w:firstLine="400"/>
        <w:jc w:val="both"/>
      </w:pPr>
      <w:r>
        <w:rPr>
          <w:spacing w:val="-3"/>
          <w:w w:val="95"/>
        </w:rPr>
        <w:t xml:space="preserve">总分类账的登记方法因登记的依据不同而有所不同。经济业务少的小型单位的总分类账可以根据记账凭证逐    </w:t>
      </w:r>
      <w:r>
        <w:rPr>
          <w:spacing w:val="-5"/>
          <w:w w:val="95"/>
        </w:rPr>
        <w:t>笔登记；经济业务多的大中型单位的总分类账可以根据</w:t>
      </w:r>
      <w:r>
        <w:rPr>
          <w:color w:val="FF0000"/>
          <w:spacing w:val="-3"/>
          <w:w w:val="95"/>
          <w:u w:val="double" w:color="FF0000"/>
        </w:rPr>
        <w:t>记账凭证汇总表</w:t>
      </w:r>
      <w:r>
        <w:rPr>
          <w:color w:val="FF0000"/>
          <w:w w:val="95"/>
          <w:u w:val="double" w:color="FF0000"/>
        </w:rPr>
        <w:t>（又称科目汇总表</w:t>
      </w:r>
      <w:r>
        <w:rPr>
          <w:color w:val="FF0000"/>
          <w:spacing w:val="-19"/>
          <w:w w:val="95"/>
          <w:u w:val="double" w:color="FF0000"/>
        </w:rPr>
        <w:t>）</w:t>
      </w:r>
      <w:r>
        <w:rPr>
          <w:color w:val="FF0000"/>
          <w:w w:val="95"/>
          <w:u w:val="double" w:color="FF0000"/>
        </w:rPr>
        <w:t>或汇总记账凭证等定</w:t>
      </w:r>
      <w:r>
        <w:rPr>
          <w:color w:val="FF0000"/>
          <w:spacing w:val="-199"/>
          <w:w w:val="95"/>
          <w:u w:val="double" w:color="FF0000"/>
        </w:rPr>
        <w:t>期</w:t>
      </w:r>
      <w:r>
        <w:rPr>
          <w:color w:val="FF0000"/>
          <w:spacing w:val="210"/>
          <w:w w:val="95"/>
          <w:u w:val="double" w:color="FF0000"/>
        </w:rPr>
        <w:t xml:space="preserve"> </w:t>
      </w:r>
      <w:r>
        <w:rPr>
          <w:color w:val="FF0000"/>
          <w:u w:val="double" w:color="FF0000"/>
        </w:rPr>
        <w:t>登记</w:t>
      </w:r>
      <w:r>
        <w:t>。</w:t>
      </w:r>
    </w:p>
    <w:p>
      <w:pPr>
        <w:pStyle w:val="5"/>
        <w:numPr>
          <w:ilvl w:val="0"/>
          <w:numId w:val="37"/>
        </w:numPr>
        <w:tabs>
          <w:tab w:val="left" w:pos="925"/>
        </w:tabs>
        <w:spacing w:before="3" w:after="0" w:line="240" w:lineRule="auto"/>
        <w:ind w:left="924" w:right="0" w:hanging="202"/>
        <w:jc w:val="left"/>
      </w:pPr>
      <w:r>
        <w:t>明细分类账的格式与登记方法</w:t>
      </w:r>
    </w:p>
    <w:p>
      <w:pPr>
        <w:pStyle w:val="6"/>
        <w:spacing w:before="68"/>
      </w:pPr>
      <w:r>
        <w:t>明细分类账一般采用</w:t>
      </w:r>
      <w:r>
        <w:rPr>
          <w:color w:val="FF0000"/>
          <w:u w:val="double" w:color="FF0000"/>
        </w:rPr>
        <w:t>活页式账簿、卡片式账簿</w:t>
      </w:r>
      <w:r>
        <w:t>。明细分类账一般根据</w:t>
      </w:r>
      <w:r>
        <w:rPr>
          <w:color w:val="FF0000"/>
          <w:u w:val="double" w:color="FF0000"/>
        </w:rPr>
        <w:t>记账凭证</w:t>
      </w:r>
      <w:r>
        <w:t>和相应的</w:t>
      </w:r>
      <w:r>
        <w:rPr>
          <w:color w:val="FF0000"/>
          <w:u w:val="double" w:color="FF0000"/>
        </w:rPr>
        <w:t>原始凭证</w:t>
      </w:r>
      <w:r>
        <w:t>来登记。</w:t>
      </w:r>
    </w:p>
    <w:p>
      <w:pPr>
        <w:pStyle w:val="13"/>
        <w:numPr>
          <w:ilvl w:val="0"/>
          <w:numId w:val="38"/>
        </w:numPr>
        <w:tabs>
          <w:tab w:val="left" w:pos="1224"/>
        </w:tabs>
        <w:spacing w:before="70" w:after="0" w:line="240" w:lineRule="auto"/>
        <w:ind w:left="1223" w:right="0" w:hanging="501"/>
        <w:jc w:val="left"/>
        <w:rPr>
          <w:sz w:val="20"/>
        </w:rPr>
      </w:pPr>
      <w:r>
        <w:rPr>
          <w:sz w:val="20"/>
        </w:rPr>
        <w:t>三栏式</w:t>
      </w:r>
    </w:p>
    <w:p>
      <w:pPr>
        <w:pStyle w:val="6"/>
        <w:spacing w:line="304" w:lineRule="auto"/>
        <w:ind w:left="322" w:right="722" w:firstLine="400"/>
      </w:pPr>
      <w:r>
        <w:rPr>
          <w:spacing w:val="-5"/>
          <w:w w:val="95"/>
        </w:rPr>
        <w:t xml:space="preserve">三栏式账页是设有借方、贷方和余额三个栏目，用以分类核算各项经济业务，提供详细核算资料的账簿，其   </w:t>
      </w:r>
      <w:r>
        <w:rPr>
          <w:spacing w:val="-5"/>
        </w:rPr>
        <w:t>格式与三栏式总账格式相同。</w:t>
      </w:r>
    </w:p>
    <w:p>
      <w:pPr>
        <w:pStyle w:val="13"/>
        <w:numPr>
          <w:ilvl w:val="0"/>
          <w:numId w:val="38"/>
        </w:numPr>
        <w:tabs>
          <w:tab w:val="left" w:pos="1224"/>
        </w:tabs>
        <w:spacing w:before="2" w:after="0" w:line="240" w:lineRule="auto"/>
        <w:ind w:left="1223" w:right="0" w:hanging="501"/>
        <w:jc w:val="left"/>
        <w:rPr>
          <w:sz w:val="20"/>
        </w:rPr>
      </w:pPr>
      <w:r>
        <w:rPr>
          <w:sz w:val="20"/>
        </w:rPr>
        <w:t>多栏式</w:t>
      </w:r>
    </w:p>
    <w:p>
      <w:pPr>
        <w:pStyle w:val="6"/>
        <w:spacing w:line="302" w:lineRule="auto"/>
        <w:ind w:left="322" w:right="647" w:firstLine="400"/>
      </w:pPr>
      <w:r>
        <w:rPr>
          <w:w w:val="95"/>
        </w:rPr>
        <w:t xml:space="preserve">多栏式账页是将属于同一个总账科目的各个明细科目合并在一张账页上进行登记，即在这种格式账页的借方   </w:t>
      </w:r>
      <w:r>
        <w:t>或贷方金额栏内按照明细项目设若干专栏。这种格式适用于收入、成本、费用类科目的明细核算。</w:t>
      </w:r>
    </w:p>
    <w:p>
      <w:pPr>
        <w:pStyle w:val="13"/>
        <w:numPr>
          <w:ilvl w:val="0"/>
          <w:numId w:val="38"/>
        </w:numPr>
        <w:tabs>
          <w:tab w:val="left" w:pos="1224"/>
        </w:tabs>
        <w:spacing w:before="5" w:after="0" w:line="240" w:lineRule="auto"/>
        <w:ind w:left="1223" w:right="0" w:hanging="501"/>
        <w:jc w:val="left"/>
        <w:rPr>
          <w:sz w:val="20"/>
        </w:rPr>
      </w:pPr>
      <w:r>
        <w:rPr>
          <w:sz w:val="20"/>
        </w:rPr>
        <w:t>数量金额式</w:t>
      </w:r>
    </w:p>
    <w:p>
      <w:pPr>
        <w:pStyle w:val="6"/>
        <w:spacing w:line="304" w:lineRule="auto"/>
        <w:ind w:left="322" w:right="722" w:firstLine="400"/>
      </w:pPr>
      <w:r>
        <w:rPr>
          <w:spacing w:val="-1"/>
          <w:w w:val="95"/>
        </w:rPr>
        <w:t>数量金额式账页适用于既要进行金额核算又要进行数量核算的账户，如</w:t>
      </w:r>
      <w:r>
        <w:rPr>
          <w:color w:val="FF0000"/>
          <w:spacing w:val="-4"/>
          <w:w w:val="95"/>
          <w:u w:val="double" w:color="FF0000"/>
        </w:rPr>
        <w:t>原材料、库存商品</w:t>
      </w:r>
      <w:r>
        <w:rPr>
          <w:spacing w:val="-4"/>
          <w:w w:val="95"/>
        </w:rPr>
        <w:t xml:space="preserve">等存货账户，其借   </w:t>
      </w:r>
      <w:r>
        <w:rPr>
          <w:spacing w:val="-4"/>
        </w:rPr>
        <w:t>方（收入</w:t>
      </w:r>
      <w:r>
        <w:rPr>
          <w:spacing w:val="-101"/>
        </w:rPr>
        <w:t>）</w:t>
      </w:r>
      <w:r>
        <w:t>、贷方（发出）和余额（结存）都分别设有</w:t>
      </w:r>
      <w:r>
        <w:rPr>
          <w:color w:val="FF0000"/>
          <w:u w:val="double" w:color="FF0000"/>
        </w:rPr>
        <w:t>数量、单价和金额</w:t>
      </w:r>
      <w:r>
        <w:t>三个专栏。</w:t>
      </w:r>
    </w:p>
    <w:p>
      <w:pPr>
        <w:pStyle w:val="6"/>
        <w:spacing w:before="2" w:line="304" w:lineRule="auto"/>
        <w:ind w:left="322" w:right="647" w:firstLine="400"/>
      </w:pPr>
      <w:r>
        <w:rPr>
          <w:w w:val="95"/>
        </w:rPr>
        <w:t xml:space="preserve">数量金额式账页提供了企业有关财产物资数量和金额收、发、存的详细资料，从而能加强财产物资的实物管   </w:t>
      </w:r>
      <w:r>
        <w:t>理和使用监督，保证这些财产物资的安全完整。</w:t>
      </w:r>
    </w:p>
    <w:p>
      <w:pPr>
        <w:pStyle w:val="5"/>
        <w:numPr>
          <w:ilvl w:val="0"/>
          <w:numId w:val="37"/>
        </w:numPr>
        <w:tabs>
          <w:tab w:val="left" w:pos="925"/>
        </w:tabs>
        <w:spacing w:before="0" w:after="0" w:line="256" w:lineRule="exact"/>
        <w:ind w:left="924" w:right="0" w:hanging="202"/>
        <w:jc w:val="left"/>
      </w:pPr>
      <w:r>
        <w:t>总分类账户与明细分类账户的平行登记</w:t>
      </w:r>
    </w:p>
    <w:p>
      <w:pPr>
        <w:pStyle w:val="6"/>
        <w:spacing w:line="304" w:lineRule="auto"/>
        <w:ind w:left="322" w:right="646" w:firstLine="400"/>
      </w:pPr>
      <w:r>
        <w:rPr>
          <w:w w:val="95"/>
        </w:rPr>
        <w:t xml:space="preserve">平行登记是指对所发生的每项经济业务都要以会计凭证为依据，一方面记入有关总分类账户，另一方面记入   </w:t>
      </w:r>
      <w:r>
        <w:t>所辖明细分类账户的方法。</w:t>
      </w:r>
    </w:p>
    <w:p>
      <w:pPr>
        <w:spacing w:before="2"/>
        <w:ind w:left="723" w:right="0" w:firstLine="0"/>
        <w:jc w:val="left"/>
        <w:rPr>
          <w:sz w:val="20"/>
        </w:rPr>
      </w:pPr>
      <w:r>
        <w:rPr>
          <w:spacing w:val="-5"/>
          <w:w w:val="99"/>
          <w:sz w:val="20"/>
        </w:rPr>
        <w:t>总分类账户与明细分类账户平行登记的要点是：</w:t>
      </w:r>
      <w:r>
        <w:rPr>
          <w:b/>
          <w:color w:val="00AFEF"/>
          <w:spacing w:val="2"/>
          <w:w w:val="99"/>
          <w:sz w:val="20"/>
          <w:u w:val="single" w:color="00AFEF"/>
        </w:rPr>
        <w:t>（</w:t>
      </w:r>
      <w:r>
        <w:rPr>
          <w:b/>
          <w:color w:val="00AFEF"/>
          <w:spacing w:val="1"/>
          <w:w w:val="98"/>
          <w:sz w:val="20"/>
          <w:u w:val="single" w:color="00AFEF"/>
        </w:rPr>
        <w:t>1</w:t>
      </w:r>
      <w:r>
        <w:rPr>
          <w:b/>
          <w:color w:val="00AFEF"/>
          <w:spacing w:val="2"/>
          <w:w w:val="99"/>
          <w:sz w:val="20"/>
          <w:u w:val="single" w:color="00AFEF"/>
        </w:rPr>
        <w:t>）</w:t>
      </w:r>
      <w:r>
        <w:rPr>
          <w:b/>
          <w:color w:val="00AFEF"/>
          <w:spacing w:val="-20"/>
          <w:w w:val="99"/>
          <w:sz w:val="20"/>
          <w:u w:val="single" w:color="00AFEF"/>
        </w:rPr>
        <w:t>方向相同；</w:t>
      </w:r>
      <w:r>
        <w:rPr>
          <w:b/>
          <w:color w:val="00AFEF"/>
          <w:w w:val="99"/>
          <w:sz w:val="20"/>
          <w:u w:val="single" w:color="00AFEF"/>
        </w:rPr>
        <w:t>（</w:t>
      </w:r>
      <w:r>
        <w:rPr>
          <w:b/>
          <w:color w:val="00AFEF"/>
          <w:spacing w:val="1"/>
          <w:w w:val="98"/>
          <w:sz w:val="20"/>
          <w:u w:val="single" w:color="00AFEF"/>
        </w:rPr>
        <w:t>2</w:t>
      </w:r>
      <w:r>
        <w:rPr>
          <w:b/>
          <w:color w:val="00AFEF"/>
          <w:spacing w:val="2"/>
          <w:w w:val="99"/>
          <w:sz w:val="20"/>
          <w:u w:val="single" w:color="00AFEF"/>
        </w:rPr>
        <w:t>）</w:t>
      </w:r>
      <w:r>
        <w:rPr>
          <w:b/>
          <w:color w:val="00AFEF"/>
          <w:spacing w:val="-20"/>
          <w:w w:val="99"/>
          <w:sz w:val="20"/>
          <w:u w:val="single" w:color="00AFEF"/>
        </w:rPr>
        <w:t>期间一致；</w:t>
      </w:r>
      <w:r>
        <w:rPr>
          <w:b/>
          <w:color w:val="00AFEF"/>
          <w:spacing w:val="2"/>
          <w:w w:val="99"/>
          <w:sz w:val="20"/>
          <w:u w:val="single" w:color="00AFEF"/>
        </w:rPr>
        <w:t>（</w:t>
      </w:r>
      <w:r>
        <w:rPr>
          <w:b/>
          <w:color w:val="00AFEF"/>
          <w:spacing w:val="1"/>
          <w:w w:val="98"/>
          <w:sz w:val="20"/>
          <w:u w:val="single" w:color="00AFEF"/>
        </w:rPr>
        <w:t>3</w:t>
      </w:r>
      <w:r>
        <w:rPr>
          <w:b/>
          <w:color w:val="00AFEF"/>
          <w:spacing w:val="2"/>
          <w:w w:val="99"/>
          <w:sz w:val="20"/>
          <w:u w:val="single" w:color="00AFEF"/>
        </w:rPr>
        <w:t>）</w:t>
      </w:r>
      <w:r>
        <w:rPr>
          <w:b/>
          <w:color w:val="00AFEF"/>
          <w:spacing w:val="1"/>
          <w:w w:val="99"/>
          <w:sz w:val="20"/>
          <w:u w:val="single" w:color="00AFEF"/>
        </w:rPr>
        <w:t>金额相等</w:t>
      </w:r>
      <w:r>
        <w:rPr>
          <w:w w:val="99"/>
          <w:sz w:val="20"/>
        </w:rPr>
        <w:t>；</w:t>
      </w:r>
    </w:p>
    <w:p>
      <w:pPr>
        <w:pStyle w:val="5"/>
      </w:pPr>
      <w:r>
        <w:t>（四）对账与结账</w:t>
      </w:r>
    </w:p>
    <w:p>
      <w:pPr>
        <w:spacing w:before="70"/>
        <w:ind w:left="723" w:right="0" w:firstLine="0"/>
        <w:jc w:val="left"/>
        <w:rPr>
          <w:sz w:val="20"/>
        </w:rPr>
      </w:pPr>
      <w:r>
        <w:rPr>
          <w:b/>
          <w:sz w:val="20"/>
        </w:rPr>
        <w:t>1.对账:</w:t>
      </w:r>
      <w:r>
        <w:rPr>
          <w:b/>
          <w:color w:val="00AFEF"/>
          <w:sz w:val="20"/>
          <w:u w:val="single" w:color="00AFEF"/>
        </w:rPr>
        <w:t>对账就是核对账目</w:t>
      </w:r>
      <w:r>
        <w:rPr>
          <w:sz w:val="20"/>
        </w:rPr>
        <w:t>，是对账簿记录所进行的核对工作。对账一般分为账证核对、账账核对、账实核</w:t>
      </w:r>
    </w:p>
    <w:p>
      <w:pPr>
        <w:pStyle w:val="6"/>
        <w:spacing w:before="68"/>
        <w:ind w:left="322"/>
      </w:pPr>
      <w:r>
        <w:t>对。</w:t>
      </w:r>
    </w:p>
    <w:p>
      <w:pPr>
        <w:pStyle w:val="13"/>
        <w:numPr>
          <w:ilvl w:val="0"/>
          <w:numId w:val="39"/>
        </w:numPr>
        <w:tabs>
          <w:tab w:val="left" w:pos="1224"/>
        </w:tabs>
        <w:spacing w:before="70" w:after="0" w:line="240" w:lineRule="auto"/>
        <w:ind w:left="1223" w:right="0" w:hanging="501"/>
        <w:jc w:val="left"/>
        <w:rPr>
          <w:sz w:val="20"/>
        </w:rPr>
      </w:pPr>
      <w:r>
        <w:rPr>
          <w:b/>
          <w:sz w:val="20"/>
        </w:rPr>
        <w:t>账证核对:</w:t>
      </w:r>
      <w:r>
        <w:rPr>
          <w:spacing w:val="-3"/>
          <w:sz w:val="20"/>
        </w:rPr>
        <w:t>账证核对是指将账簿记录与会计凭证核对，核对账簿记录与原始凭证、记账凭证的时间、凭</w:t>
      </w:r>
    </w:p>
    <w:p>
      <w:pPr>
        <w:pStyle w:val="6"/>
        <w:ind w:left="322"/>
      </w:pPr>
      <w:r>
        <w:t>证字号、内容、金额等是否一致，记账方向是否相符，</w:t>
      </w:r>
      <w:r>
        <w:rPr>
          <w:b/>
          <w:color w:val="00AFEF"/>
          <w:u w:val="single" w:color="00AFEF"/>
        </w:rPr>
        <w:t>做到账证相符</w:t>
      </w:r>
      <w:r>
        <w:t>。</w:t>
      </w:r>
    </w:p>
    <w:p>
      <w:pPr>
        <w:pStyle w:val="5"/>
        <w:numPr>
          <w:ilvl w:val="0"/>
          <w:numId w:val="39"/>
        </w:numPr>
        <w:tabs>
          <w:tab w:val="left" w:pos="1225"/>
        </w:tabs>
        <w:spacing w:before="71" w:after="0" w:line="240" w:lineRule="auto"/>
        <w:ind w:left="1224" w:right="0" w:hanging="502"/>
        <w:jc w:val="left"/>
      </w:pPr>
      <w:r>
        <w:t>账账核对</w:t>
      </w:r>
    </w:p>
    <w:p>
      <w:pPr>
        <w:pStyle w:val="6"/>
      </w:pPr>
      <w:r>
        <mc:AlternateContent>
          <mc:Choice Requires="wpg">
            <w:drawing>
              <wp:anchor distT="0" distB="0" distL="114300" distR="114300" simplePos="0" relativeHeight="15775744" behindDoc="0" locked="0" layoutInCell="1" allowOverlap="1">
                <wp:simplePos x="0" y="0"/>
                <wp:positionH relativeFrom="page">
                  <wp:posOffset>3695700</wp:posOffset>
                </wp:positionH>
                <wp:positionV relativeFrom="paragraph">
                  <wp:posOffset>101600</wp:posOffset>
                </wp:positionV>
                <wp:extent cx="701040" cy="370840"/>
                <wp:effectExtent l="0" t="0" r="3810" b="10160"/>
                <wp:wrapNone/>
                <wp:docPr id="106" name="组合 108"/>
                <wp:cNvGraphicFramePr/>
                <a:graphic xmlns:a="http://schemas.openxmlformats.org/drawingml/2006/main">
                  <a:graphicData uri="http://schemas.microsoft.com/office/word/2010/wordprocessingGroup">
                    <wpg:wgp>
                      <wpg:cNvGrpSpPr/>
                      <wpg:grpSpPr>
                        <a:xfrm>
                          <a:off x="0" y="0"/>
                          <a:ext cx="701040" cy="370840"/>
                          <a:chOff x="5820" y="161"/>
                          <a:chExt cx="1104" cy="584"/>
                        </a:xfrm>
                      </wpg:grpSpPr>
                      <wps:wsp>
                        <wps:cNvPr id="102" name="任意多边形 109"/>
                        <wps:cNvSpPr/>
                        <wps:spPr>
                          <a:xfrm>
                            <a:off x="5820" y="161"/>
                            <a:ext cx="1104" cy="584"/>
                          </a:xfrm>
                          <a:custGeom>
                            <a:avLst/>
                            <a:gdLst/>
                            <a:ahLst/>
                            <a:cxnLst/>
                            <a:pathLst>
                              <a:path w="1104" h="584">
                                <a:moveTo>
                                  <a:pt x="94" y="583"/>
                                </a:moveTo>
                                <a:lnTo>
                                  <a:pt x="182" y="499"/>
                                </a:lnTo>
                                <a:lnTo>
                                  <a:pt x="0" y="499"/>
                                </a:lnTo>
                                <a:lnTo>
                                  <a:pt x="0" y="0"/>
                                </a:lnTo>
                                <a:lnTo>
                                  <a:pt x="1104" y="0"/>
                                </a:lnTo>
                                <a:lnTo>
                                  <a:pt x="1104" y="499"/>
                                </a:lnTo>
                                <a:lnTo>
                                  <a:pt x="458" y="499"/>
                                </a:lnTo>
                                <a:lnTo>
                                  <a:pt x="94" y="583"/>
                                </a:lnTo>
                                <a:close/>
                              </a:path>
                            </a:pathLst>
                          </a:custGeom>
                          <a:solidFill>
                            <a:srgbClr val="D9D9D9"/>
                          </a:solidFill>
                          <a:ln>
                            <a:noFill/>
                          </a:ln>
                        </wps:spPr>
                        <wps:bodyPr upright="1"/>
                      </wps:wsp>
                      <wps:wsp>
                        <wps:cNvPr id="104" name="文本框 110"/>
                        <wps:cNvSpPr txBox="1"/>
                        <wps:spPr>
                          <a:xfrm>
                            <a:off x="5820" y="161"/>
                            <a:ext cx="1104" cy="584"/>
                          </a:xfrm>
                          <a:prstGeom prst="rect">
                            <a:avLst/>
                          </a:prstGeom>
                          <a:noFill/>
                          <a:ln>
                            <a:noFill/>
                          </a:ln>
                        </wps:spPr>
                        <wps:txbx>
                          <w:txbxContent>
                            <w:p>
                              <w:pPr>
                                <w:spacing w:before="138"/>
                                <w:ind w:left="192" w:right="0" w:firstLine="0"/>
                                <w:jc w:val="left"/>
                                <w:rPr>
                                  <w:sz w:val="18"/>
                                </w:rPr>
                              </w:pPr>
                              <w:r>
                                <w:rPr>
                                  <w:sz w:val="18"/>
                                </w:rPr>
                                <w:t>试算平衡</w:t>
                              </w:r>
                            </w:p>
                          </w:txbxContent>
                        </wps:txbx>
                        <wps:bodyPr lIns="0" tIns="0" rIns="0" bIns="0" upright="1"/>
                      </wps:wsp>
                    </wpg:wgp>
                  </a:graphicData>
                </a:graphic>
              </wp:anchor>
            </w:drawing>
          </mc:Choice>
          <mc:Fallback>
            <w:pict>
              <v:group id="组合 108" o:spid="_x0000_s1026" o:spt="203" style="position:absolute;left:0pt;margin-left:291pt;margin-top:8pt;height:29.2pt;width:55.2pt;mso-position-horizontal-relative:page;z-index:15775744;mso-width-relative:page;mso-height-relative:page;" coordorigin="5820,161" coordsize="1104,584" o:gfxdata="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0bEhPdoAAAAJAQAADwAAAAAAAAABACAAAAAiAAAAZHJzL2Rvd25yZXYueG1s&#10;UEsBAhQAFAAAAAgAh07iQECtQEzaAgAAdwcAAA4AAAAAAAAAAQAgAAAAKQEAAGRycy9lMm9Eb2Mu&#10;eG1sUEsFBgAAAAAGAAYAWQEAAHUGAAAAAA==&#10;">
                <o:lock v:ext="edit" aspectratio="f"/>
                <v:shape id="任意多边形 109" o:spid="_x0000_s1026" o:spt="100" style="position:absolute;left:5820;top:161;height:584;width:1104;" fillcolor="#D9D9D9" filled="t" stroked="f" coordsize="1104,584" o:gfxdata="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ozre8AAAA&#10;3AAAAA8AAAAAAAAAAQAgAAAAIgAAAGRycy9kb3ducmV2LnhtbFBLAQIUABQAAAAIAIdO4kAzLwWe&#10;OwAAADkAAAAQAAAAAAAAAAEAIAAAAAsBAABkcnMvc2hhcGV4bWwueG1sUEsFBgAAAAAGAAYAWwEA&#10;ALUDAAAAAA==&#10;" path="m94,583l182,499,0,499,0,0,1104,0,1104,499,458,499,94,583xe">
                  <v:fill on="t" focussize="0,0"/>
                  <v:stroke on="f"/>
                  <v:imagedata o:title=""/>
                  <o:lock v:ext="edit" aspectratio="f"/>
                </v:shape>
                <v:shape id="文本框 110" o:spid="_x0000_s1026" o:spt="202" type="#_x0000_t202" style="position:absolute;left:5820;top:161;height:584;width:1104;"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38"/>
                          <w:ind w:left="192" w:right="0" w:firstLine="0"/>
                          <w:jc w:val="left"/>
                          <w:rPr>
                            <w:sz w:val="18"/>
                          </w:rPr>
                        </w:pPr>
                        <w:r>
                          <w:rPr>
                            <w:sz w:val="18"/>
                          </w:rPr>
                          <w:t>试算平衡</w:t>
                        </w:r>
                      </w:p>
                    </w:txbxContent>
                  </v:textbox>
                </v:shape>
              </v:group>
            </w:pict>
          </mc:Fallback>
        </mc:AlternateContent>
      </w:r>
      <w:r>
        <w:rPr>
          <w:w w:val="95"/>
        </w:rPr>
        <w:t>账账核对的内容主要包括：</w:t>
      </w:r>
    </w:p>
    <w:p>
      <w:pPr>
        <w:pStyle w:val="6"/>
      </w:pPr>
      <w:r>
        <w:rPr>
          <w:color w:val="FF0000"/>
          <w:w w:val="95"/>
          <w:u w:val="double" w:color="FF0000"/>
        </w:rPr>
        <w:t>①总分类账簿之间的核对；</w:t>
      </w:r>
    </w:p>
    <w:p>
      <w:pPr>
        <w:pStyle w:val="6"/>
        <w:spacing w:before="68" w:line="304" w:lineRule="auto"/>
        <w:ind w:right="4761"/>
      </w:pPr>
      <w:r>
        <w:t>全部账户本期借方发生额合计=全部账户本期贷方发生额合计全部账户本期借方余额合计=全部账户本期贷方余额合计</w:t>
      </w:r>
    </w:p>
    <w:p>
      <w:pPr>
        <w:pStyle w:val="6"/>
        <w:spacing w:before="2"/>
      </w:pPr>
      <w:r>
        <w:rPr>
          <w:color w:val="FF0000"/>
          <w:u w:val="double" w:color="FF0000"/>
        </w:rPr>
        <w:t>②总分类账簿与所辖明细分类账簿之间的核对</w:t>
      </w:r>
      <w:r>
        <w:t>；</w:t>
      </w:r>
    </w:p>
    <w:p>
      <w:pPr>
        <w:spacing w:after="0"/>
        <w:sectPr>
          <w:pgSz w:w="11910" w:h="16160"/>
          <w:pgMar w:top="1680" w:right="360" w:bottom="860" w:left="760" w:header="0" w:footer="584" w:gutter="0"/>
        </w:sectPr>
      </w:pPr>
    </w:p>
    <w:p>
      <w:pPr>
        <w:pStyle w:val="6"/>
        <w:spacing w:before="11"/>
        <w:ind w:left="0"/>
        <w:rPr>
          <w:sz w:val="13"/>
        </w:rPr>
      </w:pPr>
    </w:p>
    <w:p>
      <w:pPr>
        <w:pStyle w:val="6"/>
        <w:spacing w:before="71"/>
      </w:pPr>
      <w:r>
        <mc:AlternateContent>
          <mc:Choice Requires="wpg">
            <w:drawing>
              <wp:anchor distT="0" distB="0" distL="114300" distR="114300" simplePos="0" relativeHeight="15776768" behindDoc="0" locked="0" layoutInCell="1" allowOverlap="1">
                <wp:simplePos x="0" y="0"/>
                <wp:positionH relativeFrom="page">
                  <wp:posOffset>4536440</wp:posOffset>
                </wp:positionH>
                <wp:positionV relativeFrom="paragraph">
                  <wp:posOffset>55245</wp:posOffset>
                </wp:positionV>
                <wp:extent cx="701040" cy="445135"/>
                <wp:effectExtent l="635" t="635" r="3175" b="11430"/>
                <wp:wrapNone/>
                <wp:docPr id="112" name="组合 111"/>
                <wp:cNvGraphicFramePr/>
                <a:graphic xmlns:a="http://schemas.openxmlformats.org/drawingml/2006/main">
                  <a:graphicData uri="http://schemas.microsoft.com/office/word/2010/wordprocessingGroup">
                    <wpg:wgp>
                      <wpg:cNvGrpSpPr/>
                      <wpg:grpSpPr>
                        <a:xfrm>
                          <a:off x="0" y="0"/>
                          <a:ext cx="701040" cy="445135"/>
                          <a:chOff x="7145" y="88"/>
                          <a:chExt cx="1104" cy="701"/>
                        </a:xfrm>
                      </wpg:grpSpPr>
                      <wps:wsp>
                        <wps:cNvPr id="108" name="任意多边形 112"/>
                        <wps:cNvSpPr/>
                        <wps:spPr>
                          <a:xfrm>
                            <a:off x="7144" y="87"/>
                            <a:ext cx="1104" cy="701"/>
                          </a:xfrm>
                          <a:custGeom>
                            <a:avLst/>
                            <a:gdLst/>
                            <a:ahLst/>
                            <a:cxnLst/>
                            <a:pathLst>
                              <a:path w="1104" h="701">
                                <a:moveTo>
                                  <a:pt x="1104" y="700"/>
                                </a:moveTo>
                                <a:lnTo>
                                  <a:pt x="0" y="700"/>
                                </a:lnTo>
                                <a:lnTo>
                                  <a:pt x="0" y="168"/>
                                </a:lnTo>
                                <a:lnTo>
                                  <a:pt x="185" y="168"/>
                                </a:lnTo>
                                <a:lnTo>
                                  <a:pt x="62" y="0"/>
                                </a:lnTo>
                                <a:lnTo>
                                  <a:pt x="461" y="168"/>
                                </a:lnTo>
                                <a:lnTo>
                                  <a:pt x="1104" y="168"/>
                                </a:lnTo>
                                <a:lnTo>
                                  <a:pt x="1104" y="700"/>
                                </a:lnTo>
                                <a:close/>
                              </a:path>
                            </a:pathLst>
                          </a:custGeom>
                          <a:solidFill>
                            <a:srgbClr val="D9D9D9"/>
                          </a:solidFill>
                          <a:ln>
                            <a:noFill/>
                          </a:ln>
                        </wps:spPr>
                        <wps:bodyPr upright="1"/>
                      </wps:wsp>
                      <wps:wsp>
                        <wps:cNvPr id="110" name="文本框 113"/>
                        <wps:cNvSpPr txBox="1"/>
                        <wps:spPr>
                          <a:xfrm>
                            <a:off x="7144" y="87"/>
                            <a:ext cx="1104" cy="701"/>
                          </a:xfrm>
                          <a:prstGeom prst="rect">
                            <a:avLst/>
                          </a:prstGeom>
                          <a:noFill/>
                          <a:ln>
                            <a:noFill/>
                          </a:ln>
                        </wps:spPr>
                        <wps:txbx>
                          <w:txbxContent>
                            <w:p>
                              <w:pPr>
                                <w:spacing w:before="8" w:line="240" w:lineRule="auto"/>
                                <w:rPr>
                                  <w:b/>
                                  <w:sz w:val="23"/>
                                </w:rPr>
                              </w:pPr>
                            </w:p>
                            <w:p>
                              <w:pPr>
                                <w:spacing w:before="0"/>
                                <w:ind w:left="191" w:right="0" w:firstLine="0"/>
                                <w:jc w:val="left"/>
                                <w:rPr>
                                  <w:sz w:val="18"/>
                                </w:rPr>
                              </w:pPr>
                              <w:r>
                                <w:rPr>
                                  <w:sz w:val="18"/>
                                </w:rPr>
                                <w:t>平行登记</w:t>
                              </w:r>
                            </w:p>
                          </w:txbxContent>
                        </wps:txbx>
                        <wps:bodyPr lIns="0" tIns="0" rIns="0" bIns="0" upright="1"/>
                      </wps:wsp>
                    </wpg:wgp>
                  </a:graphicData>
                </a:graphic>
              </wp:anchor>
            </w:drawing>
          </mc:Choice>
          <mc:Fallback>
            <w:pict>
              <v:group id="组合 111" o:spid="_x0000_s1026" o:spt="203" style="position:absolute;left:0pt;margin-left:357.2pt;margin-top:4.35pt;height:35.05pt;width:55.2pt;mso-position-horizontal-relative:page;z-index:15776768;mso-width-relative:page;mso-height-relative:page;" coordorigin="7145,88" coordsize="1104,701" o:gfxdata="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FGZWMXYAAAACAEAAA8AAAAAAAAAAQAgAAAAIgAAAGRycy9kb3du&#10;cmV2LnhtbFBLAQIUABQAAAAIAIdO4kDQEBwU4wIAAHgHAAAOAAAAAAAAAAEAIAAAACcBAABkcnMv&#10;ZTJvRG9jLnhtbFBLBQYAAAAABgAGAFkBAAB8BgAAAAA=&#10;">
                <o:lock v:ext="edit" aspectratio="f"/>
                <v:shape id="任意多边形 112" o:spid="_x0000_s1026" o:spt="100" style="position:absolute;left:7144;top:87;height:701;width:1104;" fillcolor="#D9D9D9" filled="t" stroked="f" coordsize="1104,701" o:gfxdata="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8b2y/&#10;AAAA3AAAAA8AAAAAAAAAAQAgAAAAIgAAAGRycy9kb3ducmV2LnhtbFBLAQIUABQAAAAIAIdO4kAz&#10;LwWeOwAAADkAAAAQAAAAAAAAAAEAIAAAAA4BAABkcnMvc2hhcGV4bWwueG1sUEsFBgAAAAAGAAYA&#10;WwEAALgDAAAAAA==&#10;" path="m1104,700l0,700,0,168,185,168,62,0,461,168,1104,168,1104,700xe">
                  <v:fill on="t" focussize="0,0"/>
                  <v:stroke on="f"/>
                  <v:imagedata o:title=""/>
                  <o:lock v:ext="edit" aspectratio="f"/>
                </v:shape>
                <v:shape id="文本框 113" o:spid="_x0000_s1026" o:spt="202" type="#_x0000_t202" style="position:absolute;left:7144;top:87;height:701;width:1104;" filled="f" stroked="f" coordsize="21600,2160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8" w:line="240" w:lineRule="auto"/>
                          <w:rPr>
                            <w:b/>
                            <w:sz w:val="23"/>
                          </w:rPr>
                        </w:pPr>
                      </w:p>
                      <w:p>
                        <w:pPr>
                          <w:spacing w:before="0"/>
                          <w:ind w:left="191" w:right="0" w:firstLine="0"/>
                          <w:jc w:val="left"/>
                          <w:rPr>
                            <w:sz w:val="18"/>
                          </w:rPr>
                        </w:pPr>
                        <w:r>
                          <w:rPr>
                            <w:sz w:val="18"/>
                          </w:rPr>
                          <w:t>平行登记</w:t>
                        </w:r>
                      </w:p>
                    </w:txbxContent>
                  </v:textbox>
                </v:shape>
              </v:group>
            </w:pict>
          </mc:Fallback>
        </mc:AlternateContent>
      </w:r>
      <w:r>
        <mc:AlternateContent>
          <mc:Choice Requires="wpg">
            <w:drawing>
              <wp:anchor distT="0" distB="0" distL="114300" distR="114300" simplePos="0" relativeHeight="15777792" behindDoc="0" locked="0" layoutInCell="1" allowOverlap="1">
                <wp:simplePos x="0" y="0"/>
                <wp:positionH relativeFrom="page">
                  <wp:posOffset>3152140</wp:posOffset>
                </wp:positionH>
                <wp:positionV relativeFrom="paragraph">
                  <wp:posOffset>183515</wp:posOffset>
                </wp:positionV>
                <wp:extent cx="739140" cy="273050"/>
                <wp:effectExtent l="0" t="0" r="3810" b="12700"/>
                <wp:wrapNone/>
                <wp:docPr id="116" name="组合 114"/>
                <wp:cNvGraphicFramePr/>
                <a:graphic xmlns:a="http://schemas.openxmlformats.org/drawingml/2006/main">
                  <a:graphicData uri="http://schemas.microsoft.com/office/word/2010/wordprocessingGroup">
                    <wpg:wgp>
                      <wpg:cNvGrpSpPr/>
                      <wpg:grpSpPr>
                        <a:xfrm>
                          <a:off x="0" y="0"/>
                          <a:ext cx="739140" cy="273050"/>
                          <a:chOff x="4964" y="289"/>
                          <a:chExt cx="1164" cy="430"/>
                        </a:xfrm>
                      </wpg:grpSpPr>
                      <wps:wsp>
                        <wps:cNvPr id="114" name="任意多边形 115"/>
                        <wps:cNvSpPr/>
                        <wps:spPr>
                          <a:xfrm>
                            <a:off x="4964" y="289"/>
                            <a:ext cx="1164" cy="178"/>
                          </a:xfrm>
                          <a:custGeom>
                            <a:avLst/>
                            <a:gdLst/>
                            <a:ahLst/>
                            <a:cxnLst/>
                            <a:pathLst>
                              <a:path w="1164" h="178">
                                <a:moveTo>
                                  <a:pt x="1163" y="0"/>
                                </a:moveTo>
                                <a:lnTo>
                                  <a:pt x="59" y="0"/>
                                </a:lnTo>
                                <a:lnTo>
                                  <a:pt x="59" y="72"/>
                                </a:lnTo>
                                <a:lnTo>
                                  <a:pt x="0" y="72"/>
                                </a:lnTo>
                                <a:lnTo>
                                  <a:pt x="0" y="166"/>
                                </a:lnTo>
                                <a:lnTo>
                                  <a:pt x="4" y="166"/>
                                </a:lnTo>
                                <a:lnTo>
                                  <a:pt x="4" y="178"/>
                                </a:lnTo>
                                <a:lnTo>
                                  <a:pt x="1163" y="178"/>
                                </a:lnTo>
                                <a:lnTo>
                                  <a:pt x="1163" y="166"/>
                                </a:lnTo>
                                <a:lnTo>
                                  <a:pt x="1163" y="72"/>
                                </a:lnTo>
                                <a:lnTo>
                                  <a:pt x="1163" y="0"/>
                                </a:lnTo>
                                <a:close/>
                              </a:path>
                            </a:pathLst>
                          </a:custGeom>
                          <a:solidFill>
                            <a:srgbClr val="D9D9D9"/>
                          </a:solidFill>
                          <a:ln>
                            <a:noFill/>
                          </a:ln>
                        </wps:spPr>
                        <wps:bodyPr upright="1"/>
                      </wps:wsp>
                      <wps:wsp>
                        <wps:cNvPr id="115" name="文本框 116"/>
                        <wps:cNvSpPr txBox="1"/>
                        <wps:spPr>
                          <a:xfrm>
                            <a:off x="5023" y="467"/>
                            <a:ext cx="1104" cy="252"/>
                          </a:xfrm>
                          <a:prstGeom prst="rect">
                            <a:avLst/>
                          </a:prstGeom>
                          <a:solidFill>
                            <a:srgbClr val="D9D9D9"/>
                          </a:solidFill>
                          <a:ln>
                            <a:noFill/>
                          </a:ln>
                        </wps:spPr>
                        <wps:txbx>
                          <w:txbxContent>
                            <w:p>
                              <w:pPr>
                                <w:spacing w:before="0" w:line="190" w:lineRule="exact"/>
                                <w:ind w:left="191" w:right="0" w:firstLine="0"/>
                                <w:jc w:val="left"/>
                                <w:rPr>
                                  <w:sz w:val="18"/>
                                </w:rPr>
                              </w:pPr>
                              <w:r>
                                <w:rPr>
                                  <w:sz w:val="18"/>
                                </w:rPr>
                                <w:t>平行登记</w:t>
                              </w:r>
                            </w:p>
                          </w:txbxContent>
                        </wps:txbx>
                        <wps:bodyPr lIns="0" tIns="0" rIns="0" bIns="0" upright="1"/>
                      </wps:wsp>
                    </wpg:wgp>
                  </a:graphicData>
                </a:graphic>
              </wp:anchor>
            </w:drawing>
          </mc:Choice>
          <mc:Fallback>
            <w:pict>
              <v:group id="组合 114" o:spid="_x0000_s1026" o:spt="203" style="position:absolute;left:0pt;margin-left:248.2pt;margin-top:14.45pt;height:21.5pt;width:58.2pt;mso-position-horizontal-relative:page;z-index:15777792;mso-width-relative:page;mso-height-relative:page;" coordorigin="4964,289" coordsize="1164,430" o:gfxdata="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c+UYsdoA&#10;AAAJAQAADwAAAAAAAAABACAAAAAiAAAAZHJzL2Rvd25yZXYueG1sUEsBAhQAFAAAAAgAh07iQHDd&#10;7AEBAwAAEggAAA4AAAAAAAAAAQAgAAAAKQEAAGRycy9lMm9Eb2MueG1sUEsFBgAAAAAGAAYAWQEA&#10;AJwGAAAAAA==&#10;">
                <o:lock v:ext="edit" aspectratio="f"/>
                <v:shape id="任意多边形 115" o:spid="_x0000_s1026" o:spt="100" style="position:absolute;left:4964;top:289;height:178;width:1164;" fillcolor="#D9D9D9" filled="t" stroked="f" coordsize="1164,178" o:gfxdata="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KMCtugAAANwA&#10;AAAPAAAAAAAAAAEAIAAAACIAAABkcnMvZG93bnJldi54bWxQSwECFAAUAAAACACHTuJAMy8FnjsA&#10;AAA5AAAAEAAAAAAAAAABACAAAAAJAQAAZHJzL3NoYXBleG1sLnhtbFBLBQYAAAAABgAGAFsBAACz&#10;AwAAAAA=&#10;" path="m1163,0l59,0,59,72,0,72,0,166,4,166,4,178,1163,178,1163,166,1163,72,1163,0xe">
                  <v:fill on="t" focussize="0,0"/>
                  <v:stroke on="f"/>
                  <v:imagedata o:title=""/>
                  <o:lock v:ext="edit" aspectratio="f"/>
                </v:shape>
                <v:shape id="文本框 116" o:spid="_x0000_s1026" o:spt="202" type="#_x0000_t202" style="position:absolute;left:5023;top:467;height:252;width:1104;" fillcolor="#D9D9D9" filled="t" stroked="f" coordsize="21600,21600" o:gfxdata="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0xkL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190" w:lineRule="exact"/>
                          <w:ind w:left="191" w:right="0" w:firstLine="0"/>
                          <w:jc w:val="left"/>
                          <w:rPr>
                            <w:sz w:val="18"/>
                          </w:rPr>
                        </w:pPr>
                        <w:r>
                          <w:rPr>
                            <w:sz w:val="18"/>
                          </w:rPr>
                          <w:t>平行登记</w:t>
                        </w:r>
                      </w:p>
                    </w:txbxContent>
                  </v:textbox>
                </v:shape>
              </v:group>
            </w:pict>
          </mc:Fallback>
        </mc:AlternateContent>
      </w:r>
      <w:r>
        <w:t>总分类账户与其所辖的明细分类账户本期发生额及余额相等。</w:t>
      </w:r>
    </w:p>
    <w:p>
      <w:pPr>
        <w:pStyle w:val="6"/>
      </w:pPr>
      <w:r>
        <w:t>③总分类账簿与序时账簿之间的核对；</w:t>
      </w:r>
    </w:p>
    <w:p>
      <w:pPr>
        <w:pStyle w:val="6"/>
      </w:pPr>
      <w:r>
        <w:t>库存现金日记账与银行存款日记账和总分类账核对</w:t>
      </w:r>
    </w:p>
    <w:p>
      <w:pPr>
        <w:pStyle w:val="6"/>
      </w:pPr>
      <w:r>
        <w:t>④明细分类账簿之间的核对。</w:t>
      </w:r>
    </w:p>
    <w:p>
      <w:pPr>
        <w:pStyle w:val="6"/>
        <w:spacing w:before="71"/>
      </w:pPr>
      <w:r>
        <w:t>会计部门各财产物资的明细分类账与财产物资保管使用部门有关明细账进行核对。</w:t>
      </w:r>
    </w:p>
    <w:p>
      <w:pPr>
        <w:pStyle w:val="5"/>
        <w:numPr>
          <w:ilvl w:val="0"/>
          <w:numId w:val="39"/>
        </w:numPr>
        <w:tabs>
          <w:tab w:val="left" w:pos="1225"/>
        </w:tabs>
        <w:spacing w:before="67" w:after="0" w:line="240" w:lineRule="auto"/>
        <w:ind w:left="1224" w:right="0" w:hanging="502"/>
        <w:jc w:val="left"/>
      </w:pPr>
      <w:r>
        <w:t>账实核对</w:t>
      </w:r>
    </w:p>
    <w:p>
      <w:pPr>
        <w:pStyle w:val="6"/>
      </w:pPr>
      <w:r>
        <w:t>账实核对是指各项</w:t>
      </w:r>
      <w:r>
        <w:rPr>
          <w:color w:val="FF0000"/>
          <w:u w:val="double" w:color="FF0000"/>
        </w:rPr>
        <w:t>财产物资、债权债务</w:t>
      </w:r>
      <w:r>
        <w:t>等账面余额与实有数额之间的核对。</w:t>
      </w:r>
    </w:p>
    <w:p>
      <w:pPr>
        <w:pStyle w:val="6"/>
        <w:spacing w:before="71"/>
      </w:pPr>
      <w:r>
        <w:t>①库存现金日记账账面余额与库存现金实际库存数逐日核对是否相符；</w:t>
      </w:r>
    </w:p>
    <w:p>
      <w:pPr>
        <w:pStyle w:val="6"/>
      </w:pPr>
      <w:r>
        <w:t>②</w:t>
      </w:r>
      <w:r>
        <w:rPr>
          <w:color w:val="FF0000"/>
          <w:u w:val="double" w:color="FF0000"/>
        </w:rPr>
        <w:t>银行存款日记账</w:t>
      </w:r>
      <w:r>
        <w:t>账面余额与银行对账单的余额定期核对是否相符；</w:t>
      </w:r>
    </w:p>
    <w:p>
      <w:pPr>
        <w:pStyle w:val="6"/>
      </w:pPr>
      <w:r>
        <w:t>③各项财产物资明细账账面余额与财产物资的实有数额定期核对是否相符；</w:t>
      </w:r>
    </w:p>
    <w:p>
      <w:pPr>
        <w:pStyle w:val="6"/>
        <w:spacing w:line="302" w:lineRule="auto"/>
        <w:ind w:right="3662"/>
        <w:rPr>
          <w:b/>
        </w:rPr>
      </w:pPr>
      <w:r>
        <w:rPr>
          <w:w w:val="95"/>
        </w:rPr>
        <w:t>④有关</w:t>
      </w:r>
      <w:r>
        <w:rPr>
          <w:color w:val="FF0000"/>
          <w:w w:val="95"/>
          <w:u w:val="double" w:color="FF0000"/>
        </w:rPr>
        <w:t>债权债务明细账</w:t>
      </w:r>
      <w:r>
        <w:rPr>
          <w:w w:val="95"/>
        </w:rPr>
        <w:t xml:space="preserve">账面余额与对方单位的账面记录核对是否相符等。  </w:t>
      </w:r>
      <w:r>
        <w:rPr>
          <w:b/>
        </w:rPr>
        <w:t>2.结账</w:t>
      </w:r>
    </w:p>
    <w:p>
      <w:pPr>
        <w:pStyle w:val="5"/>
        <w:numPr>
          <w:ilvl w:val="0"/>
          <w:numId w:val="40"/>
        </w:numPr>
        <w:tabs>
          <w:tab w:val="left" w:pos="1225"/>
        </w:tabs>
        <w:spacing w:before="5" w:after="0" w:line="240" w:lineRule="auto"/>
        <w:ind w:left="1224" w:right="0" w:hanging="502"/>
        <w:jc w:val="left"/>
      </w:pPr>
      <w:r>
        <w:t>结账的概念</w:t>
      </w:r>
    </w:p>
    <w:p>
      <w:pPr>
        <w:pStyle w:val="6"/>
        <w:spacing w:line="304" w:lineRule="auto"/>
        <w:ind w:left="322" w:right="761" w:firstLine="400"/>
      </w:pPr>
      <w:r>
        <w:rPr>
          <w:w w:val="99"/>
        </w:rPr>
        <w:t>结账是一项将账簿记录定期结算清楚的账务工作。在一定时期结束时（如月末、季末或年末</w:t>
      </w:r>
      <w:r>
        <w:rPr>
          <w:spacing w:val="-99"/>
          <w:w w:val="99"/>
        </w:rPr>
        <w:t>）</w:t>
      </w:r>
      <w:r>
        <w:rPr>
          <w:w w:val="99"/>
        </w:rPr>
        <w:t>，为了编制财</w:t>
      </w:r>
      <w:r>
        <w:t>务报表，需要进行结账，具体包括月结、季结和年结。</w:t>
      </w:r>
    </w:p>
    <w:p>
      <w:pPr>
        <w:pStyle w:val="6"/>
        <w:spacing w:before="2" w:line="304" w:lineRule="auto"/>
        <w:ind w:left="322" w:right="722" w:firstLine="400"/>
      </w:pPr>
      <w:r>
        <w:rPr>
          <w:spacing w:val="-2"/>
          <w:w w:val="95"/>
        </w:rPr>
        <w:t>结账的内容通常包括两个方面：一是</w:t>
      </w:r>
      <w:r>
        <w:rPr>
          <w:color w:val="FF0000"/>
          <w:w w:val="95"/>
          <w:u w:val="double" w:color="FF0000"/>
        </w:rPr>
        <w:t>结清各种损益类账户</w:t>
      </w:r>
      <w:r>
        <w:rPr>
          <w:spacing w:val="-5"/>
          <w:w w:val="95"/>
        </w:rPr>
        <w:t>，并据以计算确定本期利润；二是</w:t>
      </w:r>
      <w:r>
        <w:rPr>
          <w:color w:val="FF0000"/>
          <w:spacing w:val="-3"/>
          <w:w w:val="95"/>
          <w:u w:val="double" w:color="FF0000"/>
        </w:rPr>
        <w:t>结出各资产、负</w:t>
      </w:r>
      <w:r>
        <w:rPr>
          <w:color w:val="FF0000"/>
          <w:spacing w:val="-198"/>
          <w:w w:val="95"/>
          <w:u w:val="double" w:color="FF0000"/>
        </w:rPr>
        <w:t>债</w:t>
      </w:r>
      <w:r>
        <w:rPr>
          <w:color w:val="FF0000"/>
          <w:spacing w:val="190"/>
          <w:w w:val="95"/>
          <w:u w:val="double" w:color="FF0000"/>
        </w:rPr>
        <w:t xml:space="preserve"> </w:t>
      </w:r>
      <w:r>
        <w:rPr>
          <w:color w:val="FF0000"/>
          <w:u w:val="double" w:color="FF0000"/>
        </w:rPr>
        <w:t>和所有者权益账户的本期发生额合计和期末余额</w:t>
      </w:r>
      <w:r>
        <w:t>。</w:t>
      </w:r>
    </w:p>
    <w:p>
      <w:pPr>
        <w:pStyle w:val="5"/>
        <w:numPr>
          <w:ilvl w:val="0"/>
          <w:numId w:val="40"/>
        </w:numPr>
        <w:tabs>
          <w:tab w:val="left" w:pos="1225"/>
        </w:tabs>
        <w:spacing w:before="0" w:after="0" w:line="256" w:lineRule="exact"/>
        <w:ind w:left="1224" w:right="0" w:hanging="502"/>
        <w:jc w:val="left"/>
      </w:pPr>
      <w:r>
        <w:t>结账的要点</w:t>
      </w:r>
    </w:p>
    <w:p>
      <w:pPr>
        <w:pStyle w:val="6"/>
        <w:spacing w:line="304" w:lineRule="auto"/>
        <w:ind w:left="322" w:right="720" w:firstLine="400"/>
        <w:jc w:val="both"/>
      </w:pPr>
      <w:r>
        <w:rPr>
          <w:w w:val="95"/>
        </w:rPr>
        <w:t>①</w:t>
      </w:r>
      <w:r>
        <w:rPr>
          <w:color w:val="FF0000"/>
          <w:w w:val="95"/>
          <w:u w:val="double" w:color="FF0000"/>
        </w:rPr>
        <w:t>对不需按月结计本期发生额的账户</w:t>
      </w:r>
      <w:r>
        <w:rPr>
          <w:spacing w:val="-5"/>
          <w:w w:val="95"/>
        </w:rPr>
        <w:t>，如应收账款、应付账款等。</w:t>
      </w:r>
      <w:r>
        <w:rPr>
          <w:color w:val="FF0000"/>
          <w:spacing w:val="-2"/>
          <w:w w:val="95"/>
          <w:u w:val="double" w:color="FF0000"/>
        </w:rPr>
        <w:t>每次记账以后，都要随时结出余额</w:t>
      </w:r>
      <w:r>
        <w:rPr>
          <w:spacing w:val="-4"/>
          <w:w w:val="95"/>
        </w:rPr>
        <w:t xml:space="preserve">，每月   </w:t>
      </w:r>
      <w:r>
        <w:rPr>
          <w:spacing w:val="-8"/>
          <w:w w:val="95"/>
        </w:rPr>
        <w:t>最后一笔余额即为月末余额，即月末余额就是本月最后一笔经济业务记录的同一行内余额。月末结账时，</w:t>
      </w:r>
      <w:r>
        <w:rPr>
          <w:color w:val="FF0000"/>
          <w:w w:val="95"/>
          <w:u w:val="double" w:color="FF0000"/>
        </w:rPr>
        <w:t>只需要</w:t>
      </w:r>
      <w:r>
        <w:rPr>
          <w:color w:val="FF0000"/>
          <w:spacing w:val="-199"/>
          <w:w w:val="95"/>
          <w:u w:val="double" w:color="FF0000"/>
        </w:rPr>
        <w:t>在</w:t>
      </w:r>
      <w:r>
        <w:rPr>
          <w:color w:val="FF0000"/>
          <w:spacing w:val="210"/>
          <w:w w:val="95"/>
          <w:u w:val="double" w:color="FF0000"/>
        </w:rPr>
        <w:t xml:space="preserve"> </w:t>
      </w:r>
      <w:r>
        <w:rPr>
          <w:color w:val="FF0000"/>
          <w:u w:val="double" w:color="FF0000"/>
        </w:rPr>
        <w:t>最后一笔经济业务记录之下通栏划单红线，不需要再次结计余额</w:t>
      </w:r>
      <w:r>
        <w:t>。</w:t>
      </w:r>
    </w:p>
    <w:p>
      <w:pPr>
        <w:pStyle w:val="6"/>
        <w:spacing w:before="3" w:line="304" w:lineRule="auto"/>
        <w:ind w:left="322" w:right="720" w:firstLine="400"/>
        <w:jc w:val="both"/>
      </w:pPr>
      <w:r>
        <w:rPr>
          <w:spacing w:val="-6"/>
          <w:w w:val="95"/>
        </w:rPr>
        <w:t>②库存现金、银行存款日记账和需要按月结计发生额的收入、费用等明细账，每月结账时，要在</w:t>
      </w:r>
      <w:r>
        <w:rPr>
          <w:color w:val="FF0000"/>
          <w:w w:val="95"/>
          <w:u w:val="double" w:color="FF0000"/>
        </w:rPr>
        <w:t>最后一笔经</w:t>
      </w:r>
      <w:r>
        <w:rPr>
          <w:color w:val="FF0000"/>
          <w:spacing w:val="-196"/>
          <w:w w:val="95"/>
          <w:u w:val="double" w:color="FF0000"/>
        </w:rPr>
        <w:t>济</w:t>
      </w:r>
      <w:r>
        <w:rPr>
          <w:color w:val="FF0000"/>
          <w:spacing w:val="199"/>
          <w:w w:val="95"/>
          <w:u w:val="double" w:color="FF0000"/>
        </w:rPr>
        <w:t xml:space="preserve"> </w:t>
      </w:r>
      <w:r>
        <w:rPr>
          <w:color w:val="FF0000"/>
          <w:w w:val="95"/>
          <w:u w:val="double" w:color="FF0000"/>
        </w:rPr>
        <w:t>业务记录下面通栏划单红线</w:t>
      </w:r>
      <w:r>
        <w:rPr>
          <w:spacing w:val="-5"/>
          <w:w w:val="95"/>
        </w:rPr>
        <w:t>，结出本月发生额和余额，在摘要栏内注明“</w:t>
      </w:r>
      <w:r>
        <w:rPr>
          <w:color w:val="FF0000"/>
          <w:w w:val="95"/>
          <w:u w:val="double" w:color="FF0000"/>
        </w:rPr>
        <w:t>本月合计</w:t>
      </w:r>
      <w:r>
        <w:rPr>
          <w:spacing w:val="-5"/>
          <w:w w:val="95"/>
        </w:rPr>
        <w:t>”字样，并在</w:t>
      </w:r>
      <w:r>
        <w:rPr>
          <w:color w:val="FF0000"/>
          <w:w w:val="95"/>
          <w:u w:val="double" w:color="FF0000"/>
        </w:rPr>
        <w:t xml:space="preserve">下面通栏划单红    </w:t>
      </w:r>
      <w:r>
        <w:rPr>
          <w:color w:val="FF0000"/>
          <w:u w:val="double" w:color="FF0000"/>
        </w:rPr>
        <w:t>线</w:t>
      </w:r>
      <w:r>
        <w:t>。</w:t>
      </w:r>
    </w:p>
    <w:p>
      <w:pPr>
        <w:pStyle w:val="6"/>
        <w:spacing w:before="0" w:line="304" w:lineRule="auto"/>
        <w:ind w:left="322" w:right="720" w:firstLine="400"/>
        <w:jc w:val="both"/>
      </w:pPr>
      <w:r>
        <w:rPr>
          <w:spacing w:val="-6"/>
          <w:w w:val="95"/>
        </w:rPr>
        <w:t xml:space="preserve">③对于需要结计本年累计发生额的明细账户，如收入、费用明细账，每月结账时，应在“本月合计”行下结   </w:t>
      </w:r>
      <w:r>
        <w:rPr>
          <w:spacing w:val="-9"/>
          <w:w w:val="95"/>
        </w:rPr>
        <w:t>出自年初起至本月末止的累计发生额，登记在月份发生额下面，在摘要栏内注明“</w:t>
      </w:r>
      <w:r>
        <w:rPr>
          <w:color w:val="FF0000"/>
          <w:w w:val="95"/>
          <w:u w:val="double" w:color="FF0000"/>
        </w:rPr>
        <w:t>本年累计</w:t>
      </w:r>
      <w:r>
        <w:rPr>
          <w:spacing w:val="-5"/>
          <w:w w:val="95"/>
        </w:rPr>
        <w:t>”字样，并在</w:t>
      </w:r>
      <w:r>
        <w:rPr>
          <w:color w:val="FF0000"/>
          <w:w w:val="95"/>
          <w:u w:val="double" w:color="FF0000"/>
        </w:rPr>
        <w:t>下面通</w:t>
      </w:r>
      <w:r>
        <w:rPr>
          <w:color w:val="FF0000"/>
          <w:spacing w:val="-199"/>
          <w:w w:val="95"/>
          <w:u w:val="double" w:color="FF0000"/>
        </w:rPr>
        <w:t>栏</w:t>
      </w:r>
      <w:r>
        <w:rPr>
          <w:color w:val="FF0000"/>
          <w:spacing w:val="211"/>
          <w:w w:val="95"/>
          <w:u w:val="double" w:color="FF0000"/>
        </w:rPr>
        <w:t xml:space="preserve"> </w:t>
      </w:r>
      <w:r>
        <w:rPr>
          <w:color w:val="FF0000"/>
          <w:u w:val="double" w:color="FF0000"/>
        </w:rPr>
        <w:t>划单红线</w:t>
      </w:r>
      <w:r>
        <w:t>。</w:t>
      </w:r>
    </w:p>
    <w:p>
      <w:pPr>
        <w:pStyle w:val="6"/>
        <w:spacing w:before="3"/>
        <w:jc w:val="both"/>
      </w:pPr>
      <w:r>
        <w:rPr>
          <w:color w:val="FF0000"/>
          <w:u w:val="double" w:color="FF0000"/>
        </w:rPr>
        <w:t>12 月末的“本年累计”就是全年累计发生额，全年累计发生额下通栏划双红线</w:t>
      </w:r>
      <w:r>
        <w:t>。</w:t>
      </w:r>
    </w:p>
    <w:p>
      <w:pPr>
        <w:pStyle w:val="6"/>
        <w:spacing w:line="302" w:lineRule="auto"/>
        <w:ind w:left="322" w:right="621" w:firstLine="400"/>
      </w:pPr>
      <w:r>
        <w:rPr>
          <w:spacing w:val="-9"/>
          <w:w w:val="95"/>
        </w:rPr>
        <w:t xml:space="preserve">④总账账户平时只需结出月末余额。年终结账时，为了总括地反映全年各项资金运动情况的全貌，核对账目，    </w:t>
      </w:r>
      <w:r>
        <w:rPr>
          <w:spacing w:val="-13"/>
          <w:w w:val="95"/>
        </w:rPr>
        <w:t>要将所有总账账户结出全年发生额和年末余额，在摘要栏内注明“</w:t>
      </w:r>
      <w:r>
        <w:rPr>
          <w:color w:val="FF0000"/>
          <w:w w:val="95"/>
          <w:u w:val="double" w:color="FF0000"/>
        </w:rPr>
        <w:t>本年合计</w:t>
      </w:r>
      <w:r>
        <w:rPr>
          <w:spacing w:val="-10"/>
          <w:w w:val="95"/>
        </w:rPr>
        <w:t>”字样，并在合计数下</w:t>
      </w:r>
      <w:r>
        <w:rPr>
          <w:color w:val="FF0000"/>
          <w:w w:val="95"/>
          <w:u w:val="double" w:color="FF0000"/>
        </w:rPr>
        <w:t>通栏划双红线</w:t>
      </w:r>
      <w:r>
        <w:rPr>
          <w:w w:val="95"/>
        </w:rPr>
        <w:t>。</w:t>
      </w:r>
    </w:p>
    <w:p>
      <w:pPr>
        <w:pStyle w:val="6"/>
        <w:spacing w:before="5" w:line="304" w:lineRule="auto"/>
        <w:ind w:left="322" w:right="662" w:firstLine="400"/>
        <w:jc w:val="both"/>
      </w:pPr>
      <w:r>
        <w:rPr>
          <w:spacing w:val="-7"/>
        </w:rPr>
        <w:t>⑤年度终了结账时，有余额的账户，应将其余额结转下年，并在摘要栏注明“结转下年”字样；在下一会计</w:t>
      </w:r>
      <w:r>
        <w:rPr>
          <w:spacing w:val="-7"/>
          <w:w w:val="95"/>
        </w:rPr>
        <w:t xml:space="preserve">年度新建有关账户的第一行余额栏内填写上年结转的余额，并在摘要栏注明“上年结转”或“年初余额”字样，    </w:t>
      </w:r>
      <w:r>
        <w:rPr>
          <w:spacing w:val="-7"/>
        </w:rPr>
        <w:t>使年末有余额账户的余额如实地在账户中加以反映，以免混淆有余额的账户和无余额的账户。</w:t>
      </w:r>
    </w:p>
    <w:p>
      <w:pPr>
        <w:pStyle w:val="5"/>
        <w:spacing w:before="3"/>
      </w:pPr>
      <w:r>
        <w:t>（五）错账更正方法</w:t>
      </w:r>
    </w:p>
    <w:p>
      <w:pPr>
        <w:pStyle w:val="6"/>
        <w:spacing w:line="304" w:lineRule="auto"/>
        <w:ind w:left="322" w:right="722" w:firstLine="400"/>
        <w:jc w:val="both"/>
      </w:pPr>
      <w:r>
        <w:rPr>
          <w:spacing w:val="-6"/>
          <w:w w:val="95"/>
        </w:rPr>
        <w:t xml:space="preserve">在记账过程中，可能由于种种原因会使账簿记录发生错误，对于发生的账簿记录错误，应当采用正确、规范    </w:t>
      </w:r>
      <w:r>
        <w:rPr>
          <w:spacing w:val="-11"/>
          <w:w w:val="95"/>
        </w:rPr>
        <w:t>的方法予以更正，不得涂改、挖补、刮擦或者用药水消除字迹，不得重新抄写。错账更正的方法一般有</w:t>
      </w:r>
      <w:r>
        <w:rPr>
          <w:color w:val="FF0000"/>
          <w:w w:val="95"/>
          <w:u w:val="double" w:color="FF0000"/>
        </w:rPr>
        <w:t>划线更正</w:t>
      </w:r>
      <w:r>
        <w:rPr>
          <w:color w:val="FF0000"/>
          <w:spacing w:val="-199"/>
          <w:w w:val="95"/>
          <w:u w:val="double" w:color="FF0000"/>
        </w:rPr>
        <w:t>法</w:t>
      </w:r>
      <w:r>
        <w:rPr>
          <w:color w:val="FF0000"/>
          <w:spacing w:val="205"/>
          <w:w w:val="95"/>
          <w:u w:val="double" w:color="FF0000"/>
        </w:rPr>
        <w:t xml:space="preserve"> </w:t>
      </w:r>
      <w:r>
        <w:rPr>
          <w:color w:val="FF0000"/>
          <w:u w:val="double" w:color="FF0000"/>
        </w:rPr>
        <w:t>、红字更正法和补充登记法三种</w:t>
      </w:r>
      <w:r>
        <w:t>。</w:t>
      </w:r>
    </w:p>
    <w:p>
      <w:pPr>
        <w:pStyle w:val="5"/>
        <w:numPr>
          <w:ilvl w:val="0"/>
          <w:numId w:val="41"/>
        </w:numPr>
        <w:tabs>
          <w:tab w:val="left" w:pos="925"/>
        </w:tabs>
        <w:spacing w:before="1" w:after="0" w:line="240" w:lineRule="auto"/>
        <w:ind w:left="924" w:right="0" w:hanging="202"/>
        <w:jc w:val="left"/>
      </w:pPr>
      <w:r>
        <w:t>划线更正法</w:t>
      </w:r>
    </w:p>
    <w:p>
      <w:pPr>
        <w:spacing w:after="0" w:line="240" w:lineRule="auto"/>
        <w:jc w:val="left"/>
        <w:sectPr>
          <w:pgSz w:w="11910" w:h="16160"/>
          <w:pgMar w:top="1680" w:right="360" w:bottom="860" w:left="760" w:header="0" w:footer="584" w:gutter="0"/>
        </w:sectPr>
      </w:pPr>
    </w:p>
    <w:p>
      <w:pPr>
        <w:pStyle w:val="6"/>
        <w:spacing w:before="11"/>
        <w:ind w:left="0"/>
        <w:rPr>
          <w:b/>
          <w:sz w:val="13"/>
        </w:rPr>
      </w:pPr>
    </w:p>
    <w:p>
      <w:pPr>
        <w:pStyle w:val="6"/>
        <w:spacing w:before="71"/>
      </w:pPr>
      <w:r>
        <w:t>在结账前发现</w:t>
      </w:r>
      <w:r>
        <w:rPr>
          <w:color w:val="FF0000"/>
          <w:u w:val="double" w:color="FF0000"/>
        </w:rPr>
        <w:t>账簿记录有文字或数字错误</w:t>
      </w:r>
      <w:r>
        <w:t>，而</w:t>
      </w:r>
      <w:r>
        <w:rPr>
          <w:color w:val="FF0000"/>
          <w:u w:val="double" w:color="FF0000"/>
        </w:rPr>
        <w:t>记账凭证没有错误</w:t>
      </w:r>
      <w:r>
        <w:t>，采用划线更正法。</w:t>
      </w:r>
    </w:p>
    <w:p>
      <w:pPr>
        <w:pStyle w:val="6"/>
        <w:spacing w:line="304" w:lineRule="auto"/>
        <w:ind w:left="322" w:right="720" w:firstLine="400"/>
        <w:jc w:val="both"/>
      </w:pPr>
      <w:r>
        <w:rPr>
          <w:spacing w:val="-4"/>
          <w:w w:val="95"/>
        </w:rPr>
        <w:t>更正时，可在错误的数字或文字上</w:t>
      </w:r>
      <w:r>
        <w:rPr>
          <w:color w:val="FF0000"/>
          <w:w w:val="95"/>
          <w:u w:val="double" w:color="FF0000"/>
        </w:rPr>
        <w:t>划一条红线</w:t>
      </w:r>
      <w:r>
        <w:rPr>
          <w:spacing w:val="-6"/>
          <w:w w:val="95"/>
        </w:rPr>
        <w:t>，在红线上方填写正确的文字或数字，并由记账人员在</w:t>
      </w:r>
      <w:r>
        <w:rPr>
          <w:color w:val="FF0000"/>
          <w:w w:val="95"/>
          <w:u w:val="double" w:color="FF0000"/>
        </w:rPr>
        <w:t>更正处</w:t>
      </w:r>
      <w:r>
        <w:rPr>
          <w:color w:val="FF0000"/>
          <w:spacing w:val="-199"/>
          <w:w w:val="95"/>
          <w:u w:val="double" w:color="FF0000"/>
        </w:rPr>
        <w:t>签</w:t>
      </w:r>
      <w:r>
        <w:rPr>
          <w:color w:val="FF0000"/>
          <w:spacing w:val="190"/>
          <w:w w:val="95"/>
          <w:u w:val="double" w:color="FF0000"/>
        </w:rPr>
        <w:t xml:space="preserve"> </w:t>
      </w:r>
      <w:r>
        <w:rPr>
          <w:color w:val="FF0000"/>
          <w:u w:val="double" w:color="FF0000"/>
        </w:rPr>
        <w:t>章</w:t>
      </w:r>
      <w:r>
        <w:rPr>
          <w:spacing w:val="-4"/>
        </w:rPr>
        <w:t>，对于</w:t>
      </w:r>
      <w:r>
        <w:rPr>
          <w:color w:val="FF0000"/>
          <w:spacing w:val="-5"/>
          <w:u w:val="double" w:color="FF0000"/>
        </w:rPr>
        <w:t>错误的数字，应全部划红线更正，不得只更正其中错误的数字，对于文字错误，可以只更正错误的部 分</w:t>
      </w:r>
      <w:r>
        <w:rPr>
          <w:spacing w:val="-5"/>
        </w:rPr>
        <w:t>。</w:t>
      </w:r>
    </w:p>
    <w:p>
      <w:pPr>
        <w:pStyle w:val="6"/>
        <w:spacing w:before="3" w:after="17"/>
      </w:pPr>
      <w:r>
        <w:t>如记账凭证中的文字或数字发生错误，在尚未过账前，也可用划线更正法更正。</w:t>
      </w:r>
    </w:p>
    <w:p>
      <w:pPr>
        <w:pStyle w:val="6"/>
        <w:spacing w:before="0"/>
        <w:ind w:left="3519"/>
      </w:pPr>
      <w:r>
        <w:drawing>
          <wp:inline distT="0" distB="0" distL="0" distR="0">
            <wp:extent cx="2392680" cy="11652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2392680" cy="1165859"/>
                    </a:xfrm>
                    <a:prstGeom prst="rect">
                      <a:avLst/>
                    </a:prstGeom>
                  </pic:spPr>
                </pic:pic>
              </a:graphicData>
            </a:graphic>
          </wp:inline>
        </w:drawing>
      </w:r>
    </w:p>
    <w:p>
      <w:pPr>
        <w:pStyle w:val="5"/>
        <w:numPr>
          <w:ilvl w:val="0"/>
          <w:numId w:val="41"/>
        </w:numPr>
        <w:tabs>
          <w:tab w:val="left" w:pos="925"/>
        </w:tabs>
        <w:spacing w:before="86" w:after="0" w:line="240" w:lineRule="auto"/>
        <w:ind w:left="924" w:right="0" w:hanging="202"/>
        <w:jc w:val="left"/>
      </w:pPr>
      <w:r>
        <w:t>红字更正法</w:t>
      </w:r>
    </w:p>
    <w:p>
      <w:pPr>
        <w:pStyle w:val="6"/>
      </w:pPr>
      <w:r>
        <w:t>红字更正法，适用于以下两种情形：</w:t>
      </w:r>
    </w:p>
    <w:p>
      <w:pPr>
        <w:pStyle w:val="6"/>
        <w:spacing w:before="71"/>
      </w:pPr>
      <w:r>
        <w:t>①</w:t>
      </w:r>
      <w:r>
        <w:rPr>
          <w:color w:val="FF0000"/>
          <w:u w:val="double" w:color="FF0000"/>
        </w:rPr>
        <w:t>记账后</w:t>
      </w:r>
      <w:r>
        <w:t>发现记账凭证中的</w:t>
      </w:r>
      <w:r>
        <w:rPr>
          <w:color w:val="FF0000"/>
          <w:u w:val="double" w:color="FF0000"/>
        </w:rPr>
        <w:t>应借、应贷会计科目有错误</w:t>
      </w:r>
      <w:r>
        <w:t>所引起的记账错误。</w:t>
      </w:r>
    </w:p>
    <w:p>
      <w:pPr>
        <w:pStyle w:val="6"/>
        <w:spacing w:line="304" w:lineRule="auto"/>
        <w:ind w:left="322" w:right="621" w:firstLine="400"/>
      </w:pPr>
      <w:r>
        <w:rPr>
          <w:spacing w:val="-3"/>
          <w:w w:val="99"/>
        </w:rPr>
        <w:t>更正时，先用红字填写一张与原记账凭证完全相同的记账凭证，摘要栏注明“注销×月×日×号凭证”，并</w:t>
      </w:r>
      <w:r>
        <w:rPr>
          <w:spacing w:val="-12"/>
          <w:w w:val="95"/>
        </w:rPr>
        <w:t>用红字登记入账，然后用蓝字填写一张正确的记账凭证，摘要栏注明“订正×月×日×号凭证”并据以登记入账。</w:t>
      </w:r>
    </w:p>
    <w:p>
      <w:pPr>
        <w:pStyle w:val="6"/>
        <w:spacing w:before="2"/>
      </w:pPr>
      <w:r>
        <w:t>②</w:t>
      </w:r>
      <w:r>
        <w:rPr>
          <w:color w:val="FF0000"/>
          <w:u w:val="double" w:color="FF0000"/>
        </w:rPr>
        <w:t>记账后</w:t>
      </w:r>
      <w:r>
        <w:t>发现记账凭证和账簿记录中</w:t>
      </w:r>
      <w:r>
        <w:rPr>
          <w:color w:val="FF0000"/>
          <w:u w:val="double" w:color="FF0000"/>
        </w:rPr>
        <w:t>应借、应贷会计科目无误</w:t>
      </w:r>
      <w:r>
        <w:t>，只是</w:t>
      </w:r>
      <w:r>
        <w:rPr>
          <w:color w:val="FF0000"/>
          <w:u w:val="double" w:color="FF0000"/>
        </w:rPr>
        <w:t>所记金额大于应记金额</w:t>
      </w:r>
      <w:r>
        <w:t>所引起的记账错</w:t>
      </w:r>
    </w:p>
    <w:p>
      <w:pPr>
        <w:pStyle w:val="6"/>
        <w:spacing w:before="67"/>
        <w:ind w:left="322"/>
      </w:pPr>
      <w:r>
        <w:t>误。</w:t>
      </w:r>
    </w:p>
    <w:p>
      <w:pPr>
        <w:pStyle w:val="6"/>
        <w:spacing w:before="71"/>
      </w:pPr>
      <w:r>
        <w:t>更正时，按多记金额用红字编制一张与原记账凭证应借应贷账户完全相同的记账凭证，摘要栏注明“冲销×</w:t>
      </w:r>
    </w:p>
    <w:p>
      <w:pPr>
        <w:spacing w:before="70" w:line="304" w:lineRule="auto"/>
        <w:ind w:left="723" w:right="7262" w:hanging="401"/>
        <w:jc w:val="left"/>
        <w:rPr>
          <w:b/>
          <w:sz w:val="20"/>
        </w:rPr>
      </w:pPr>
      <w:r>
        <w:rPr>
          <w:sz w:val="20"/>
        </w:rPr>
        <w:t>月×日×号凭证”并据以登记入账。</w:t>
      </w:r>
      <w:r>
        <w:rPr>
          <w:b/>
          <w:sz w:val="20"/>
        </w:rPr>
        <w:t>3.补充登记法</w:t>
      </w:r>
    </w:p>
    <w:p>
      <w:pPr>
        <w:pStyle w:val="6"/>
        <w:spacing w:before="2"/>
      </w:pPr>
      <w:r>
        <w:rPr>
          <w:color w:val="FF0000"/>
          <w:u w:val="double" w:color="FF0000"/>
        </w:rPr>
        <w:t>记账后</w:t>
      </w:r>
      <w:r>
        <w:t>发现记账凭证和账簿记录中</w:t>
      </w:r>
      <w:r>
        <w:rPr>
          <w:color w:val="FF0000"/>
          <w:u w:val="double" w:color="FF0000"/>
        </w:rPr>
        <w:t>应借、应贷会计科目无误</w:t>
      </w:r>
      <w:r>
        <w:t>，只是</w:t>
      </w:r>
      <w:r>
        <w:rPr>
          <w:color w:val="FF0000"/>
          <w:u w:val="double" w:color="FF0000"/>
        </w:rPr>
        <w:t>所记金额小于应记金额</w:t>
      </w:r>
      <w:r>
        <w:t>时，采用补充登记</w:t>
      </w:r>
    </w:p>
    <w:p>
      <w:pPr>
        <w:pStyle w:val="6"/>
        <w:ind w:left="322"/>
      </w:pPr>
      <w:r>
        <w:t>法。</w:t>
      </w:r>
    </w:p>
    <w:p>
      <w:pPr>
        <w:pStyle w:val="6"/>
        <w:spacing w:before="68"/>
      </w:pPr>
      <w:r>
        <w:t>更正时，按少记的金额用蓝字编制一张与原记账凭证应借应贷账户完全相同的记账凭证，在摘要栏注明“补</w:t>
      </w:r>
    </w:p>
    <w:p>
      <w:pPr>
        <w:pStyle w:val="6"/>
        <w:ind w:left="322"/>
      </w:pPr>
      <w:r>
        <w:rPr>
          <w:spacing w:val="-9"/>
          <w:w w:val="99"/>
        </w:rPr>
        <w:t>充×月×日×号凭证”，并据以记账。</w:t>
      </w:r>
    </w:p>
    <w:p>
      <w:pPr>
        <w:spacing w:before="21"/>
        <w:ind w:left="742" w:right="0" w:firstLine="0"/>
        <w:jc w:val="left"/>
        <w:rPr>
          <w:b/>
          <w:sz w:val="21"/>
        </w:rPr>
      </w:pPr>
      <w:bookmarkStart w:id="24" w:name="三、账务处理程序"/>
      <w:bookmarkEnd w:id="24"/>
      <w:r>
        <w:rPr>
          <w:b/>
          <w:sz w:val="21"/>
          <w:shd w:val="clear" w:color="auto" w:fill="C0C0C0"/>
        </w:rPr>
        <w:t>三、账务处理程序</w:t>
      </w:r>
    </w:p>
    <w:p>
      <w:pPr>
        <w:pStyle w:val="6"/>
        <w:spacing w:before="92" w:line="304" w:lineRule="auto"/>
        <w:ind w:left="322" w:right="647" w:firstLine="400"/>
      </w:pPr>
      <w:r>
        <w:rPr>
          <w:w w:val="95"/>
        </w:rPr>
        <w:t xml:space="preserve">企业常用的账务处理程序主要有记账凭证账务处理程序、汇总记账凭证账务处理程序和科目汇总表账务处理   </w:t>
      </w:r>
      <w:r>
        <w:t>程序等。他们之间的主要区别为登记总分类账的依据和方法不同。</w:t>
      </w:r>
    </w:p>
    <w:p>
      <w:pPr>
        <w:pStyle w:val="5"/>
        <w:spacing w:before="2"/>
      </w:pPr>
      <w:r>
        <w:t>（一）记账凭证账务处理程序</w:t>
      </w:r>
    </w:p>
    <w:p>
      <w:pPr>
        <w:spacing w:before="70" w:line="302" w:lineRule="auto"/>
        <w:ind w:left="322" w:right="722" w:firstLine="400"/>
        <w:jc w:val="left"/>
        <w:rPr>
          <w:sz w:val="20"/>
        </w:rPr>
      </w:pPr>
      <w:r>
        <w:rPr>
          <w:w w:val="95"/>
          <w:sz w:val="20"/>
        </w:rPr>
        <w:t>记账凭证账务处理程序是指</w:t>
      </w:r>
      <w:r>
        <w:rPr>
          <w:b/>
          <w:color w:val="00AFEF"/>
          <w:spacing w:val="-7"/>
          <w:w w:val="95"/>
          <w:sz w:val="20"/>
          <w:u w:val="single" w:color="00AFEF"/>
        </w:rPr>
        <w:t>对发生的经济业务，先根据原始凭证或汇总原始凭证填制记账凭证，</w:t>
      </w:r>
      <w:r>
        <w:rPr>
          <w:color w:val="FF0000"/>
          <w:w w:val="95"/>
          <w:sz w:val="20"/>
          <w:u w:val="single" w:color="00AFEF"/>
        </w:rPr>
        <w:t>再直接根据</w:t>
      </w:r>
      <w:r>
        <w:rPr>
          <w:color w:val="FF0000"/>
          <w:spacing w:val="-196"/>
          <w:w w:val="95"/>
          <w:sz w:val="20"/>
          <w:u w:val="single" w:color="00AFEF"/>
        </w:rPr>
        <w:t>记</w:t>
      </w:r>
      <w:r>
        <w:rPr>
          <w:color w:val="FF0000"/>
          <w:spacing w:val="185"/>
          <w:w w:val="95"/>
          <w:sz w:val="20"/>
          <w:u w:val="single" w:color="00AFEF"/>
        </w:rPr>
        <w:t xml:space="preserve"> </w:t>
      </w:r>
      <w:r>
        <w:rPr>
          <w:color w:val="FF0000"/>
          <w:sz w:val="20"/>
          <w:u w:val="single" w:color="00AFEF"/>
        </w:rPr>
        <w:t>账凭证登记总分类账</w:t>
      </w:r>
      <w:r>
        <w:rPr>
          <w:sz w:val="20"/>
        </w:rPr>
        <w:t>的一种账务处理程序。</w:t>
      </w:r>
    </w:p>
    <w:p>
      <w:pPr>
        <w:pStyle w:val="5"/>
        <w:spacing w:before="5"/>
      </w:pPr>
      <w:r>
        <w:rPr>
          <w:w w:val="95"/>
        </w:rPr>
        <w:t>1.记账凭证账务处理程序的一般步骤</w:t>
      </w:r>
    </w:p>
    <w:p>
      <w:pPr>
        <w:pStyle w:val="6"/>
      </w:pPr>
      <w:r>
        <w:rPr>
          <w:w w:val="95"/>
        </w:rPr>
        <w:t>①根据原始凭证填制汇总原始凭证；</w:t>
      </w:r>
    </w:p>
    <w:p>
      <w:pPr>
        <w:pStyle w:val="6"/>
      </w:pPr>
      <w:r>
        <w:t>②根据原始凭证或汇总原始凭证，填制收款凭证、付款凭证和转账凭证，也可以填制通用记账凭证；</w:t>
      </w:r>
    </w:p>
    <w:p>
      <w:pPr>
        <w:pStyle w:val="6"/>
      </w:pPr>
      <w:r>
        <w:t>③根据</w:t>
      </w:r>
      <w:r>
        <w:rPr>
          <w:color w:val="FF0000"/>
          <w:u w:val="double" w:color="FF0000"/>
        </w:rPr>
        <w:t>收款凭证和付款凭证</w:t>
      </w:r>
      <w:r>
        <w:t>逐笔登记</w:t>
      </w:r>
      <w:r>
        <w:rPr>
          <w:color w:val="FF0000"/>
          <w:u w:val="double" w:color="FF0000"/>
        </w:rPr>
        <w:t>库存现金日记账和银行存款日记账</w:t>
      </w:r>
      <w:r>
        <w:t>；</w:t>
      </w:r>
    </w:p>
    <w:p>
      <w:pPr>
        <w:pStyle w:val="6"/>
      </w:pPr>
      <w:r>
        <w:t>④</w:t>
      </w:r>
      <w:r>
        <w:rPr>
          <w:color w:val="FF0000"/>
          <w:u w:val="double" w:color="FF0000"/>
        </w:rPr>
        <w:t>根据原始凭证、汇总原始凭证和记账凭证，登记各种明细分类账</w:t>
      </w:r>
      <w:r>
        <w:t>；</w:t>
      </w:r>
    </w:p>
    <w:p>
      <w:pPr>
        <w:pStyle w:val="6"/>
        <w:spacing w:before="68"/>
      </w:pPr>
      <w:r>
        <w:t>⑤根据</w:t>
      </w:r>
      <w:r>
        <w:rPr>
          <w:color w:val="FF0000"/>
          <w:u w:val="double" w:color="FF0000"/>
        </w:rPr>
        <w:t>记账凭证逐笔登记总分类账</w:t>
      </w:r>
      <w:r>
        <w:t>；</w:t>
      </w:r>
    </w:p>
    <w:p>
      <w:pPr>
        <w:pStyle w:val="6"/>
      </w:pPr>
      <w:r>
        <w:t>⑥期末，将库存现金日记账、银行存款日记账和明细分类账的余额与有关总分类账的余额核对相符；</w:t>
      </w:r>
    </w:p>
    <w:p>
      <w:pPr>
        <w:spacing w:after="0"/>
        <w:sectPr>
          <w:pgSz w:w="11910" w:h="16160"/>
          <w:pgMar w:top="1680" w:right="360" w:bottom="860" w:left="760" w:header="0" w:footer="584" w:gutter="0"/>
        </w:sectPr>
      </w:pPr>
    </w:p>
    <w:p>
      <w:pPr>
        <w:pStyle w:val="6"/>
        <w:spacing w:before="11"/>
        <w:ind w:left="0"/>
        <w:rPr>
          <w:sz w:val="13"/>
        </w:rPr>
      </w:pPr>
    </w:p>
    <w:p>
      <w:pPr>
        <w:spacing w:before="71" w:line="304" w:lineRule="auto"/>
        <w:ind w:left="723" w:right="4663" w:firstLine="0"/>
        <w:jc w:val="left"/>
        <w:rPr>
          <w:b/>
          <w:sz w:val="20"/>
        </w:rPr>
      </w:pPr>
      <w:r>
        <w:rPr>
          <w:w w:val="95"/>
          <w:sz w:val="20"/>
        </w:rPr>
        <w:t>⑦期末，根据</w:t>
      </w:r>
      <w:r>
        <w:rPr>
          <w:color w:val="FF0000"/>
          <w:w w:val="95"/>
          <w:sz w:val="20"/>
          <w:u w:val="double" w:color="FF0000"/>
        </w:rPr>
        <w:t>总分类账和明细分类账</w:t>
      </w:r>
      <w:r>
        <w:rPr>
          <w:w w:val="95"/>
          <w:sz w:val="20"/>
        </w:rPr>
        <w:t xml:space="preserve">的记录，编制财务报表。 </w:t>
      </w:r>
      <w:r>
        <w:rPr>
          <w:b/>
          <w:sz w:val="20"/>
        </w:rPr>
        <w:t>2.记账凭证账务处理程序的评价</w:t>
      </w:r>
    </w:p>
    <w:p>
      <w:pPr>
        <w:pStyle w:val="6"/>
        <w:spacing w:before="2"/>
      </w:pPr>
      <w:r>
        <w:rPr>
          <w:w w:val="95"/>
        </w:rPr>
        <w:t>①特点：直接根据</w:t>
      </w:r>
      <w:r>
        <w:rPr>
          <w:color w:val="FF0000"/>
          <w:w w:val="95"/>
          <w:u w:val="double" w:color="FF0000"/>
        </w:rPr>
        <w:t>记账凭证逐笔登记总分类账</w:t>
      </w:r>
      <w:r>
        <w:rPr>
          <w:w w:val="95"/>
        </w:rPr>
        <w:t>。</w:t>
      </w:r>
    </w:p>
    <w:p>
      <w:pPr>
        <w:pStyle w:val="6"/>
        <w:spacing w:line="304" w:lineRule="auto"/>
        <w:ind w:left="1723" w:right="2061" w:hanging="1001"/>
      </w:pPr>
      <w:r>
        <w:rPr>
          <w:spacing w:val="-2"/>
        </w:rPr>
        <w:t>②优缺点: 优点：简单明了，易于理解，总分类账可以较</w:t>
      </w:r>
      <w:r>
        <w:rPr>
          <w:color w:val="FF0000"/>
          <w:u w:val="double" w:color="FF0000"/>
        </w:rPr>
        <w:t>详细地反映</w:t>
      </w:r>
      <w:r>
        <w:t>经济业务的发生情况； 缺点：登记总分类账的</w:t>
      </w:r>
      <w:r>
        <w:rPr>
          <w:color w:val="FF0000"/>
          <w:u w:val="double" w:color="FF0000"/>
        </w:rPr>
        <w:t>工作量较大</w:t>
      </w:r>
      <w:r>
        <w:t>。</w:t>
      </w:r>
    </w:p>
    <w:p>
      <w:pPr>
        <w:pStyle w:val="6"/>
        <w:spacing w:before="0" w:line="256" w:lineRule="exact"/>
      </w:pPr>
      <w:r>
        <w:t>③该账务处理程序适用于</w:t>
      </w:r>
      <w:r>
        <w:rPr>
          <w:color w:val="FF0000"/>
          <w:u w:val="double" w:color="FF0000"/>
        </w:rPr>
        <w:t>规模较小、经济业务量较少</w:t>
      </w:r>
      <w:r>
        <w:t>的单位。</w:t>
      </w:r>
    </w:p>
    <w:p>
      <w:pPr>
        <w:pStyle w:val="5"/>
      </w:pPr>
      <w:r>
        <w:t>（二）汇总记账凭证账务处理程序</w:t>
      </w:r>
    </w:p>
    <w:p>
      <w:pPr>
        <w:pStyle w:val="6"/>
        <w:spacing w:line="304" w:lineRule="auto"/>
        <w:ind w:left="322" w:right="722" w:firstLine="400"/>
      </w:pPr>
      <w:r>
        <w:rPr>
          <w:spacing w:val="-2"/>
          <w:w w:val="95"/>
        </w:rPr>
        <w:t>汇总记账凭证账务处理程序是指先根据原始凭证或汇总原始凭证填制记账凭证，定期根据记账凭证</w:t>
      </w:r>
      <w:r>
        <w:rPr>
          <w:color w:val="FF0000"/>
          <w:w w:val="95"/>
          <w:u w:val="double" w:color="FF0000"/>
        </w:rPr>
        <w:t>分类编制</w:t>
      </w:r>
      <w:r>
        <w:rPr>
          <w:color w:val="FF0000"/>
          <w:spacing w:val="-199"/>
          <w:w w:val="95"/>
          <w:u w:val="double" w:color="FF0000"/>
        </w:rPr>
        <w:t>汇</w:t>
      </w:r>
      <w:r>
        <w:rPr>
          <w:color w:val="FF0000"/>
          <w:spacing w:val="189"/>
          <w:w w:val="95"/>
          <w:u w:val="double" w:color="FF0000"/>
        </w:rPr>
        <w:t xml:space="preserve"> </w:t>
      </w:r>
      <w:r>
        <w:rPr>
          <w:color w:val="FF0000"/>
          <w:u w:val="double" w:color="FF0000"/>
        </w:rPr>
        <w:t>总收款凭证、汇总付款凭证和汇总转账凭证，再根据汇总记账凭证登记总分类账的一种账务处理程序</w:t>
      </w:r>
      <w:r>
        <w:t>。</w:t>
      </w:r>
    </w:p>
    <w:p>
      <w:pPr>
        <w:pStyle w:val="5"/>
        <w:spacing w:before="2"/>
      </w:pPr>
      <w:r>
        <w:t>1.汇总记账凭证账务处理程序的一般步骤</w:t>
      </w:r>
    </w:p>
    <w:p>
      <w:pPr>
        <w:pStyle w:val="6"/>
      </w:pPr>
      <w:r>
        <w:t>①根据原始凭证填制汇总原始凭证；</w:t>
      </w:r>
    </w:p>
    <w:p>
      <w:pPr>
        <w:pStyle w:val="6"/>
        <w:spacing w:before="68"/>
      </w:pPr>
      <w:r>
        <w:t>②根据原始凭证或汇总原始凭证，填制收款凭证、付款凭证和转账凭证，也可以填制通用记账凭证；</w:t>
      </w:r>
    </w:p>
    <w:p>
      <w:pPr>
        <w:pStyle w:val="6"/>
      </w:pPr>
      <w:r>
        <w:t>③根据收款凭证、付款凭证逐笔登记库存现金日记账和银行存款日记账；</w:t>
      </w:r>
    </w:p>
    <w:p>
      <w:pPr>
        <w:pStyle w:val="6"/>
      </w:pPr>
      <w:r>
        <w:t>④根据</w:t>
      </w:r>
      <w:r>
        <w:rPr>
          <w:color w:val="FF0000"/>
          <w:u w:val="double" w:color="FF0000"/>
        </w:rPr>
        <w:t>原始凭证、汇总原始凭证和记账凭证，登记各种明细分类账</w:t>
      </w:r>
      <w:r>
        <w:t>；</w:t>
      </w:r>
    </w:p>
    <w:p>
      <w:pPr>
        <w:pStyle w:val="6"/>
        <w:spacing w:before="71"/>
      </w:pPr>
      <w:r>
        <w:t>⑤根据各种</w:t>
      </w:r>
      <w:r>
        <w:rPr>
          <w:color w:val="FF0000"/>
          <w:u w:val="double" w:color="FF0000"/>
        </w:rPr>
        <w:t>记账凭证编制有关汇总记账凭证</w:t>
      </w:r>
      <w:r>
        <w:t>；</w:t>
      </w:r>
    </w:p>
    <w:p>
      <w:pPr>
        <w:pStyle w:val="6"/>
      </w:pPr>
      <w:r>
        <w:t>⑥根据</w:t>
      </w:r>
      <w:r>
        <w:rPr>
          <w:color w:val="FF0000"/>
          <w:u w:val="double" w:color="FF0000"/>
        </w:rPr>
        <w:t>各种汇总记账凭证登记总分类账</w:t>
      </w:r>
      <w:r>
        <w:t>；</w:t>
      </w:r>
    </w:p>
    <w:p>
      <w:pPr>
        <w:pStyle w:val="6"/>
      </w:pPr>
      <w:r>
        <w:t>⑦期末，将库存现金日记账、银行存款日记账和明细分类账的余额与有关总分类账的余额核对相符；</w:t>
      </w:r>
    </w:p>
    <w:p>
      <w:pPr>
        <w:spacing w:before="68" w:line="304" w:lineRule="auto"/>
        <w:ind w:left="723" w:right="4662" w:firstLine="0"/>
        <w:jc w:val="left"/>
        <w:rPr>
          <w:b/>
          <w:sz w:val="20"/>
        </w:rPr>
      </w:pPr>
      <w:r>
        <w:rPr>
          <w:sz w:val="20"/>
        </w:rPr>
        <w:t>⑧期末，根据</w:t>
      </w:r>
      <w:r>
        <w:rPr>
          <w:color w:val="FF0000"/>
          <w:sz w:val="20"/>
          <w:u w:val="double" w:color="FF0000"/>
        </w:rPr>
        <w:t>总分类账和明细分类账的记录，编制财务报表</w:t>
      </w:r>
      <w:r>
        <w:rPr>
          <w:sz w:val="20"/>
        </w:rPr>
        <w:t>。</w:t>
      </w:r>
      <w:r>
        <w:rPr>
          <w:b/>
          <w:sz w:val="20"/>
        </w:rPr>
        <w:t>2.汇总记账凭证账务处理程序的评价</w:t>
      </w:r>
    </w:p>
    <w:p>
      <w:pPr>
        <w:pStyle w:val="6"/>
        <w:spacing w:before="2"/>
      </w:pPr>
      <w:r>
        <w:t>①特点:先根据记账凭证编制汇总记账凭证，再</w:t>
      </w:r>
      <w:r>
        <w:rPr>
          <w:color w:val="FF0000"/>
          <w:u w:val="double" w:color="FF0000"/>
        </w:rPr>
        <w:t>根据汇总记账凭证登记总分类账</w:t>
      </w:r>
      <w:r>
        <w:t>。</w:t>
      </w:r>
    </w:p>
    <w:p>
      <w:pPr>
        <w:pStyle w:val="6"/>
        <w:spacing w:line="304" w:lineRule="auto"/>
        <w:ind w:left="322" w:right="621" w:firstLine="400"/>
        <w:jc w:val="both"/>
      </w:pPr>
      <w:r>
        <w:rPr>
          <w:spacing w:val="-3"/>
          <w:w w:val="95"/>
        </w:rPr>
        <w:t>②优缺点:优点：</w:t>
      </w:r>
      <w:r>
        <w:rPr>
          <w:color w:val="FF0000"/>
          <w:w w:val="95"/>
          <w:u w:val="double" w:color="FF0000"/>
        </w:rPr>
        <w:t>减轻了登记总分类账的工作量</w:t>
      </w:r>
      <w:r>
        <w:rPr>
          <w:spacing w:val="-5"/>
          <w:w w:val="95"/>
        </w:rPr>
        <w:t>，便于了解账户之间的</w:t>
      </w:r>
      <w:r>
        <w:rPr>
          <w:color w:val="FF0000"/>
          <w:w w:val="95"/>
          <w:u w:val="double" w:color="FF0000"/>
        </w:rPr>
        <w:t>对应关系</w:t>
      </w:r>
      <w:r>
        <w:rPr>
          <w:spacing w:val="-5"/>
          <w:w w:val="95"/>
        </w:rPr>
        <w:t xml:space="preserve">，了解经济业务的来龙去脉，    </w:t>
      </w:r>
      <w:r>
        <w:rPr>
          <w:color w:val="FF0000"/>
          <w:spacing w:val="-5"/>
          <w:w w:val="95"/>
          <w:u w:val="double" w:color="FF0000"/>
        </w:rPr>
        <w:t>查对账目</w:t>
      </w:r>
      <w:r>
        <w:rPr>
          <w:spacing w:val="-14"/>
          <w:w w:val="95"/>
        </w:rPr>
        <w:t xml:space="preserve">。缺点：当转账凭证较多时，编制汇总转账凭证的工作量较大，并且按每一贷方账户编制汇总转账凭证，    </w:t>
      </w:r>
      <w:r>
        <w:rPr>
          <w:color w:val="FF0000"/>
          <w:spacing w:val="-14"/>
          <w:u w:val="double" w:color="FF0000"/>
        </w:rPr>
        <w:t>不利于会计核算的日常分工</w:t>
      </w:r>
      <w:r>
        <w:rPr>
          <w:spacing w:val="-14"/>
        </w:rPr>
        <w:t>。</w:t>
      </w:r>
    </w:p>
    <w:p>
      <w:pPr>
        <w:pStyle w:val="6"/>
        <w:spacing w:before="0"/>
      </w:pPr>
      <w:r>
        <w:t>③适用范围:该账务处理程序适用于</w:t>
      </w:r>
      <w:r>
        <w:rPr>
          <w:color w:val="FF0000"/>
          <w:u w:val="double" w:color="FF0000"/>
        </w:rPr>
        <w:t>规模较大、经济业务较多</w:t>
      </w:r>
      <w:r>
        <w:t>的单位。</w:t>
      </w:r>
    </w:p>
    <w:p>
      <w:pPr>
        <w:pStyle w:val="5"/>
      </w:pPr>
      <w:r>
        <w:t>（三）科目汇总表账务处理程序</w:t>
      </w:r>
    </w:p>
    <w:p>
      <w:pPr>
        <w:pStyle w:val="6"/>
        <w:spacing w:before="71" w:line="304" w:lineRule="auto"/>
        <w:ind w:left="322" w:right="647" w:firstLine="400"/>
      </w:pPr>
      <w:r>
        <w:rPr>
          <w:w w:val="95"/>
        </w:rPr>
        <w:t>科目汇总表账务处理程序，又称</w:t>
      </w:r>
      <w:r>
        <w:rPr>
          <w:color w:val="FF0000"/>
          <w:w w:val="95"/>
          <w:u w:val="double" w:color="FF0000"/>
        </w:rPr>
        <w:t>记账凭证汇总表账务处理程序</w:t>
      </w:r>
      <w:r>
        <w:rPr>
          <w:w w:val="95"/>
        </w:rPr>
        <w:t>，是指根据记账凭证定期</w:t>
      </w:r>
      <w:r>
        <w:rPr>
          <w:color w:val="FF0000"/>
          <w:w w:val="95"/>
          <w:u w:val="double" w:color="FF0000"/>
        </w:rPr>
        <w:t>编制科目汇总表</w:t>
      </w:r>
      <w:r>
        <w:rPr>
          <w:w w:val="95"/>
        </w:rPr>
        <w:t xml:space="preserve">，再   </w:t>
      </w:r>
      <w:r>
        <w:t>根据</w:t>
      </w:r>
      <w:r>
        <w:rPr>
          <w:color w:val="FF0000"/>
          <w:u w:val="double" w:color="FF0000"/>
        </w:rPr>
        <w:t>科目汇总表登记总分类账</w:t>
      </w:r>
      <w:r>
        <w:t>的一种账务处理程序。</w:t>
      </w:r>
    </w:p>
    <w:p>
      <w:pPr>
        <w:pStyle w:val="5"/>
        <w:numPr>
          <w:ilvl w:val="0"/>
          <w:numId w:val="42"/>
        </w:numPr>
        <w:tabs>
          <w:tab w:val="left" w:pos="925"/>
        </w:tabs>
        <w:spacing w:before="1" w:after="0" w:line="240" w:lineRule="auto"/>
        <w:ind w:left="924" w:right="0" w:hanging="202"/>
        <w:jc w:val="left"/>
      </w:pPr>
      <w:r>
        <w:t>科目汇总表账务处理程序的一般步骤</w:t>
      </w:r>
    </w:p>
    <w:p>
      <w:pPr>
        <w:pStyle w:val="6"/>
        <w:spacing w:before="71"/>
      </w:pPr>
      <w:r>
        <w:t>①根据原始凭证填制汇总原始凭证； ②根据原始凭证或汇总原始凭证填制记账凭证；</w:t>
      </w:r>
    </w:p>
    <w:p>
      <w:pPr>
        <w:pStyle w:val="6"/>
        <w:spacing w:before="67"/>
      </w:pPr>
      <w:r>
        <w:t>③根据收款凭证、付款凭证逐笔登记库存现金日记账和银行存款日记账；</w:t>
      </w:r>
    </w:p>
    <w:p>
      <w:pPr>
        <w:pStyle w:val="6"/>
      </w:pPr>
      <w:r>
        <w:t>④根据</w:t>
      </w:r>
      <w:r>
        <w:rPr>
          <w:color w:val="FF0000"/>
          <w:u w:val="double" w:color="FF0000"/>
        </w:rPr>
        <w:t>原始凭证、汇总原始凭证和记账凭证，登记各种明细分类账</w:t>
      </w:r>
      <w:r>
        <w:t>；</w:t>
      </w:r>
    </w:p>
    <w:p>
      <w:pPr>
        <w:pStyle w:val="6"/>
        <w:spacing w:before="71"/>
      </w:pPr>
      <w:r>
        <w:t>⑤根据各种记账凭证编制科目汇总表；</w:t>
      </w:r>
    </w:p>
    <w:p>
      <w:pPr>
        <w:pStyle w:val="6"/>
      </w:pPr>
      <w:r>
        <w:t>⑥根据</w:t>
      </w:r>
      <w:r>
        <w:rPr>
          <w:color w:val="FF0000"/>
          <w:u w:val="double" w:color="FF0000"/>
        </w:rPr>
        <w:t>科目汇总表登记总分类账</w:t>
      </w:r>
      <w:r>
        <w:t>；</w:t>
      </w:r>
    </w:p>
    <w:p>
      <w:pPr>
        <w:pStyle w:val="6"/>
      </w:pPr>
      <w:r>
        <w:t>⑦期末，将库存现金日记账、银行存款日记账和明细分类账的余额同有关总分类账的余额核对相符；</w:t>
      </w:r>
    </w:p>
    <w:p>
      <w:pPr>
        <w:spacing w:before="70" w:line="302" w:lineRule="auto"/>
        <w:ind w:left="723" w:right="4663" w:firstLine="0"/>
        <w:jc w:val="left"/>
        <w:rPr>
          <w:b/>
          <w:sz w:val="20"/>
        </w:rPr>
      </w:pPr>
      <w:r>
        <w:rPr>
          <w:w w:val="95"/>
          <w:sz w:val="20"/>
        </w:rPr>
        <w:t xml:space="preserve">⑧期末，根据总分类账和明细分类账的记录，编制财务报表。 </w:t>
      </w:r>
      <w:r>
        <w:rPr>
          <w:b/>
          <w:sz w:val="20"/>
        </w:rPr>
        <w:t>2.科目汇总表账务处理程序的评价</w:t>
      </w:r>
    </w:p>
    <w:p>
      <w:pPr>
        <w:pStyle w:val="6"/>
        <w:spacing w:before="5" w:line="304" w:lineRule="auto"/>
        <w:ind w:left="322" w:right="761" w:firstLine="400"/>
      </w:pPr>
      <w:r>
        <w:rPr>
          <w:w w:val="95"/>
        </w:rPr>
        <w:t>①特点:科目汇总表账务处理程序的特点是先将所有记账凭证汇总编制成科目汇总表，然后以</w:t>
      </w:r>
      <w:r>
        <w:rPr>
          <w:color w:val="FF0000"/>
          <w:w w:val="95"/>
          <w:u w:val="double" w:color="FF0000"/>
        </w:rPr>
        <w:t>科目汇总表为</w:t>
      </w:r>
      <w:r>
        <w:rPr>
          <w:color w:val="FF0000"/>
          <w:spacing w:val="-199"/>
          <w:w w:val="95"/>
          <w:u w:val="double" w:color="FF0000"/>
        </w:rPr>
        <w:t>依</w:t>
      </w:r>
      <w:r>
        <w:rPr>
          <w:color w:val="FF0000"/>
          <w:spacing w:val="187"/>
          <w:w w:val="95"/>
          <w:u w:val="double" w:color="FF0000"/>
        </w:rPr>
        <w:t xml:space="preserve"> </w:t>
      </w:r>
      <w:r>
        <w:rPr>
          <w:color w:val="FF0000"/>
          <w:u w:val="double" w:color="FF0000"/>
        </w:rPr>
        <w:t>据登记总分类账</w:t>
      </w:r>
      <w:r>
        <w:t>。</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6"/>
        <w:spacing w:before="71"/>
      </w:pPr>
      <w:r>
        <w:t>②优缺点: 优点：</w:t>
      </w:r>
      <w:r>
        <w:rPr>
          <w:color w:val="FF0000"/>
          <w:u w:val="double" w:color="FF0000"/>
        </w:rPr>
        <w:t>减轻了登记总分类账的工作量，并可做到试算平衡</w:t>
      </w:r>
      <w:r>
        <w:t>；</w:t>
      </w:r>
    </w:p>
    <w:p>
      <w:pPr>
        <w:pStyle w:val="6"/>
        <w:ind w:left="1723"/>
      </w:pPr>
      <w:r>
        <w:t>缺点：</w:t>
      </w:r>
      <w:r>
        <w:rPr>
          <w:color w:val="FF0000"/>
          <w:u w:val="double" w:color="FF0000"/>
        </w:rPr>
        <w:t>科目汇总表不能反映各个账户之间的对应关系，不利于查对账目</w:t>
      </w:r>
      <w:r>
        <w:t>。</w:t>
      </w:r>
    </w:p>
    <w:p>
      <w:pPr>
        <w:pStyle w:val="6"/>
        <w:spacing w:before="0"/>
        <w:ind w:left="0"/>
      </w:pPr>
    </w:p>
    <w:p>
      <w:pPr>
        <w:pStyle w:val="3"/>
        <w:tabs>
          <w:tab w:val="left" w:pos="839"/>
        </w:tabs>
        <w:spacing w:before="190"/>
        <w:ind w:left="0" w:right="402"/>
        <w:jc w:val="center"/>
        <w:rPr>
          <w:rFonts w:hint="eastAsia" w:ascii="微软雅黑" w:eastAsia="微软雅黑"/>
        </w:rPr>
      </w:pPr>
      <w:bookmarkStart w:id="25" w:name="_bookmark6"/>
      <w:bookmarkEnd w:id="25"/>
      <w:bookmarkStart w:id="26" w:name="第六节  财产清查"/>
      <w:bookmarkEnd w:id="26"/>
      <w:r>
        <w:rPr>
          <w:rFonts w:hint="eastAsia" w:ascii="微软雅黑" w:eastAsia="微软雅黑"/>
          <w:shd w:val="clear" w:color="auto" w:fill="FFFF00"/>
        </w:rPr>
        <w:t>第六节</w:t>
      </w:r>
      <w:r>
        <w:rPr>
          <w:rFonts w:hint="eastAsia" w:ascii="微软雅黑" w:eastAsia="微软雅黑"/>
          <w:shd w:val="clear" w:color="auto" w:fill="FFFF00"/>
        </w:rPr>
        <w:tab/>
      </w:r>
      <w:r>
        <w:rPr>
          <w:rFonts w:hint="eastAsia" w:ascii="微软雅黑" w:eastAsia="微软雅黑"/>
          <w:shd w:val="clear" w:color="auto" w:fill="FFFF00"/>
        </w:rPr>
        <w:t>财产清查</w:t>
      </w:r>
    </w:p>
    <w:p>
      <w:pPr>
        <w:spacing w:before="139"/>
        <w:ind w:left="742" w:right="0" w:firstLine="0"/>
        <w:jc w:val="left"/>
        <w:rPr>
          <w:b/>
          <w:sz w:val="21"/>
        </w:rPr>
      </w:pPr>
      <w:bookmarkStart w:id="27" w:name="一、财产清查概述"/>
      <w:bookmarkEnd w:id="27"/>
      <w:r>
        <w:rPr>
          <w:b/>
          <w:sz w:val="21"/>
          <w:shd w:val="clear" w:color="auto" w:fill="C0C0C0"/>
        </w:rPr>
        <w:t>一、财产清查概述</w:t>
      </w:r>
    </w:p>
    <w:p>
      <w:pPr>
        <w:spacing w:before="91" w:line="304" w:lineRule="auto"/>
        <w:ind w:left="322" w:right="722" w:firstLine="400"/>
        <w:jc w:val="left"/>
        <w:rPr>
          <w:sz w:val="20"/>
        </w:rPr>
      </w:pPr>
      <w:r>
        <w:rPr>
          <w:w w:val="95"/>
          <w:sz w:val="20"/>
        </w:rPr>
        <w:t>财产清查是指通过对</w:t>
      </w:r>
      <w:r>
        <w:rPr>
          <w:b/>
          <w:color w:val="00AFEF"/>
          <w:spacing w:val="-5"/>
          <w:w w:val="95"/>
          <w:sz w:val="20"/>
          <w:u w:val="single" w:color="00AFEF"/>
        </w:rPr>
        <w:t>货币资金、实物资产和往来款项等</w:t>
      </w:r>
      <w:r>
        <w:rPr>
          <w:spacing w:val="-4"/>
          <w:w w:val="95"/>
          <w:sz w:val="20"/>
        </w:rPr>
        <w:t>财产物资进行盘点或核对，确定其实存数，查明</w:t>
      </w:r>
      <w:r>
        <w:rPr>
          <w:color w:val="FF0000"/>
          <w:w w:val="95"/>
          <w:sz w:val="20"/>
          <w:u w:val="double" w:color="FF0000"/>
        </w:rPr>
        <w:t>账存</w:t>
      </w:r>
      <w:r>
        <w:rPr>
          <w:color w:val="FF0000"/>
          <w:spacing w:val="-198"/>
          <w:w w:val="95"/>
          <w:sz w:val="20"/>
          <w:u w:val="double" w:color="FF0000"/>
        </w:rPr>
        <w:t>数</w:t>
      </w:r>
      <w:r>
        <w:rPr>
          <w:color w:val="FF0000"/>
          <w:spacing w:val="186"/>
          <w:w w:val="95"/>
          <w:sz w:val="20"/>
          <w:u w:val="double" w:color="FF0000"/>
        </w:rPr>
        <w:t xml:space="preserve"> </w:t>
      </w:r>
      <w:r>
        <w:rPr>
          <w:color w:val="FF0000"/>
          <w:sz w:val="20"/>
          <w:u w:val="double" w:color="FF0000"/>
        </w:rPr>
        <w:t>与实存数</w:t>
      </w:r>
      <w:r>
        <w:rPr>
          <w:sz w:val="20"/>
        </w:rPr>
        <w:t>是否相符的一种专门方法。</w:t>
      </w:r>
    </w:p>
    <w:p>
      <w:pPr>
        <w:pStyle w:val="5"/>
        <w:spacing w:before="0" w:line="304" w:lineRule="auto"/>
        <w:ind w:right="8054"/>
      </w:pPr>
      <w:r>
        <mc:AlternateContent>
          <mc:Choice Requires="wps">
            <w:drawing>
              <wp:anchor distT="0" distB="0" distL="114300" distR="114300" simplePos="0" relativeHeight="15778816" behindDoc="0" locked="0" layoutInCell="1" allowOverlap="1">
                <wp:simplePos x="0" y="0"/>
                <wp:positionH relativeFrom="page">
                  <wp:posOffset>656590</wp:posOffset>
                </wp:positionH>
                <wp:positionV relativeFrom="paragraph">
                  <wp:posOffset>370205</wp:posOffset>
                </wp:positionV>
                <wp:extent cx="6249670" cy="146812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6249670" cy="146812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86"/>
                              <w:gridCol w:w="52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86" w:type="dxa"/>
                                </w:tcPr>
                                <w:p>
                                  <w:pPr>
                                    <w:pStyle w:val="14"/>
                                    <w:spacing w:before="68" w:line="237" w:lineRule="exact"/>
                                    <w:ind w:left="2072" w:right="1664"/>
                                    <w:jc w:val="center"/>
                                    <w:rPr>
                                      <w:sz w:val="20"/>
                                    </w:rPr>
                                  </w:pPr>
                                  <w:r>
                                    <w:rPr>
                                      <w:sz w:val="20"/>
                                    </w:rPr>
                                    <w:t>全面清查</w:t>
                                  </w:r>
                                </w:p>
                              </w:tc>
                              <w:tc>
                                <w:tcPr>
                                  <w:tcW w:w="5241" w:type="dxa"/>
                                </w:tcPr>
                                <w:p>
                                  <w:pPr>
                                    <w:pStyle w:val="14"/>
                                    <w:spacing w:before="68" w:line="237" w:lineRule="exact"/>
                                    <w:ind w:left="2399" w:right="1992"/>
                                    <w:jc w:val="center"/>
                                    <w:rPr>
                                      <w:sz w:val="20"/>
                                    </w:rPr>
                                  </w:pPr>
                                  <w:r>
                                    <w:rPr>
                                      <w:sz w:val="20"/>
                                    </w:rPr>
                                    <w:t>局部清查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6" w:hRule="atLeast"/>
                              </w:trPr>
                              <w:tc>
                                <w:tcPr>
                                  <w:tcW w:w="4586" w:type="dxa"/>
                                </w:tcPr>
                                <w:p>
                                  <w:pPr>
                                    <w:pStyle w:val="14"/>
                                    <w:spacing w:before="68"/>
                                    <w:ind w:left="508"/>
                                    <w:rPr>
                                      <w:sz w:val="20"/>
                                    </w:rPr>
                                  </w:pPr>
                                  <w:r>
                                    <w:rPr>
                                      <w:sz w:val="20"/>
                                    </w:rPr>
                                    <w:t>①</w:t>
                                  </w:r>
                                  <w:r>
                                    <w:rPr>
                                      <w:color w:val="FF0000"/>
                                      <w:sz w:val="20"/>
                                      <w:u w:val="double" w:color="FF0000"/>
                                    </w:rPr>
                                    <w:t>年终决算前</w:t>
                                  </w:r>
                                </w:p>
                                <w:p>
                                  <w:pPr>
                                    <w:pStyle w:val="14"/>
                                    <w:spacing w:before="70"/>
                                    <w:ind w:left="508"/>
                                    <w:rPr>
                                      <w:sz w:val="20"/>
                                    </w:rPr>
                                  </w:pPr>
                                  <w:r>
                                    <w:rPr>
                                      <w:sz w:val="20"/>
                                    </w:rPr>
                                    <w:t>②</w:t>
                                  </w:r>
                                  <w:r>
                                    <w:rPr>
                                      <w:color w:val="FF0000"/>
                                      <w:sz w:val="20"/>
                                      <w:u w:val="double" w:color="FF0000"/>
                                    </w:rPr>
                                    <w:t>单位撤销、合并或改变隶属关系前</w:t>
                                  </w:r>
                                </w:p>
                                <w:p>
                                  <w:pPr>
                                    <w:pStyle w:val="14"/>
                                    <w:spacing w:before="71"/>
                                    <w:ind w:left="508"/>
                                    <w:rPr>
                                      <w:sz w:val="20"/>
                                    </w:rPr>
                                  </w:pPr>
                                  <w:r>
                                    <w:rPr>
                                      <w:sz w:val="20"/>
                                    </w:rPr>
                                    <w:t>③</w:t>
                                  </w:r>
                                  <w:r>
                                    <w:rPr>
                                      <w:color w:val="FF0000"/>
                                      <w:sz w:val="20"/>
                                      <w:u w:val="double" w:color="FF0000"/>
                                    </w:rPr>
                                    <w:t>中外合资、国内联营前</w:t>
                                  </w:r>
                                </w:p>
                                <w:p>
                                  <w:pPr>
                                    <w:pStyle w:val="14"/>
                                    <w:spacing w:before="70"/>
                                    <w:ind w:left="508"/>
                                    <w:rPr>
                                      <w:sz w:val="20"/>
                                    </w:rPr>
                                  </w:pPr>
                                  <w:r>
                                    <w:rPr>
                                      <w:sz w:val="20"/>
                                    </w:rPr>
                                    <w:t>④</w:t>
                                  </w:r>
                                  <w:r>
                                    <w:rPr>
                                      <w:color w:val="FF0000"/>
                                      <w:sz w:val="20"/>
                                      <w:u w:val="double" w:color="FF0000"/>
                                    </w:rPr>
                                    <w:t>股份制改造前</w:t>
                                  </w:r>
                                </w:p>
                                <w:p>
                                  <w:pPr>
                                    <w:pStyle w:val="14"/>
                                    <w:spacing w:before="70"/>
                                    <w:ind w:left="508"/>
                                    <w:rPr>
                                      <w:sz w:val="20"/>
                                    </w:rPr>
                                  </w:pPr>
                                  <w:r>
                                    <w:rPr>
                                      <w:w w:val="95"/>
                                      <w:sz w:val="20"/>
                                    </w:rPr>
                                    <w:t>⑤</w:t>
                                  </w:r>
                                  <w:r>
                                    <w:rPr>
                                      <w:color w:val="FF0000"/>
                                      <w:w w:val="95"/>
                                      <w:sz w:val="20"/>
                                      <w:u w:val="double" w:color="FF0000"/>
                                    </w:rPr>
                                    <w:t>全面清产核资、资产评估前</w:t>
                                  </w:r>
                                </w:p>
                                <w:p>
                                  <w:pPr>
                                    <w:pStyle w:val="14"/>
                                    <w:spacing w:before="68" w:line="238" w:lineRule="exact"/>
                                    <w:ind w:left="508"/>
                                    <w:rPr>
                                      <w:sz w:val="20"/>
                                    </w:rPr>
                                  </w:pPr>
                                  <w:r>
                                    <w:rPr>
                                      <w:w w:val="95"/>
                                      <w:sz w:val="20"/>
                                    </w:rPr>
                                    <w:t>⑥</w:t>
                                  </w:r>
                                  <w:r>
                                    <w:rPr>
                                      <w:color w:val="FF0000"/>
                                      <w:w w:val="95"/>
                                      <w:sz w:val="20"/>
                                      <w:u w:val="double" w:color="FF0000"/>
                                    </w:rPr>
                                    <w:t>单位主要领导调离工作前。</w:t>
                                  </w:r>
                                </w:p>
                              </w:tc>
                              <w:tc>
                                <w:tcPr>
                                  <w:tcW w:w="5241" w:type="dxa"/>
                                </w:tcPr>
                                <w:p>
                                  <w:pPr>
                                    <w:pStyle w:val="14"/>
                                    <w:spacing w:before="68"/>
                                    <w:ind w:left="506"/>
                                    <w:rPr>
                                      <w:sz w:val="20"/>
                                    </w:rPr>
                                  </w:pPr>
                                  <w:r>
                                    <w:rPr>
                                      <w:sz w:val="20"/>
                                    </w:rPr>
                                    <w:t>①</w:t>
                                  </w:r>
                                  <w:r>
                                    <w:rPr>
                                      <w:color w:val="FF0000"/>
                                      <w:sz w:val="20"/>
                                      <w:u w:val="double" w:color="FF0000"/>
                                    </w:rPr>
                                    <w:t>库存现金应每日业务终了时清点核对</w:t>
                                  </w:r>
                                </w:p>
                                <w:p>
                                  <w:pPr>
                                    <w:pStyle w:val="14"/>
                                    <w:spacing w:before="70"/>
                                    <w:ind w:left="506"/>
                                    <w:rPr>
                                      <w:sz w:val="20"/>
                                    </w:rPr>
                                  </w:pPr>
                                  <w:r>
                                    <w:rPr>
                                      <w:sz w:val="20"/>
                                    </w:rPr>
                                    <w:t>②银行存款</w:t>
                                  </w:r>
                                  <w:r>
                                    <w:rPr>
                                      <w:color w:val="FF0000"/>
                                      <w:sz w:val="20"/>
                                      <w:u w:val="double" w:color="FF0000"/>
                                    </w:rPr>
                                    <w:t>每月至少核对一次</w:t>
                                  </w:r>
                                </w:p>
                                <w:p>
                                  <w:pPr>
                                    <w:pStyle w:val="14"/>
                                    <w:spacing w:before="71" w:line="304" w:lineRule="auto"/>
                                    <w:ind w:left="108" w:right="121" w:firstLine="398"/>
                                    <w:rPr>
                                      <w:sz w:val="20"/>
                                    </w:rPr>
                                  </w:pPr>
                                  <w:r>
                                    <w:rPr>
                                      <w:sz w:val="20"/>
                                    </w:rPr>
                                    <w:t>③库存商品、原材料应在年内轮流盘点或重点抽查； 对于各种贵重物资，应</w:t>
                                  </w:r>
                                  <w:r>
                                    <w:rPr>
                                      <w:color w:val="FF0000"/>
                                      <w:sz w:val="20"/>
                                      <w:u w:val="double" w:color="FF0000"/>
                                    </w:rPr>
                                    <w:t>每月盘点一次</w:t>
                                  </w:r>
                                </w:p>
                                <w:p>
                                  <w:pPr>
                                    <w:pStyle w:val="14"/>
                                    <w:spacing w:before="2"/>
                                    <w:ind w:left="506"/>
                                    <w:rPr>
                                      <w:sz w:val="20"/>
                                    </w:rPr>
                                  </w:pPr>
                                  <w:r>
                                    <w:rPr>
                                      <w:sz w:val="20"/>
                                    </w:rPr>
                                    <w:t>④</w:t>
                                  </w:r>
                                  <w:r>
                                    <w:rPr>
                                      <w:color w:val="FF0000"/>
                                      <w:sz w:val="20"/>
                                      <w:u w:val="double" w:color="FF0000"/>
                                    </w:rPr>
                                    <w:t>债权债务每年应至少核对 1-2 次</w:t>
                                  </w:r>
                                  <w:r>
                                    <w:rPr>
                                      <w:sz w:val="20"/>
                                    </w:rPr>
                                    <w:t>。</w:t>
                                  </w:r>
                                </w:p>
                              </w:tc>
                            </w:tr>
                          </w:tbl>
                          <w:p>
                            <w:pPr>
                              <w:pStyle w:val="6"/>
                              <w:spacing w:before="0"/>
                              <w:ind w:left="0"/>
                            </w:pPr>
                          </w:p>
                        </w:txbxContent>
                      </wps:txbx>
                      <wps:bodyPr lIns="0" tIns="0" rIns="0" bIns="0" upright="1"/>
                    </wps:wsp>
                  </a:graphicData>
                </a:graphic>
              </wp:anchor>
            </w:drawing>
          </mc:Choice>
          <mc:Fallback>
            <w:pict>
              <v:shape id="_x0000_s1026" o:spid="_x0000_s1026" o:spt="202" type="#_x0000_t202" style="position:absolute;left:0pt;margin-left:51.7pt;margin-top:29.15pt;height:115.6pt;width:492.1pt;mso-position-horizontal-relative:page;z-index:15778816;mso-width-relative:page;mso-height-relative:page;" filled="f" stroked="f" coordsize="21600,21600" o:gfxdata="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kr/v/doAAAALAQAADwAA&#10;AAAAAAABACAAAAAiAAAAZHJzL2Rvd25yZXYueG1sUEsBAhQAFAAAAAgAh07iQARbHG6iAQAAKQMA&#10;AA4AAAAAAAAAAQAgAAAAKQEAAGRycy9lMm9Eb2MueG1sUEsFBgAAAAAGAAYAWQEAAD0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86"/>
                        <w:gridCol w:w="52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86" w:type="dxa"/>
                          </w:tcPr>
                          <w:p>
                            <w:pPr>
                              <w:pStyle w:val="14"/>
                              <w:spacing w:before="68" w:line="237" w:lineRule="exact"/>
                              <w:ind w:left="2072" w:right="1664"/>
                              <w:jc w:val="center"/>
                              <w:rPr>
                                <w:sz w:val="20"/>
                              </w:rPr>
                            </w:pPr>
                            <w:r>
                              <w:rPr>
                                <w:sz w:val="20"/>
                              </w:rPr>
                              <w:t>全面清查</w:t>
                            </w:r>
                          </w:p>
                        </w:tc>
                        <w:tc>
                          <w:tcPr>
                            <w:tcW w:w="5241" w:type="dxa"/>
                          </w:tcPr>
                          <w:p>
                            <w:pPr>
                              <w:pStyle w:val="14"/>
                              <w:spacing w:before="68" w:line="237" w:lineRule="exact"/>
                              <w:ind w:left="2399" w:right="1992"/>
                              <w:jc w:val="center"/>
                              <w:rPr>
                                <w:sz w:val="20"/>
                              </w:rPr>
                            </w:pPr>
                            <w:r>
                              <w:rPr>
                                <w:sz w:val="20"/>
                              </w:rPr>
                              <w:t>局部清查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6" w:hRule="atLeast"/>
                        </w:trPr>
                        <w:tc>
                          <w:tcPr>
                            <w:tcW w:w="4586" w:type="dxa"/>
                          </w:tcPr>
                          <w:p>
                            <w:pPr>
                              <w:pStyle w:val="14"/>
                              <w:spacing w:before="68"/>
                              <w:ind w:left="508"/>
                              <w:rPr>
                                <w:sz w:val="20"/>
                              </w:rPr>
                            </w:pPr>
                            <w:r>
                              <w:rPr>
                                <w:sz w:val="20"/>
                              </w:rPr>
                              <w:t>①</w:t>
                            </w:r>
                            <w:r>
                              <w:rPr>
                                <w:color w:val="FF0000"/>
                                <w:sz w:val="20"/>
                                <w:u w:val="double" w:color="FF0000"/>
                              </w:rPr>
                              <w:t>年终决算前</w:t>
                            </w:r>
                          </w:p>
                          <w:p>
                            <w:pPr>
                              <w:pStyle w:val="14"/>
                              <w:spacing w:before="70"/>
                              <w:ind w:left="508"/>
                              <w:rPr>
                                <w:sz w:val="20"/>
                              </w:rPr>
                            </w:pPr>
                            <w:r>
                              <w:rPr>
                                <w:sz w:val="20"/>
                              </w:rPr>
                              <w:t>②</w:t>
                            </w:r>
                            <w:r>
                              <w:rPr>
                                <w:color w:val="FF0000"/>
                                <w:sz w:val="20"/>
                                <w:u w:val="double" w:color="FF0000"/>
                              </w:rPr>
                              <w:t>单位撤销、合并或改变隶属关系前</w:t>
                            </w:r>
                          </w:p>
                          <w:p>
                            <w:pPr>
                              <w:pStyle w:val="14"/>
                              <w:spacing w:before="71"/>
                              <w:ind w:left="508"/>
                              <w:rPr>
                                <w:sz w:val="20"/>
                              </w:rPr>
                            </w:pPr>
                            <w:r>
                              <w:rPr>
                                <w:sz w:val="20"/>
                              </w:rPr>
                              <w:t>③</w:t>
                            </w:r>
                            <w:r>
                              <w:rPr>
                                <w:color w:val="FF0000"/>
                                <w:sz w:val="20"/>
                                <w:u w:val="double" w:color="FF0000"/>
                              </w:rPr>
                              <w:t>中外合资、国内联营前</w:t>
                            </w:r>
                          </w:p>
                          <w:p>
                            <w:pPr>
                              <w:pStyle w:val="14"/>
                              <w:spacing w:before="70"/>
                              <w:ind w:left="508"/>
                              <w:rPr>
                                <w:sz w:val="20"/>
                              </w:rPr>
                            </w:pPr>
                            <w:r>
                              <w:rPr>
                                <w:sz w:val="20"/>
                              </w:rPr>
                              <w:t>④</w:t>
                            </w:r>
                            <w:r>
                              <w:rPr>
                                <w:color w:val="FF0000"/>
                                <w:sz w:val="20"/>
                                <w:u w:val="double" w:color="FF0000"/>
                              </w:rPr>
                              <w:t>股份制改造前</w:t>
                            </w:r>
                          </w:p>
                          <w:p>
                            <w:pPr>
                              <w:pStyle w:val="14"/>
                              <w:spacing w:before="70"/>
                              <w:ind w:left="508"/>
                              <w:rPr>
                                <w:sz w:val="20"/>
                              </w:rPr>
                            </w:pPr>
                            <w:r>
                              <w:rPr>
                                <w:w w:val="95"/>
                                <w:sz w:val="20"/>
                              </w:rPr>
                              <w:t>⑤</w:t>
                            </w:r>
                            <w:r>
                              <w:rPr>
                                <w:color w:val="FF0000"/>
                                <w:w w:val="95"/>
                                <w:sz w:val="20"/>
                                <w:u w:val="double" w:color="FF0000"/>
                              </w:rPr>
                              <w:t>全面清产核资、资产评估前</w:t>
                            </w:r>
                          </w:p>
                          <w:p>
                            <w:pPr>
                              <w:pStyle w:val="14"/>
                              <w:spacing w:before="68" w:line="238" w:lineRule="exact"/>
                              <w:ind w:left="508"/>
                              <w:rPr>
                                <w:sz w:val="20"/>
                              </w:rPr>
                            </w:pPr>
                            <w:r>
                              <w:rPr>
                                <w:w w:val="95"/>
                                <w:sz w:val="20"/>
                              </w:rPr>
                              <w:t>⑥</w:t>
                            </w:r>
                            <w:r>
                              <w:rPr>
                                <w:color w:val="FF0000"/>
                                <w:w w:val="95"/>
                                <w:sz w:val="20"/>
                                <w:u w:val="double" w:color="FF0000"/>
                              </w:rPr>
                              <w:t>单位主要领导调离工作前。</w:t>
                            </w:r>
                          </w:p>
                        </w:tc>
                        <w:tc>
                          <w:tcPr>
                            <w:tcW w:w="5241" w:type="dxa"/>
                          </w:tcPr>
                          <w:p>
                            <w:pPr>
                              <w:pStyle w:val="14"/>
                              <w:spacing w:before="68"/>
                              <w:ind w:left="506"/>
                              <w:rPr>
                                <w:sz w:val="20"/>
                              </w:rPr>
                            </w:pPr>
                            <w:r>
                              <w:rPr>
                                <w:sz w:val="20"/>
                              </w:rPr>
                              <w:t>①</w:t>
                            </w:r>
                            <w:r>
                              <w:rPr>
                                <w:color w:val="FF0000"/>
                                <w:sz w:val="20"/>
                                <w:u w:val="double" w:color="FF0000"/>
                              </w:rPr>
                              <w:t>库存现金应每日业务终了时清点核对</w:t>
                            </w:r>
                          </w:p>
                          <w:p>
                            <w:pPr>
                              <w:pStyle w:val="14"/>
                              <w:spacing w:before="70"/>
                              <w:ind w:left="506"/>
                              <w:rPr>
                                <w:sz w:val="20"/>
                              </w:rPr>
                            </w:pPr>
                            <w:r>
                              <w:rPr>
                                <w:sz w:val="20"/>
                              </w:rPr>
                              <w:t>②银行存款</w:t>
                            </w:r>
                            <w:r>
                              <w:rPr>
                                <w:color w:val="FF0000"/>
                                <w:sz w:val="20"/>
                                <w:u w:val="double" w:color="FF0000"/>
                              </w:rPr>
                              <w:t>每月至少核对一次</w:t>
                            </w:r>
                          </w:p>
                          <w:p>
                            <w:pPr>
                              <w:pStyle w:val="14"/>
                              <w:spacing w:before="71" w:line="304" w:lineRule="auto"/>
                              <w:ind w:left="108" w:right="121" w:firstLine="398"/>
                              <w:rPr>
                                <w:sz w:val="20"/>
                              </w:rPr>
                            </w:pPr>
                            <w:r>
                              <w:rPr>
                                <w:sz w:val="20"/>
                              </w:rPr>
                              <w:t>③库存商品、原材料应在年内轮流盘点或重点抽查； 对于各种贵重物资，应</w:t>
                            </w:r>
                            <w:r>
                              <w:rPr>
                                <w:color w:val="FF0000"/>
                                <w:sz w:val="20"/>
                                <w:u w:val="double" w:color="FF0000"/>
                              </w:rPr>
                              <w:t>每月盘点一次</w:t>
                            </w:r>
                          </w:p>
                          <w:p>
                            <w:pPr>
                              <w:pStyle w:val="14"/>
                              <w:spacing w:before="2"/>
                              <w:ind w:left="506"/>
                              <w:rPr>
                                <w:sz w:val="20"/>
                              </w:rPr>
                            </w:pPr>
                            <w:r>
                              <w:rPr>
                                <w:sz w:val="20"/>
                              </w:rPr>
                              <w:t>④</w:t>
                            </w:r>
                            <w:r>
                              <w:rPr>
                                <w:color w:val="FF0000"/>
                                <w:sz w:val="20"/>
                                <w:u w:val="double" w:color="FF0000"/>
                              </w:rPr>
                              <w:t>债权债务每年应至少核对 1-2 次</w:t>
                            </w:r>
                            <w:r>
                              <w:rPr>
                                <w:sz w:val="20"/>
                              </w:rPr>
                              <w:t>。</w:t>
                            </w:r>
                          </w:p>
                        </w:tc>
                      </w:tr>
                    </w:tbl>
                    <w:p>
                      <w:pPr>
                        <w:pStyle w:val="6"/>
                        <w:spacing w:before="0"/>
                        <w:ind w:left="0"/>
                      </w:pPr>
                    </w:p>
                  </w:txbxContent>
                </v:textbox>
              </v:shape>
            </w:pict>
          </mc:Fallback>
        </mc:AlternateContent>
      </w:r>
      <w:r>
        <w:t>（一）财产清查的分类1.按照清查范围分类</w:t>
      </w: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6"/>
        <w:ind w:left="0"/>
        <w:rPr>
          <w:b/>
        </w:rPr>
      </w:pPr>
    </w:p>
    <w:p>
      <w:pPr>
        <w:pStyle w:val="5"/>
        <w:numPr>
          <w:ilvl w:val="0"/>
          <w:numId w:val="42"/>
        </w:numPr>
        <w:tabs>
          <w:tab w:val="left" w:pos="925"/>
        </w:tabs>
        <w:spacing w:before="1" w:after="0" w:line="240" w:lineRule="auto"/>
        <w:ind w:left="924" w:right="0" w:hanging="202"/>
        <w:jc w:val="left"/>
      </w:pPr>
      <w:r>
        <w:t>按照清查的时间分类</w:t>
      </w:r>
    </w:p>
    <w:tbl>
      <w:tblPr>
        <w:tblStyle w:val="10"/>
        <w:tblW w:w="0" w:type="auto"/>
        <w:tblInd w:w="4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75"/>
        <w:gridCol w:w="5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75" w:type="dxa"/>
          </w:tcPr>
          <w:p>
            <w:pPr>
              <w:pStyle w:val="14"/>
              <w:spacing w:before="68" w:line="238" w:lineRule="exact"/>
              <w:ind w:left="1063" w:right="658"/>
              <w:jc w:val="center"/>
              <w:rPr>
                <w:sz w:val="20"/>
              </w:rPr>
            </w:pPr>
            <w:r>
              <w:rPr>
                <w:sz w:val="20"/>
              </w:rPr>
              <w:t>定期清查</w:t>
            </w:r>
          </w:p>
        </w:tc>
        <w:tc>
          <w:tcPr>
            <w:tcW w:w="5265" w:type="dxa"/>
          </w:tcPr>
          <w:p>
            <w:pPr>
              <w:pStyle w:val="14"/>
              <w:spacing w:before="68" w:line="238" w:lineRule="exact"/>
              <w:ind w:left="2311" w:right="1903"/>
              <w:jc w:val="center"/>
              <w:rPr>
                <w:sz w:val="20"/>
              </w:rPr>
            </w:pPr>
            <w:r>
              <w:rPr>
                <w:sz w:val="20"/>
              </w:rPr>
              <w:t>不定期清查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3" w:hRule="atLeast"/>
        </w:trPr>
        <w:tc>
          <w:tcPr>
            <w:tcW w:w="4575" w:type="dxa"/>
          </w:tcPr>
          <w:p>
            <w:pPr>
              <w:pStyle w:val="14"/>
              <w:rPr>
                <w:b/>
                <w:sz w:val="20"/>
              </w:rPr>
            </w:pPr>
          </w:p>
          <w:p>
            <w:pPr>
              <w:pStyle w:val="14"/>
              <w:spacing w:before="6"/>
              <w:rPr>
                <w:b/>
                <w:sz w:val="23"/>
              </w:rPr>
            </w:pPr>
          </w:p>
          <w:p>
            <w:pPr>
              <w:pStyle w:val="14"/>
              <w:spacing w:before="1"/>
              <w:ind w:left="1066" w:right="658"/>
              <w:jc w:val="center"/>
              <w:rPr>
                <w:sz w:val="20"/>
              </w:rPr>
            </w:pPr>
            <w:r>
              <w:rPr>
                <w:sz w:val="20"/>
              </w:rPr>
              <w:t>一般在年末、季末、月末进行。</w:t>
            </w:r>
          </w:p>
        </w:tc>
        <w:tc>
          <w:tcPr>
            <w:tcW w:w="5265" w:type="dxa"/>
          </w:tcPr>
          <w:p>
            <w:pPr>
              <w:pStyle w:val="14"/>
              <w:spacing w:before="68"/>
              <w:ind w:left="508"/>
              <w:rPr>
                <w:sz w:val="20"/>
              </w:rPr>
            </w:pPr>
            <w:r>
              <w:rPr>
                <w:sz w:val="20"/>
              </w:rPr>
              <w:t>①</w:t>
            </w:r>
            <w:r>
              <w:rPr>
                <w:color w:val="FF0000"/>
                <w:sz w:val="20"/>
                <w:u w:val="double" w:color="FF0000"/>
              </w:rPr>
              <w:t>财产物资、库存现金保管人员更换时。</w:t>
            </w:r>
          </w:p>
          <w:p>
            <w:pPr>
              <w:pStyle w:val="14"/>
              <w:spacing w:before="70"/>
              <w:ind w:left="508"/>
              <w:rPr>
                <w:sz w:val="20"/>
              </w:rPr>
            </w:pPr>
            <w:r>
              <w:rPr>
                <w:sz w:val="20"/>
              </w:rPr>
              <w:t>②</w:t>
            </w:r>
            <w:r>
              <w:rPr>
                <w:color w:val="FF0000"/>
                <w:sz w:val="20"/>
                <w:u w:val="double" w:color="FF0000"/>
              </w:rPr>
              <w:t>发生自然灾害和意外损、财政、审计和失时。</w:t>
            </w:r>
          </w:p>
          <w:p>
            <w:pPr>
              <w:pStyle w:val="14"/>
              <w:spacing w:before="70"/>
              <w:ind w:left="508"/>
              <w:rPr>
                <w:sz w:val="20"/>
              </w:rPr>
            </w:pPr>
            <w:r>
              <w:rPr>
                <w:sz w:val="20"/>
              </w:rPr>
              <w:t>③</w:t>
            </w:r>
            <w:r>
              <w:rPr>
                <w:color w:val="FF0000"/>
                <w:sz w:val="20"/>
                <w:u w:val="double" w:color="FF0000"/>
              </w:rPr>
              <w:t>上级主管银行等部门，对本单位进行会计检査时。</w:t>
            </w:r>
          </w:p>
          <w:p>
            <w:pPr>
              <w:pStyle w:val="14"/>
              <w:spacing w:before="70" w:line="237" w:lineRule="exact"/>
              <w:ind w:left="508"/>
              <w:rPr>
                <w:sz w:val="20"/>
              </w:rPr>
            </w:pPr>
            <w:r>
              <w:rPr>
                <w:sz w:val="20"/>
              </w:rPr>
              <w:t>④</w:t>
            </w:r>
            <w:r>
              <w:rPr>
                <w:color w:val="FF0000"/>
                <w:sz w:val="20"/>
                <w:u w:val="double" w:color="FF0000"/>
              </w:rPr>
              <w:t>进行临时性清产核资时。</w:t>
            </w:r>
          </w:p>
        </w:tc>
      </w:tr>
    </w:tbl>
    <w:p>
      <w:pPr>
        <w:spacing w:after="0" w:line="237" w:lineRule="exact"/>
        <w:rPr>
          <w:sz w:val="20"/>
        </w:rPr>
        <w:sectPr>
          <w:pgSz w:w="11910" w:h="16160"/>
          <w:pgMar w:top="1680" w:right="360" w:bottom="860" w:left="760" w:header="0" w:footer="584" w:gutter="0"/>
        </w:sectPr>
      </w:pPr>
    </w:p>
    <w:p>
      <w:pPr>
        <w:pStyle w:val="6"/>
        <w:spacing w:before="11"/>
        <w:ind w:left="0"/>
        <w:rPr>
          <w:b/>
          <w:sz w:val="13"/>
        </w:rPr>
      </w:pPr>
    </w:p>
    <w:p>
      <w:pPr>
        <w:pStyle w:val="5"/>
        <w:numPr>
          <w:ilvl w:val="0"/>
          <w:numId w:val="42"/>
        </w:numPr>
        <w:tabs>
          <w:tab w:val="left" w:pos="925"/>
        </w:tabs>
        <w:spacing w:before="71" w:after="0" w:line="240" w:lineRule="auto"/>
        <w:ind w:left="924" w:right="0" w:hanging="202"/>
        <w:jc w:val="left"/>
      </w:pPr>
      <w:r>
        <w:t>按照清查的执行系统分类</w:t>
      </w:r>
    </w:p>
    <w:tbl>
      <w:tblPr>
        <w:tblStyle w:val="10"/>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75"/>
        <w:gridCol w:w="5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575" w:type="dxa"/>
          </w:tcPr>
          <w:p>
            <w:pPr>
              <w:pStyle w:val="14"/>
              <w:spacing w:before="68" w:line="237" w:lineRule="exact"/>
              <w:ind w:left="1066" w:right="657"/>
              <w:jc w:val="center"/>
              <w:rPr>
                <w:sz w:val="20"/>
              </w:rPr>
            </w:pPr>
            <w:r>
              <w:rPr>
                <w:sz w:val="20"/>
              </w:rPr>
              <w:t>内部清查</w:t>
            </w:r>
          </w:p>
        </w:tc>
        <w:tc>
          <w:tcPr>
            <w:tcW w:w="5250" w:type="dxa"/>
          </w:tcPr>
          <w:p>
            <w:pPr>
              <w:pStyle w:val="14"/>
              <w:spacing w:before="68" w:line="237" w:lineRule="exact"/>
              <w:ind w:left="2405" w:right="1995"/>
              <w:jc w:val="center"/>
              <w:rPr>
                <w:sz w:val="20"/>
              </w:rPr>
            </w:pPr>
            <w:r>
              <w:rPr>
                <w:sz w:val="20"/>
              </w:rPr>
              <w:t>外部清查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4" w:hRule="atLeast"/>
        </w:trPr>
        <w:tc>
          <w:tcPr>
            <w:tcW w:w="4575" w:type="dxa"/>
          </w:tcPr>
          <w:p>
            <w:pPr>
              <w:pStyle w:val="14"/>
              <w:rPr>
                <w:b/>
                <w:sz w:val="20"/>
              </w:rPr>
            </w:pPr>
          </w:p>
          <w:p>
            <w:pPr>
              <w:pStyle w:val="14"/>
              <w:spacing w:before="138" w:line="304" w:lineRule="auto"/>
              <w:ind w:left="107" w:right="56" w:firstLine="480"/>
              <w:rPr>
                <w:sz w:val="20"/>
              </w:rPr>
            </w:pPr>
            <w:r>
              <w:rPr>
                <w:sz w:val="20"/>
              </w:rPr>
              <w:t>由</w:t>
            </w:r>
            <w:r>
              <w:rPr>
                <w:color w:val="FF0000"/>
                <w:sz w:val="20"/>
                <w:u w:val="double" w:color="FF0000"/>
              </w:rPr>
              <w:t>本单位内部</w:t>
            </w:r>
            <w:r>
              <w:rPr>
                <w:sz w:val="20"/>
              </w:rPr>
              <w:t>自行组织清查工作小组所进行</w:t>
            </w:r>
            <w:r>
              <w:rPr>
                <w:w w:val="95"/>
                <w:sz w:val="20"/>
              </w:rPr>
              <w:t>的财产清查工作。大多数财产清查都是内部清查。</w:t>
            </w:r>
          </w:p>
        </w:tc>
        <w:tc>
          <w:tcPr>
            <w:tcW w:w="5250" w:type="dxa"/>
          </w:tcPr>
          <w:p>
            <w:pPr>
              <w:pStyle w:val="14"/>
              <w:spacing w:before="7" w:line="326" w:lineRule="exact"/>
              <w:ind w:left="107" w:right="-15" w:firstLine="400"/>
              <w:rPr>
                <w:sz w:val="20"/>
              </w:rPr>
            </w:pPr>
            <w:r>
              <w:rPr>
                <w:sz w:val="20"/>
              </w:rPr>
              <w:t>外部清查是指由</w:t>
            </w:r>
            <w:r>
              <w:rPr>
                <w:color w:val="FF0000"/>
                <w:spacing w:val="-8"/>
                <w:sz w:val="20"/>
                <w:u w:val="double" w:color="FF0000"/>
              </w:rPr>
              <w:t>上级主管部门、审计机关、司法部门、</w:t>
            </w:r>
            <w:r>
              <w:rPr>
                <w:color w:val="FF0000"/>
                <w:spacing w:val="-197"/>
                <w:sz w:val="20"/>
                <w:u w:val="double" w:color="FF0000"/>
              </w:rPr>
              <w:t>注</w:t>
            </w:r>
            <w:r>
              <w:rPr>
                <w:color w:val="FF0000"/>
                <w:sz w:val="20"/>
                <w:u w:val="double" w:color="FF0000"/>
              </w:rPr>
              <w:t>册会计师</w:t>
            </w:r>
            <w:r>
              <w:rPr>
                <w:sz w:val="20"/>
              </w:rPr>
              <w:t>根据国家有关规定或情况需要对本单位所进行  的财产清查。一般来讲，</w:t>
            </w:r>
            <w:r>
              <w:rPr>
                <w:color w:val="FF0000"/>
                <w:spacing w:val="-5"/>
                <w:sz w:val="20"/>
                <w:u w:val="double" w:color="FF0000"/>
              </w:rPr>
              <w:t>进行外部清查时应有本单位相关人</w:t>
            </w:r>
            <w:r>
              <w:rPr>
                <w:color w:val="FF0000"/>
                <w:sz w:val="20"/>
                <w:u w:val="double" w:color="FF0000"/>
              </w:rPr>
              <w:t>员参加</w:t>
            </w:r>
            <w:r>
              <w:rPr>
                <w:sz w:val="20"/>
              </w:rPr>
              <w:t>。</w:t>
            </w:r>
          </w:p>
        </w:tc>
      </w:tr>
    </w:tbl>
    <w:p>
      <w:pPr>
        <w:pStyle w:val="5"/>
      </w:pPr>
      <w:r>
        <w:t>（二）财产清查的一般程序</w:t>
      </w:r>
    </w:p>
    <w:p>
      <w:pPr>
        <w:pStyle w:val="6"/>
      </w:pPr>
      <w:r>
        <w:t>①建立财产清查组织；</w:t>
      </w:r>
    </w:p>
    <w:p>
      <w:pPr>
        <w:pStyle w:val="6"/>
        <w:spacing w:before="68"/>
      </w:pPr>
      <w:r>
        <w:t>②组织清查人员学习有关政策规定，掌握有关法律、法规和相关业务知识，以提高财产清查工作的质量；</w:t>
      </w:r>
    </w:p>
    <w:p>
      <w:pPr>
        <w:pStyle w:val="6"/>
      </w:pPr>
      <w:r>
        <w:t>④制订清查方案，具体安排清查内容、时间、步骤、方法，以及必要的清查前准备；</w:t>
      </w:r>
    </w:p>
    <w:p>
      <w:pPr>
        <w:pStyle w:val="6"/>
      </w:pPr>
      <w:r>
        <w:rPr>
          <w:w w:val="95"/>
        </w:rPr>
        <w:t>⑤清查时本着先清查数量、核对有关账簿记录等，后认定质量的原则进行；</w:t>
      </w:r>
    </w:p>
    <w:p>
      <w:pPr>
        <w:pStyle w:val="6"/>
      </w:pPr>
      <w:r>
        <w:rPr>
          <w:w w:val="95"/>
        </w:rPr>
        <w:t>⑥填制盘存清单；⑦根据盘存清单，填制实物、往来账项清查结果报告表。</w:t>
      </w:r>
    </w:p>
    <w:p>
      <w:pPr>
        <w:spacing w:before="22"/>
        <w:ind w:left="742" w:right="0" w:firstLine="0"/>
        <w:jc w:val="left"/>
        <w:rPr>
          <w:b/>
          <w:sz w:val="21"/>
        </w:rPr>
      </w:pPr>
      <w:bookmarkStart w:id="28" w:name="二、财产清查的方法与处理"/>
      <w:bookmarkEnd w:id="28"/>
      <w:r>
        <w:rPr>
          <w:b/>
          <w:sz w:val="21"/>
          <w:shd w:val="clear" w:color="auto" w:fill="C0C0C0"/>
        </w:rPr>
        <w:t>二、财产清查的方法与处理</w:t>
      </w:r>
    </w:p>
    <w:p>
      <w:pPr>
        <w:pStyle w:val="5"/>
        <w:spacing w:before="91" w:line="304" w:lineRule="auto"/>
        <w:ind w:right="8054"/>
      </w:pPr>
      <w:r>
        <w:t>（一）财产清查的方法1.货币资金的清查方法</w:t>
      </w:r>
    </w:p>
    <w:p>
      <w:pPr>
        <w:pStyle w:val="5"/>
        <w:numPr>
          <w:ilvl w:val="0"/>
          <w:numId w:val="43"/>
        </w:numPr>
        <w:tabs>
          <w:tab w:val="left" w:pos="1225"/>
        </w:tabs>
        <w:spacing w:before="0" w:after="0" w:line="256" w:lineRule="exact"/>
        <w:ind w:left="1224" w:right="0" w:hanging="502"/>
        <w:jc w:val="left"/>
      </w:pPr>
      <w:r>
        <w:t>库存现金的清查</w:t>
      </w:r>
    </w:p>
    <w:p>
      <w:pPr>
        <w:pStyle w:val="6"/>
        <w:spacing w:line="304" w:lineRule="auto"/>
        <w:ind w:left="322" w:right="621" w:firstLine="400"/>
        <w:jc w:val="both"/>
      </w:pPr>
      <w:r>
        <w:t>库存现金的清查是采用</w:t>
      </w:r>
      <w:r>
        <w:rPr>
          <w:color w:val="FF0000"/>
          <w:u w:val="double" w:color="FF0000"/>
        </w:rPr>
        <w:t>实地盘点法</w:t>
      </w:r>
      <w:r>
        <w:rPr>
          <w:spacing w:val="-4"/>
        </w:rPr>
        <w:t>确定库存现金的实存数，然后与库存现金日记账的账面余额相核对，确定账实是否相符。在库存现金清查时，</w:t>
      </w:r>
      <w:r>
        <w:rPr>
          <w:color w:val="FF0000"/>
          <w:spacing w:val="-4"/>
          <w:u w:val="double" w:color="FF0000"/>
        </w:rPr>
        <w:t>出纳员必须在场</w:t>
      </w:r>
      <w:r>
        <w:rPr>
          <w:spacing w:val="-4"/>
        </w:rPr>
        <w:t>，清查过程中</w:t>
      </w:r>
      <w:r>
        <w:rPr>
          <w:color w:val="FF0000"/>
          <w:spacing w:val="-4"/>
          <w:u w:val="double" w:color="FF0000"/>
        </w:rPr>
        <w:t>不能白条抵库</w:t>
      </w:r>
      <w:r>
        <w:rPr>
          <w:spacing w:val="-4"/>
        </w:rPr>
        <w:t xml:space="preserve">，挪用舞弊，库存现金盘点后， </w:t>
      </w:r>
      <w:r>
        <w:rPr>
          <w:spacing w:val="-6"/>
          <w:w w:val="95"/>
        </w:rPr>
        <w:t>应根据盘点结果和库存现金日记账核对情况，填制“</w:t>
      </w:r>
      <w:r>
        <w:rPr>
          <w:color w:val="FF0000"/>
          <w:w w:val="95"/>
          <w:u w:val="double" w:color="FF0000"/>
        </w:rPr>
        <w:t>库存现金盘点报告表</w:t>
      </w:r>
      <w:r>
        <w:rPr>
          <w:spacing w:val="-12"/>
          <w:w w:val="95"/>
        </w:rPr>
        <w:t>”，并由盘点人和出纳员共同签章生效。</w:t>
      </w:r>
    </w:p>
    <w:p>
      <w:pPr>
        <w:pStyle w:val="5"/>
        <w:numPr>
          <w:ilvl w:val="0"/>
          <w:numId w:val="43"/>
        </w:numPr>
        <w:tabs>
          <w:tab w:val="left" w:pos="1225"/>
        </w:tabs>
        <w:spacing w:before="3" w:after="0" w:line="240" w:lineRule="auto"/>
        <w:ind w:left="1224" w:right="0" w:hanging="502"/>
        <w:jc w:val="left"/>
      </w:pPr>
      <w:r>
        <w:t>银行存款的清查</w:t>
      </w:r>
    </w:p>
    <w:p>
      <w:pPr>
        <w:pStyle w:val="6"/>
        <w:spacing w:line="302" w:lineRule="auto"/>
        <w:ind w:left="322" w:right="646" w:firstLine="400"/>
      </w:pPr>
      <w:r>
        <w:rPr>
          <w:w w:val="95"/>
        </w:rPr>
        <w:t>银行存款的清查是采用与开户银行核对账目的方法（</w:t>
      </w:r>
      <w:r>
        <w:rPr>
          <w:color w:val="FF0000"/>
          <w:w w:val="95"/>
          <w:u w:val="double" w:color="FF0000"/>
        </w:rPr>
        <w:t>对账单法</w:t>
      </w:r>
      <w:r>
        <w:rPr>
          <w:w w:val="95"/>
        </w:rPr>
        <w:t xml:space="preserve">）进行的，即将本单位银行存款日记账的账簿   </w:t>
      </w:r>
      <w:r>
        <w:t>记录与开户银行转来的对账单逐笔进行核对，来查明银行存款的实有数额。银行存款的清查</w:t>
      </w:r>
      <w:r>
        <w:rPr>
          <w:color w:val="FF0000"/>
          <w:u w:val="double" w:color="FF0000"/>
        </w:rPr>
        <w:t>一般在月末</w:t>
      </w:r>
      <w:r>
        <w:t>进行。</w:t>
      </w:r>
    </w:p>
    <w:p>
      <w:pPr>
        <w:pStyle w:val="6"/>
        <w:spacing w:before="5"/>
      </w:pPr>
      <w:r>
        <w:t>①银行存款日记账与银行对账单不一致的原因</w:t>
      </w:r>
    </w:p>
    <w:p>
      <w:pPr>
        <w:pStyle w:val="6"/>
        <w:spacing w:line="304" w:lineRule="auto"/>
        <w:ind w:left="322" w:right="722" w:firstLine="400"/>
        <w:jc w:val="both"/>
      </w:pPr>
      <w:r>
        <w:rPr>
          <w:spacing w:val="-1"/>
          <w:w w:val="95"/>
        </w:rPr>
        <w:t>将截止到清查日所有银行存款的收付业务都登记入账后，对</w:t>
      </w:r>
      <w:r>
        <w:rPr>
          <w:color w:val="FF0000"/>
          <w:spacing w:val="-4"/>
          <w:w w:val="95"/>
          <w:u w:val="double" w:color="FF0000"/>
        </w:rPr>
        <w:t>发生的错账、漏账</w:t>
      </w:r>
      <w:r>
        <w:rPr>
          <w:spacing w:val="-3"/>
          <w:w w:val="95"/>
        </w:rPr>
        <w:t xml:space="preserve">应及时查清更正，再与银行的   </w:t>
      </w:r>
      <w:r>
        <w:rPr>
          <w:spacing w:val="-8"/>
          <w:w w:val="95"/>
        </w:rPr>
        <w:t xml:space="preserve">对账单逐笔核对。如果二者余额相符，通常说明没有错误；如果二者余额不相符，则可能是企业或银行一方或双    </w:t>
      </w:r>
      <w:r>
        <w:rPr>
          <w:spacing w:val="-8"/>
        </w:rPr>
        <w:t>方记账过程有错误或者</w:t>
      </w:r>
      <w:r>
        <w:rPr>
          <w:color w:val="FF0000"/>
          <w:spacing w:val="-8"/>
          <w:u w:val="double" w:color="FF0000"/>
        </w:rPr>
        <w:t>存在未达账项</w:t>
      </w:r>
      <w:r>
        <w:rPr>
          <w:spacing w:val="-8"/>
        </w:rPr>
        <w:t>。</w:t>
      </w:r>
    </w:p>
    <w:p>
      <w:pPr>
        <w:pStyle w:val="6"/>
        <w:spacing w:before="3" w:line="302" w:lineRule="auto"/>
        <w:ind w:left="322" w:right="662" w:firstLine="400"/>
      </w:pPr>
      <w:r>
        <w:rPr>
          <w:w w:val="95"/>
        </w:rPr>
        <w:t xml:space="preserve">未达账项，是指企业和银行之间，由于记账时间不一致而发生的一方已经入账，而另一方尚未入账的事项。   </w:t>
      </w:r>
      <w:r>
        <w:t>未达账项一般分为以下四种情况：</w:t>
      </w:r>
    </w:p>
    <w:p>
      <w:pPr>
        <w:pStyle w:val="13"/>
        <w:numPr>
          <w:ilvl w:val="0"/>
          <w:numId w:val="44"/>
        </w:numPr>
        <w:tabs>
          <w:tab w:val="left" w:pos="1243"/>
        </w:tabs>
        <w:spacing w:before="5" w:after="0" w:line="240" w:lineRule="auto"/>
        <w:ind w:left="1242" w:right="0" w:hanging="501"/>
        <w:jc w:val="left"/>
        <w:rPr>
          <w:sz w:val="20"/>
        </w:rPr>
      </w:pPr>
      <w:r>
        <w:drawing>
          <wp:anchor distT="0" distB="0" distL="0" distR="0" simplePos="0" relativeHeight="15778816" behindDoc="0" locked="0" layoutInCell="1" allowOverlap="1">
            <wp:simplePos x="0" y="0"/>
            <wp:positionH relativeFrom="page">
              <wp:posOffset>3941445</wp:posOffset>
            </wp:positionH>
            <wp:positionV relativeFrom="paragraph">
              <wp:posOffset>131445</wp:posOffset>
            </wp:positionV>
            <wp:extent cx="689610" cy="54991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4" cstate="print"/>
                    <a:stretch>
                      <a:fillRect/>
                    </a:stretch>
                  </pic:blipFill>
                  <pic:spPr>
                    <a:xfrm>
                      <a:off x="0" y="0"/>
                      <a:ext cx="689718" cy="549788"/>
                    </a:xfrm>
                    <a:prstGeom prst="rect">
                      <a:avLst/>
                    </a:prstGeom>
                  </pic:spPr>
                </pic:pic>
              </a:graphicData>
            </a:graphic>
          </wp:anchor>
        </w:drawing>
      </w:r>
      <w:r>
        <w:rPr>
          <w:w w:val="95"/>
          <w:sz w:val="20"/>
        </w:rPr>
        <w:t>企业已收款记账，银行未收款未记账的款项；</w:t>
      </w:r>
    </w:p>
    <w:p>
      <w:pPr>
        <w:pStyle w:val="13"/>
        <w:numPr>
          <w:ilvl w:val="0"/>
          <w:numId w:val="44"/>
        </w:numPr>
        <w:tabs>
          <w:tab w:val="left" w:pos="1224"/>
        </w:tabs>
        <w:spacing w:before="70" w:after="0" w:line="240" w:lineRule="auto"/>
        <w:ind w:left="1223" w:right="0" w:hanging="501"/>
        <w:jc w:val="left"/>
        <w:rPr>
          <w:sz w:val="20"/>
        </w:rPr>
      </w:pPr>
      <w:r>
        <w:rPr>
          <w:w w:val="95"/>
          <w:sz w:val="20"/>
        </w:rPr>
        <w:t>企业已付款记账，银行未付款未记账的款项；</w:t>
      </w:r>
    </w:p>
    <w:p>
      <w:pPr>
        <w:pStyle w:val="13"/>
        <w:numPr>
          <w:ilvl w:val="0"/>
          <w:numId w:val="44"/>
        </w:numPr>
        <w:tabs>
          <w:tab w:val="left" w:pos="1224"/>
        </w:tabs>
        <w:spacing w:before="70" w:after="0" w:line="240" w:lineRule="auto"/>
        <w:ind w:left="1223" w:right="0" w:hanging="501"/>
        <w:jc w:val="left"/>
        <w:rPr>
          <w:sz w:val="20"/>
        </w:rPr>
      </w:pPr>
      <w:r>
        <w:rPr>
          <w:w w:val="95"/>
          <w:sz w:val="20"/>
        </w:rPr>
        <w:t>银行已收款记账，企业未收款未记账的款项；</w:t>
      </w:r>
    </w:p>
    <w:p>
      <w:pPr>
        <w:pStyle w:val="13"/>
        <w:numPr>
          <w:ilvl w:val="0"/>
          <w:numId w:val="44"/>
        </w:numPr>
        <w:tabs>
          <w:tab w:val="left" w:pos="1224"/>
        </w:tabs>
        <w:spacing w:before="70" w:after="0" w:line="240" w:lineRule="auto"/>
        <w:ind w:left="1223" w:right="0" w:hanging="501"/>
        <w:jc w:val="left"/>
        <w:rPr>
          <w:sz w:val="20"/>
        </w:rPr>
      </w:pPr>
      <w:r>
        <w:rPr>
          <w:w w:val="95"/>
          <w:sz w:val="20"/>
        </w:rPr>
        <w:t>银行已付款记账，企业未付款未记账的款项；</w:t>
      </w:r>
    </w:p>
    <w:p>
      <w:pPr>
        <w:pStyle w:val="6"/>
      </w:pPr>
      <w:r>
        <w:rPr>
          <w:spacing w:val="-34"/>
          <w:w w:val="99"/>
        </w:rPr>
        <w:t>其中：</w:t>
      </w:r>
      <w:r>
        <w:rPr>
          <w:spacing w:val="2"/>
          <w:w w:val="99"/>
        </w:rPr>
        <w:t>（</w:t>
      </w:r>
      <w:r>
        <w:rPr>
          <w:spacing w:val="-2"/>
          <w:w w:val="99"/>
        </w:rPr>
        <w:t>1</w:t>
      </w:r>
      <w:r>
        <w:rPr>
          <w:spacing w:val="-99"/>
          <w:w w:val="99"/>
        </w:rPr>
        <w:t>）</w:t>
      </w:r>
      <w:r>
        <w:rPr>
          <w:w w:val="99"/>
        </w:rPr>
        <w:t>（</w:t>
      </w:r>
      <w:r>
        <w:rPr>
          <w:spacing w:val="1"/>
          <w:w w:val="99"/>
        </w:rPr>
        <w:t>4</w:t>
      </w:r>
      <w:r>
        <w:rPr>
          <w:w w:val="99"/>
        </w:rPr>
        <w:t>）</w:t>
      </w:r>
      <w:r>
        <w:rPr>
          <w:spacing w:val="-7"/>
          <w:w w:val="99"/>
        </w:rPr>
        <w:t>会使日记账余额大于对账单余额，</w:t>
      </w:r>
      <w:r>
        <w:rPr>
          <w:w w:val="99"/>
        </w:rPr>
        <w:t>（</w:t>
      </w:r>
      <w:r>
        <w:rPr>
          <w:spacing w:val="1"/>
          <w:w w:val="99"/>
        </w:rPr>
        <w:t>2</w:t>
      </w:r>
      <w:r>
        <w:rPr>
          <w:spacing w:val="-101"/>
          <w:w w:val="99"/>
        </w:rPr>
        <w:t>）</w:t>
      </w:r>
      <w:r>
        <w:rPr>
          <w:spacing w:val="2"/>
          <w:w w:val="99"/>
        </w:rPr>
        <w:t>（</w:t>
      </w:r>
      <w:r>
        <w:rPr>
          <w:spacing w:val="-2"/>
          <w:w w:val="99"/>
        </w:rPr>
        <w:t>3</w:t>
      </w:r>
      <w:r>
        <w:rPr>
          <w:w w:val="99"/>
        </w:rPr>
        <w:t>）会使对账单余额大于日记账余额。</w:t>
      </w:r>
    </w:p>
    <w:p>
      <w:pPr>
        <w:pStyle w:val="6"/>
        <w:spacing w:before="68"/>
      </w:pPr>
      <w:r>
        <w:t>②银行存款清查的步骤</w:t>
      </w:r>
    </w:p>
    <w:p>
      <w:pPr>
        <w:pStyle w:val="13"/>
        <w:numPr>
          <w:ilvl w:val="0"/>
          <w:numId w:val="45"/>
        </w:numPr>
        <w:tabs>
          <w:tab w:val="left" w:pos="925"/>
        </w:tabs>
        <w:spacing w:before="70" w:after="0" w:line="304" w:lineRule="auto"/>
        <w:ind w:left="322" w:right="720" w:firstLine="400"/>
        <w:jc w:val="left"/>
        <w:rPr>
          <w:sz w:val="20"/>
        </w:rPr>
      </w:pPr>
      <w:r>
        <w:rPr>
          <w:spacing w:val="-6"/>
          <w:w w:val="95"/>
          <w:sz w:val="20"/>
        </w:rPr>
        <w:t>根据经济业务、结算凭证的种类、号码和金额等资料逐日逐笔核对银行存款日记账和银行对账单。凡双方</w:t>
      </w:r>
      <w:r>
        <w:rPr>
          <w:spacing w:val="1"/>
          <w:w w:val="99"/>
          <w:sz w:val="20"/>
        </w:rPr>
        <w:t>都有</w:t>
      </w:r>
      <w:r>
        <w:rPr>
          <w:spacing w:val="-6"/>
          <w:w w:val="99"/>
          <w:sz w:val="20"/>
        </w:rPr>
        <w:t>记录的，用铅笔在金额旁打上记号“√”。</w:t>
      </w:r>
    </w:p>
    <w:p>
      <w:pPr>
        <w:pStyle w:val="13"/>
        <w:numPr>
          <w:ilvl w:val="0"/>
          <w:numId w:val="45"/>
        </w:numPr>
        <w:tabs>
          <w:tab w:val="left" w:pos="925"/>
        </w:tabs>
        <w:spacing w:before="2" w:after="0" w:line="240" w:lineRule="auto"/>
        <w:ind w:left="924" w:right="0" w:hanging="202"/>
        <w:jc w:val="left"/>
        <w:rPr>
          <w:sz w:val="20"/>
        </w:rPr>
      </w:pPr>
      <w:r>
        <w:rPr>
          <w:sz w:val="20"/>
        </w:rPr>
        <w:t>找出未达账项（即银行存款日记账和银行对账单中没有打“√“的款项</w:t>
      </w:r>
      <w:r>
        <w:rPr>
          <w:spacing w:val="-101"/>
          <w:sz w:val="20"/>
        </w:rPr>
        <w:t>）</w:t>
      </w:r>
      <w:r>
        <w:rPr>
          <w:sz w:val="20"/>
        </w:rPr>
        <w:t>。</w:t>
      </w:r>
    </w:p>
    <w:p>
      <w:pPr>
        <w:pStyle w:val="13"/>
        <w:numPr>
          <w:ilvl w:val="0"/>
          <w:numId w:val="45"/>
        </w:numPr>
        <w:tabs>
          <w:tab w:val="left" w:pos="925"/>
        </w:tabs>
        <w:spacing w:before="70" w:after="0" w:line="240" w:lineRule="auto"/>
        <w:ind w:left="924" w:right="0" w:hanging="202"/>
        <w:jc w:val="left"/>
        <w:rPr>
          <w:sz w:val="20"/>
        </w:rPr>
      </w:pPr>
      <w:r>
        <w:rPr>
          <w:spacing w:val="-4"/>
          <w:w w:val="99"/>
          <w:sz w:val="20"/>
        </w:rPr>
        <w:t>将日记账和对账单的月末余额及未达账项填入“银行存款余额调节表”，并计算出调整后的余额。</w:t>
      </w:r>
    </w:p>
    <w:p>
      <w:pPr>
        <w:spacing w:after="0" w:line="240" w:lineRule="auto"/>
        <w:jc w:val="left"/>
        <w:rPr>
          <w:sz w:val="20"/>
        </w:rPr>
        <w:sectPr>
          <w:pgSz w:w="11910" w:h="16160"/>
          <w:pgMar w:top="1680" w:right="360" w:bottom="860" w:left="760" w:header="0" w:footer="584" w:gutter="0"/>
        </w:sectPr>
      </w:pPr>
    </w:p>
    <w:p>
      <w:pPr>
        <w:pStyle w:val="6"/>
        <w:spacing w:before="11"/>
        <w:ind w:left="0"/>
        <w:rPr>
          <w:sz w:val="13"/>
        </w:rPr>
      </w:pPr>
    </w:p>
    <w:p>
      <w:pPr>
        <w:pStyle w:val="13"/>
        <w:numPr>
          <w:ilvl w:val="0"/>
          <w:numId w:val="45"/>
        </w:numPr>
        <w:tabs>
          <w:tab w:val="left" w:pos="925"/>
        </w:tabs>
        <w:spacing w:before="71" w:after="0" w:line="240" w:lineRule="auto"/>
        <w:ind w:left="924" w:right="0" w:hanging="202"/>
        <w:jc w:val="left"/>
        <w:rPr>
          <w:sz w:val="20"/>
        </w:rPr>
      </w:pPr>
      <w:r>
        <w:rPr>
          <w:spacing w:val="-6"/>
          <w:w w:val="99"/>
          <w:sz w:val="20"/>
        </w:rPr>
        <w:t>将调整平衡的“银行存款余额调节表”，经</w:t>
      </w:r>
      <w:r>
        <w:rPr>
          <w:color w:val="FF0000"/>
          <w:w w:val="99"/>
          <w:sz w:val="20"/>
          <w:u w:val="double" w:color="FF0000"/>
        </w:rPr>
        <w:t>主管会计</w:t>
      </w:r>
      <w:r>
        <w:rPr>
          <w:w w:val="99"/>
          <w:sz w:val="20"/>
        </w:rPr>
        <w:t>签章后，呈报开户银行。</w:t>
      </w:r>
    </w:p>
    <w:p>
      <w:pPr>
        <w:pStyle w:val="6"/>
      </w:pPr>
      <w:r>
        <w:t>③银行存款余额调节表的编制</w:t>
      </w:r>
    </w:p>
    <w:p>
      <w:pPr>
        <w:pStyle w:val="6"/>
        <w:spacing w:line="304" w:lineRule="auto"/>
        <w:ind w:left="322" w:right="720" w:firstLine="400"/>
      </w:pPr>
      <w:r>
        <w:rPr>
          <w:spacing w:val="-3"/>
          <w:w w:val="95"/>
        </w:rPr>
        <w:t>银行存款余额调节表的编制，是以</w:t>
      </w:r>
      <w:r>
        <w:rPr>
          <w:color w:val="FF0000"/>
          <w:w w:val="95"/>
          <w:u w:val="double" w:color="FF0000"/>
        </w:rPr>
        <w:t>双方账面余额</w:t>
      </w:r>
      <w:r>
        <w:rPr>
          <w:spacing w:val="-6"/>
          <w:w w:val="95"/>
        </w:rPr>
        <w:t>为基础，各自分别</w:t>
      </w:r>
      <w:r>
        <w:rPr>
          <w:color w:val="FF0000"/>
          <w:w w:val="95"/>
          <w:u w:val="double" w:color="FF0000"/>
        </w:rPr>
        <w:t>加上对方已收款入账而己方尚未入账的数</w:t>
      </w:r>
      <w:r>
        <w:rPr>
          <w:color w:val="FF0000"/>
          <w:spacing w:val="-199"/>
          <w:w w:val="95"/>
          <w:u w:val="double" w:color="FF0000"/>
        </w:rPr>
        <w:t>额</w:t>
      </w:r>
      <w:r>
        <w:rPr>
          <w:color w:val="FF0000"/>
          <w:spacing w:val="191"/>
          <w:w w:val="95"/>
          <w:u w:val="double" w:color="FF0000"/>
        </w:rPr>
        <w:t xml:space="preserve"> </w:t>
      </w:r>
      <w:r>
        <w:rPr>
          <w:color w:val="FF0000"/>
          <w:u w:val="double" w:color="FF0000"/>
        </w:rPr>
        <w:t>，减去对方已付款入账而己方尚未入账的数额</w:t>
      </w:r>
      <w:r>
        <w:t>。其计算公式如下：</w:t>
      </w:r>
    </w:p>
    <w:p>
      <w:pPr>
        <w:pStyle w:val="6"/>
        <w:spacing w:before="2" w:line="302" w:lineRule="auto"/>
        <w:ind w:left="322" w:right="861" w:firstLine="400"/>
      </w:pPr>
      <w:r>
        <w:rPr>
          <w:color w:val="FF0000"/>
          <w:w w:val="95"/>
          <w:u w:val="double" w:color="FF0000"/>
        </w:rPr>
        <w:t>企业银行存款日记账余额+银行已收企业未收款-银行已付企业未付款=银行对账单存款余额+企业已收银行</w:t>
      </w:r>
      <w:r>
        <w:rPr>
          <w:color w:val="FF0000"/>
          <w:spacing w:val="-198"/>
          <w:w w:val="95"/>
          <w:u w:val="double" w:color="FF0000"/>
        </w:rPr>
        <w:t>未</w:t>
      </w:r>
      <w:r>
        <w:rPr>
          <w:color w:val="FF0000"/>
          <w:spacing w:val="181"/>
          <w:w w:val="95"/>
          <w:u w:val="double" w:color="FF0000"/>
        </w:rPr>
        <w:t xml:space="preserve"> </w:t>
      </w:r>
      <w:r>
        <w:rPr>
          <w:color w:val="FF0000"/>
          <w:u w:val="double" w:color="FF0000"/>
        </w:rPr>
        <w:t>收款-企业已付银行未付款</w:t>
      </w:r>
    </w:p>
    <w:p>
      <w:pPr>
        <w:pStyle w:val="6"/>
        <w:spacing w:before="5"/>
        <w:ind w:left="0"/>
        <w:jc w:val="center"/>
      </w:pPr>
      <w:r>
        <w:t>银行存款余额调节表</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261" w:type="dxa"/>
          </w:tcPr>
          <w:p>
            <w:pPr>
              <w:pStyle w:val="14"/>
              <w:spacing w:before="68" w:line="237" w:lineRule="exact"/>
              <w:ind w:left="107"/>
              <w:rPr>
                <w:sz w:val="20"/>
              </w:rPr>
            </w:pPr>
            <w:r>
              <w:rPr>
                <w:sz w:val="20"/>
              </w:rPr>
              <w:t>银行存款日记账（企业）</w:t>
            </w:r>
          </w:p>
        </w:tc>
        <w:tc>
          <w:tcPr>
            <w:tcW w:w="4261" w:type="dxa"/>
          </w:tcPr>
          <w:p>
            <w:pPr>
              <w:pStyle w:val="14"/>
              <w:spacing w:before="68" w:line="237" w:lineRule="exact"/>
              <w:ind w:left="106"/>
              <w:rPr>
                <w:sz w:val="20"/>
              </w:rPr>
            </w:pPr>
            <w:r>
              <w:rPr>
                <w:sz w:val="20"/>
              </w:rPr>
              <w:t>银行对账单（银行）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261" w:type="dxa"/>
          </w:tcPr>
          <w:p>
            <w:pPr>
              <w:pStyle w:val="14"/>
              <w:spacing w:before="68" w:line="237" w:lineRule="exact"/>
              <w:ind w:left="107"/>
              <w:rPr>
                <w:sz w:val="20"/>
              </w:rPr>
            </w:pPr>
            <w:r>
              <w:rPr>
                <w:sz w:val="20"/>
              </w:rPr>
              <w:t>账面余额：</w:t>
            </w:r>
          </w:p>
        </w:tc>
        <w:tc>
          <w:tcPr>
            <w:tcW w:w="4261" w:type="dxa"/>
          </w:tcPr>
          <w:p>
            <w:pPr>
              <w:pStyle w:val="14"/>
              <w:spacing w:before="68" w:line="237" w:lineRule="exact"/>
              <w:ind w:left="106"/>
              <w:rPr>
                <w:sz w:val="20"/>
              </w:rPr>
            </w:pPr>
            <w:r>
              <w:rPr>
                <w:sz w:val="20"/>
              </w:rPr>
              <w:t>账面余额：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261" w:type="dxa"/>
          </w:tcPr>
          <w:p>
            <w:pPr>
              <w:pStyle w:val="14"/>
              <w:spacing w:before="68" w:line="237" w:lineRule="exact"/>
              <w:ind w:left="107"/>
              <w:rPr>
                <w:sz w:val="20"/>
              </w:rPr>
            </w:pPr>
            <w:r>
              <w:rPr>
                <w:sz w:val="20"/>
              </w:rPr>
              <w:t>加：银收企未收</w:t>
            </w:r>
          </w:p>
        </w:tc>
        <w:tc>
          <w:tcPr>
            <w:tcW w:w="4261" w:type="dxa"/>
          </w:tcPr>
          <w:p>
            <w:pPr>
              <w:pStyle w:val="14"/>
              <w:spacing w:before="68" w:line="237" w:lineRule="exact"/>
              <w:ind w:left="106"/>
              <w:rPr>
                <w:sz w:val="20"/>
              </w:rPr>
            </w:pPr>
            <w:r>
              <w:rPr>
                <w:sz w:val="20"/>
              </w:rPr>
              <w:t>加：企收银未收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261" w:type="dxa"/>
          </w:tcPr>
          <w:p>
            <w:pPr>
              <w:pStyle w:val="14"/>
              <w:spacing w:before="68" w:line="237" w:lineRule="exact"/>
              <w:ind w:left="107"/>
              <w:rPr>
                <w:sz w:val="20"/>
              </w:rPr>
            </w:pPr>
            <w:r>
              <w:rPr>
                <w:sz w:val="20"/>
              </w:rPr>
              <w:t>减：银付企未付</w:t>
            </w:r>
          </w:p>
        </w:tc>
        <w:tc>
          <w:tcPr>
            <w:tcW w:w="4261" w:type="dxa"/>
          </w:tcPr>
          <w:p>
            <w:pPr>
              <w:pStyle w:val="14"/>
              <w:spacing w:before="68" w:line="237" w:lineRule="exact"/>
              <w:ind w:left="106"/>
              <w:rPr>
                <w:sz w:val="20"/>
              </w:rPr>
            </w:pPr>
            <w:r>
              <w:rPr>
                <w:sz w:val="20"/>
              </w:rPr>
              <w:t>减：企付银未付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261" w:type="dxa"/>
          </w:tcPr>
          <w:p>
            <w:pPr>
              <w:pStyle w:val="14"/>
              <w:spacing w:before="68" w:line="237" w:lineRule="exact"/>
              <w:ind w:left="107"/>
              <w:rPr>
                <w:sz w:val="20"/>
              </w:rPr>
            </w:pPr>
            <w:r>
              <w:rPr>
                <w:sz w:val="20"/>
              </w:rPr>
              <w:t>调整后余额：</w:t>
            </w:r>
          </w:p>
        </w:tc>
        <w:tc>
          <w:tcPr>
            <w:tcW w:w="4261" w:type="dxa"/>
          </w:tcPr>
          <w:p>
            <w:pPr>
              <w:pStyle w:val="14"/>
              <w:spacing w:before="68" w:line="237" w:lineRule="exact"/>
              <w:ind w:left="106"/>
              <w:rPr>
                <w:sz w:val="20"/>
              </w:rPr>
            </w:pPr>
            <w:r>
              <w:rPr>
                <w:sz w:val="20"/>
              </w:rPr>
              <w:t>调整后余额：</w:t>
            </w:r>
          </w:p>
        </w:tc>
      </w:tr>
    </w:tbl>
    <w:p>
      <w:pPr>
        <w:pStyle w:val="5"/>
        <w:spacing w:before="68"/>
      </w:pPr>
      <w:r>
        <w:t>2.实物资产的清查方法</w:t>
      </w:r>
    </w:p>
    <w:p>
      <w:pPr>
        <w:pStyle w:val="6"/>
        <w:spacing w:before="71" w:line="304" w:lineRule="auto"/>
        <w:ind w:left="322" w:right="722" w:firstLine="400"/>
      </w:pPr>
      <w:r>
        <mc:AlternateContent>
          <mc:Choice Requires="wpg">
            <w:drawing>
              <wp:anchor distT="0" distB="0" distL="114300" distR="114300" simplePos="0" relativeHeight="482413568" behindDoc="1" locked="0" layoutInCell="1" allowOverlap="1">
                <wp:simplePos x="0" y="0"/>
                <wp:positionH relativeFrom="page">
                  <wp:posOffset>1703070</wp:posOffset>
                </wp:positionH>
                <wp:positionV relativeFrom="paragraph">
                  <wp:posOffset>390525</wp:posOffset>
                </wp:positionV>
                <wp:extent cx="1397635" cy="18415"/>
                <wp:effectExtent l="0" t="1270" r="12065" b="8890"/>
                <wp:wrapNone/>
                <wp:docPr id="257" name="组合 118"/>
                <wp:cNvGraphicFramePr/>
                <a:graphic xmlns:a="http://schemas.openxmlformats.org/drawingml/2006/main">
                  <a:graphicData uri="http://schemas.microsoft.com/office/word/2010/wordprocessingGroup">
                    <wpg:wgp>
                      <wpg:cNvGrpSpPr/>
                      <wpg:grpSpPr>
                        <a:xfrm>
                          <a:off x="0" y="0"/>
                          <a:ext cx="1397635" cy="18415"/>
                          <a:chOff x="2683" y="615"/>
                          <a:chExt cx="2201" cy="29"/>
                        </a:xfrm>
                      </wpg:grpSpPr>
                      <wps:wsp>
                        <wps:cNvPr id="255" name="直线 119"/>
                        <wps:cNvCnPr/>
                        <wps:spPr>
                          <a:xfrm>
                            <a:off x="2683" y="620"/>
                            <a:ext cx="2201" cy="0"/>
                          </a:xfrm>
                          <a:prstGeom prst="line">
                            <a:avLst/>
                          </a:prstGeom>
                          <a:ln w="6096" cap="flat" cmpd="sng">
                            <a:solidFill>
                              <a:srgbClr val="FF0000"/>
                            </a:solidFill>
                            <a:prstDash val="solid"/>
                            <a:headEnd type="none" w="med" len="med"/>
                            <a:tailEnd type="none" w="med" len="med"/>
                          </a:ln>
                        </wps:spPr>
                        <wps:bodyPr upright="1"/>
                      </wps:wsp>
                      <wps:wsp>
                        <wps:cNvPr id="256" name="直线 120"/>
                        <wps:cNvCnPr/>
                        <wps:spPr>
                          <a:xfrm>
                            <a:off x="2683" y="639"/>
                            <a:ext cx="2201"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18" o:spid="_x0000_s1026" o:spt="203" style="position:absolute;left:0pt;margin-left:134.1pt;margin-top:30.75pt;height:1.45pt;width:110.05pt;mso-position-horizontal-relative:page;z-index:-20902912;mso-width-relative:page;mso-height-relative:page;" coordorigin="2683,615" coordsize="2201,29" o:gfxdata="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vr/lo2QAAAAkBAAAPAAAAAAAAAAEAIAAAACIAAABkcnMvZG93bnJldi54bWxQSwEC&#10;FAAUAAAACACHTuJAB/2RlmUCAADGBgAADgAAAAAAAAABACAAAAAoAQAAZHJzL2Uyb0RvYy54bWxQ&#10;SwUGAAAAAAYABgBZAQAA/wUAAAAA&#10;">
                <o:lock v:ext="edit" aspectratio="f"/>
                <v:line id="直线 119" o:spid="_x0000_s1026" o:spt="20" style="position:absolute;left:2683;top:620;height:0;width:2201;" filled="f" stroked="t" coordsize="21600,21600" o:gfxdata="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FNRf&#10;wAAAANwAAAAPAAAAAAAAAAEAIAAAACIAAABkcnMvZG93bnJldi54bWxQSwECFAAUAAAACACHTuJA&#10;My8FnjsAAAA5AAAAEAAAAAAAAAABACAAAAAPAQAAZHJzL3NoYXBleG1sLnhtbFBLBQYAAAAABgAG&#10;AFsBAAC5AwAAAAA=&#10;">
                  <v:fill on="f" focussize="0,0"/>
                  <v:stroke weight="0.48pt" color="#FF0000" joinstyle="round"/>
                  <v:imagedata o:title=""/>
                  <o:lock v:ext="edit" aspectratio="f"/>
                </v:line>
                <v:line id="直线 120" o:spid="_x0000_s1026" o:spt="20" style="position:absolute;left:2683;top:639;height:0;width:2201;" filled="f" stroked="t" coordsize="21600,21600" o:gfxdata="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ZKKL4A&#10;AADcAAAADwAAAAAAAAABACAAAAAiAAAAZHJzL2Rvd25yZXYueG1sUEsBAhQAFAAAAAgAh07iQDMv&#10;BZ47AAAAOQAAABAAAAAAAAAAAQAgAAAADQEAAGRycy9zaGFwZXhtbC54bWxQSwUGAAAAAAYABgBb&#10;AQAAtwMAAAAA&#10;">
                  <v:fill on="f" focussize="0,0"/>
                  <v:stroke weight="0.48pt" color="#FF0000" joinstyle="round"/>
                  <v:imagedata o:title=""/>
                  <o:lock v:ext="edit" aspectratio="f"/>
                </v:line>
              </v:group>
            </w:pict>
          </mc:Fallback>
        </mc:AlternateContent>
      </w:r>
      <w:r>
        <w:rPr>
          <w:w w:val="95"/>
        </w:rPr>
        <w:t>实物资产主要包括</w:t>
      </w:r>
      <w:r>
        <w:rPr>
          <w:color w:val="FF0000"/>
          <w:spacing w:val="-4"/>
          <w:w w:val="95"/>
          <w:u w:val="double" w:color="FF0000"/>
        </w:rPr>
        <w:t>固定资产、存货</w:t>
      </w:r>
      <w:r>
        <w:rPr>
          <w:spacing w:val="-6"/>
          <w:w w:val="95"/>
        </w:rPr>
        <w:t xml:space="preserve">等。实物资产的清查就是对实物资产在数量和质量上所进行的清查。常用   </w:t>
      </w:r>
      <w:r>
        <w:rPr>
          <w:spacing w:val="-6"/>
        </w:rPr>
        <w:t>的清查方法主要有</w:t>
      </w:r>
      <w:r>
        <w:rPr>
          <w:color w:val="FF0000"/>
          <w:spacing w:val="-6"/>
        </w:rPr>
        <w:t>实地盘点法和技术推算法</w:t>
      </w:r>
      <w:r>
        <w:rPr>
          <w:spacing w:val="-6"/>
        </w:rPr>
        <w:t>。</w:t>
      </w:r>
    </w:p>
    <w:p>
      <w:pPr>
        <w:pStyle w:val="6"/>
        <w:spacing w:before="2"/>
      </w:pPr>
      <w:r>
        <mc:AlternateContent>
          <mc:Choice Requires="wpg">
            <w:drawing>
              <wp:anchor distT="0" distB="0" distL="114300" distR="114300" simplePos="0" relativeHeight="15779840" behindDoc="0" locked="0" layoutInCell="1" allowOverlap="1">
                <wp:simplePos x="0" y="0"/>
                <wp:positionH relativeFrom="page">
                  <wp:posOffset>3100705</wp:posOffset>
                </wp:positionH>
                <wp:positionV relativeFrom="paragraph">
                  <wp:posOffset>139065</wp:posOffset>
                </wp:positionV>
                <wp:extent cx="1269365" cy="18415"/>
                <wp:effectExtent l="0" t="1905" r="6985" b="8255"/>
                <wp:wrapNone/>
                <wp:docPr id="120" name="组合 121"/>
                <wp:cNvGraphicFramePr/>
                <a:graphic xmlns:a="http://schemas.openxmlformats.org/drawingml/2006/main">
                  <a:graphicData uri="http://schemas.microsoft.com/office/word/2010/wordprocessingGroup">
                    <wpg:wgp>
                      <wpg:cNvGrpSpPr/>
                      <wpg:grpSpPr>
                        <a:xfrm>
                          <a:off x="0" y="0"/>
                          <a:ext cx="1269365" cy="18415"/>
                          <a:chOff x="4884" y="220"/>
                          <a:chExt cx="1999" cy="29"/>
                        </a:xfrm>
                      </wpg:grpSpPr>
                      <wps:wsp>
                        <wps:cNvPr id="118" name="直线 122"/>
                        <wps:cNvCnPr/>
                        <wps:spPr>
                          <a:xfrm>
                            <a:off x="4884" y="224"/>
                            <a:ext cx="1999" cy="0"/>
                          </a:xfrm>
                          <a:prstGeom prst="line">
                            <a:avLst/>
                          </a:prstGeom>
                          <a:ln w="6096" cap="flat" cmpd="sng">
                            <a:solidFill>
                              <a:srgbClr val="FF0000"/>
                            </a:solidFill>
                            <a:prstDash val="solid"/>
                            <a:headEnd type="none" w="med" len="med"/>
                            <a:tailEnd type="none" w="med" len="med"/>
                          </a:ln>
                        </wps:spPr>
                        <wps:bodyPr upright="1"/>
                      </wps:wsp>
                      <wps:wsp>
                        <wps:cNvPr id="119" name="直线 123"/>
                        <wps:cNvCnPr/>
                        <wps:spPr>
                          <a:xfrm>
                            <a:off x="4884" y="243"/>
                            <a:ext cx="1999"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121" o:spid="_x0000_s1026" o:spt="203" style="position:absolute;left:0pt;margin-left:244.15pt;margin-top:10.95pt;height:1.45pt;width:99.95pt;mso-position-horizontal-relative:page;z-index:15779840;mso-width-relative:page;mso-height-relative:page;" coordorigin="4884,220" coordsize="1999,29" o:gfxdata="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z44YrZAAAACQEAAA8AAAAAAAAAAQAgAAAAIgAAAGRycy9kb3ducmV2LnhtbFBL&#10;AQIUABQAAAAIAIdO4kAA/ceDZwIAAMYGAAAOAAAAAAAAAAEAIAAAACgBAABkcnMvZTJvRG9jLnht&#10;bFBLBQYAAAAABgAGAFkBAAABBgAAAAA=&#10;">
                <o:lock v:ext="edit" aspectratio="f"/>
                <v:line id="直线 122" o:spid="_x0000_s1026" o:spt="20" style="position:absolute;left:4884;top:224;height:0;width:1999;" filled="f" stroked="t" coordsize="21600,21600" o:gfxdata="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ao32/&#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123" o:spid="_x0000_s1026" o:spt="20" style="position:absolute;left:4884;top:243;height:0;width:1999;" filled="f" stroked="t" coordsize="21600,21600" o:gfxdata="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gbmvQAA&#10;ANw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group>
            </w:pict>
          </mc:Fallback>
        </mc:AlternateContent>
      </w:r>
      <w:r>
        <w:rPr>
          <w:w w:val="95"/>
        </w:rPr>
        <w:t>①实地盘点法是指在财产物资存放现场</w:t>
      </w:r>
      <w:r>
        <w:rPr>
          <w:color w:val="FF0000"/>
          <w:w w:val="95"/>
        </w:rPr>
        <w:t>逐一清点或用计量仪器</w:t>
      </w:r>
      <w:r>
        <w:rPr>
          <w:w w:val="95"/>
        </w:rPr>
        <w:t>确定其实存数的方法。</w:t>
      </w:r>
    </w:p>
    <w:p>
      <w:pPr>
        <w:pStyle w:val="6"/>
        <w:spacing w:line="302" w:lineRule="auto"/>
        <w:ind w:left="322" w:right="722" w:firstLine="400"/>
      </w:pPr>
      <w:r>
        <w:rPr>
          <w:w w:val="95"/>
        </w:rPr>
        <w:t>②技术推算法是指利用一定的</w:t>
      </w:r>
      <w:r>
        <w:rPr>
          <w:color w:val="FF0000"/>
          <w:w w:val="95"/>
          <w:u w:val="double" w:color="FF0000"/>
        </w:rPr>
        <w:t>技术方法</w:t>
      </w:r>
      <w:r>
        <w:rPr>
          <w:spacing w:val="-3"/>
          <w:w w:val="95"/>
        </w:rPr>
        <w:t>对财产物资实存数进行推算，该方法主要适用于那些</w:t>
      </w:r>
      <w:r>
        <w:rPr>
          <w:color w:val="FF0000"/>
          <w:spacing w:val="-5"/>
          <w:w w:val="95"/>
          <w:u w:val="double" w:color="FF0000"/>
        </w:rPr>
        <w:t>成堆大量、价值</w:t>
      </w:r>
      <w:r>
        <w:rPr>
          <w:color w:val="FF0000"/>
          <w:spacing w:val="-199"/>
          <w:w w:val="95"/>
          <w:u w:val="double" w:color="FF0000"/>
        </w:rPr>
        <w:t>不</w:t>
      </w:r>
      <w:r>
        <w:rPr>
          <w:color w:val="FF0000"/>
          <w:spacing w:val="191"/>
          <w:w w:val="95"/>
          <w:u w:val="double" w:color="FF0000"/>
        </w:rPr>
        <w:t xml:space="preserve"> </w:t>
      </w:r>
      <w:r>
        <w:rPr>
          <w:color w:val="FF0000"/>
          <w:u w:val="double" w:color="FF0000"/>
        </w:rPr>
        <w:t>高，逐一清点的工作量和难度较大的财产物资的清查，如露天堆放的煤、砂石、焦炭</w:t>
      </w:r>
      <w:r>
        <w:t>等。</w:t>
      </w:r>
    </w:p>
    <w:p>
      <w:pPr>
        <w:pStyle w:val="6"/>
        <w:spacing w:before="4"/>
      </w:pPr>
      <w:r>
        <w:t>③在实物清查过程中，实物保管人员和盘点人员必须同时在场。</w:t>
      </w:r>
    </w:p>
    <w:p>
      <w:pPr>
        <w:pStyle w:val="6"/>
        <w:spacing w:before="71" w:line="304" w:lineRule="auto"/>
        <w:ind w:left="322" w:right="621" w:firstLine="400"/>
      </w:pPr>
      <w:r>
        <w:rPr>
          <w:spacing w:val="-10"/>
          <w:w w:val="95"/>
        </w:rPr>
        <w:t xml:space="preserve">盘点结果应如实登记在“盘存单”上，并由盘点人员和保管人员共同签章，然后与账面数核对，如发现不符， </w:t>
      </w:r>
      <w:r>
        <w:rPr>
          <w:w w:val="99"/>
        </w:rPr>
        <w:t>应根据盘存单和有关账簿记录填制“</w:t>
      </w:r>
      <w:r>
        <w:rPr>
          <w:color w:val="FF0000"/>
          <w:spacing w:val="-13"/>
          <w:w w:val="99"/>
          <w:u w:val="double" w:color="FF0000"/>
        </w:rPr>
        <w:t>实存账存对比表”</w:t>
      </w:r>
      <w:r>
        <w:rPr>
          <w:color w:val="FF0000"/>
          <w:w w:val="99"/>
          <w:u w:val="double" w:color="FF0000"/>
        </w:rPr>
        <w:t>（盘盈盘亏报告表</w:t>
      </w:r>
      <w:r>
        <w:rPr>
          <w:color w:val="FF0000"/>
          <w:spacing w:val="-99"/>
          <w:w w:val="99"/>
          <w:u w:val="double" w:color="FF0000"/>
        </w:rPr>
        <w:t>）</w:t>
      </w:r>
      <w:r>
        <w:rPr>
          <w:w w:val="99"/>
        </w:rPr>
        <w:t>。</w:t>
      </w:r>
    </w:p>
    <w:p>
      <w:pPr>
        <w:pStyle w:val="5"/>
        <w:spacing w:before="1" w:line="304" w:lineRule="auto"/>
        <w:ind w:right="4442"/>
      </w:pPr>
      <w:r>
        <mc:AlternateContent>
          <mc:Choice Requires="wps">
            <w:drawing>
              <wp:anchor distT="0" distB="0" distL="114300" distR="114300" simplePos="0" relativeHeight="482414592" behindDoc="1" locked="0" layoutInCell="1" allowOverlap="1">
                <wp:simplePos x="0" y="0"/>
                <wp:positionH relativeFrom="page">
                  <wp:posOffset>1068705</wp:posOffset>
                </wp:positionH>
                <wp:positionV relativeFrom="paragraph">
                  <wp:posOffset>139065</wp:posOffset>
                </wp:positionV>
                <wp:extent cx="251460" cy="5715"/>
                <wp:effectExtent l="0" t="0" r="0" b="0"/>
                <wp:wrapNone/>
                <wp:docPr id="258" name="任意多边形 12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4" o:spid="_x0000_s1026" o:spt="100" style="position:absolute;left:0pt;margin-left:84.15pt;margin-top:10.95pt;height:0.45pt;width:19.8pt;mso-position-horizontal-relative:page;z-index:-20901888;mso-width-relative:page;mso-height-relative:page;" filled="f" stroked="t" coordsize="396,9" o:gfxdata="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9&#10;xP9L2AAAAAkBAAAPAAAAAAAAAAEAIAAAACIAAABkcnMvZG93bnJldi54bWxQSwECFAAUAAAACACH&#10;TuJAxrIqJpYCAABX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b w:val="0"/>
          <w:w w:val="95"/>
        </w:rPr>
        <w:t>【</w:t>
      </w:r>
      <w:r>
        <w:rPr>
          <w:color w:val="00AFEF"/>
          <w:w w:val="95"/>
        </w:rPr>
        <w:t>提示</w:t>
      </w:r>
      <w:r>
        <w:rPr>
          <w:b w:val="0"/>
          <w:w w:val="95"/>
        </w:rPr>
        <w:t>】</w:t>
      </w:r>
      <w:r>
        <w:rPr>
          <w:color w:val="00AFEF"/>
          <w:w w:val="95"/>
          <w:u w:val="single" w:color="00AFEF"/>
        </w:rPr>
        <w:t>实存账存对比表是用以调整账簿记录的重要原始凭证。</w:t>
      </w:r>
      <w:r>
        <w:rPr>
          <w:color w:val="00AFEF"/>
          <w:w w:val="95"/>
        </w:rPr>
        <w:t xml:space="preserve"> </w:t>
      </w:r>
      <w:r>
        <w:t>3.往来款项的清查方法</w:t>
      </w:r>
    </w:p>
    <w:p>
      <w:pPr>
        <w:pStyle w:val="6"/>
        <w:spacing w:before="0" w:line="304" w:lineRule="auto"/>
        <w:ind w:right="621"/>
      </w:pPr>
      <w:r>
        <w:rPr>
          <w:w w:val="95"/>
        </w:rPr>
        <w:t>往来款项主要包括</w:t>
      </w:r>
      <w:r>
        <w:rPr>
          <w:color w:val="FF0000"/>
          <w:spacing w:val="-11"/>
          <w:w w:val="95"/>
          <w:u w:val="double" w:color="FF0000"/>
        </w:rPr>
        <w:t>应收、应付款项和预收、预付款项</w:t>
      </w:r>
      <w:r>
        <w:rPr>
          <w:spacing w:val="-8"/>
          <w:w w:val="95"/>
        </w:rPr>
        <w:t>等。往来款项的清查一般采用</w:t>
      </w:r>
      <w:r>
        <w:rPr>
          <w:color w:val="FF0000"/>
          <w:w w:val="95"/>
          <w:u w:val="double" w:color="FF0000"/>
        </w:rPr>
        <w:t>发函询证</w:t>
      </w:r>
      <w:r>
        <w:rPr>
          <w:w w:val="95"/>
        </w:rPr>
        <w:t>的方法进行核对。</w:t>
      </w:r>
      <w:r>
        <w:rPr>
          <w:spacing w:val="1"/>
          <w:w w:val="99"/>
        </w:rPr>
        <w:t>往来</w:t>
      </w:r>
      <w:r>
        <w:rPr>
          <w:spacing w:val="-5"/>
          <w:w w:val="99"/>
        </w:rPr>
        <w:t>款项清查以后，将清查结果编制“往来款项清查报告单”，填列各项债权、债务的余额。对于有争执的</w:t>
      </w:r>
    </w:p>
    <w:p>
      <w:pPr>
        <w:pStyle w:val="6"/>
        <w:spacing w:before="2"/>
        <w:ind w:left="322"/>
      </w:pPr>
      <w:r>
        <w:t>款项以及无法收回的款项，应在报告单上详细列明情况，以便及时采取措施进行处理，避免或减少坏账损失。</w:t>
      </w:r>
    </w:p>
    <w:p>
      <w:pPr>
        <w:pStyle w:val="5"/>
        <w:spacing w:line="304" w:lineRule="auto"/>
        <w:ind w:right="6648"/>
      </w:pPr>
      <w:r>
        <w:t>（二）财产清查结果处理的步骤与方法1.</w:t>
      </w:r>
      <w:r>
        <w:rPr>
          <w:b w:val="0"/>
          <w:color w:val="FF0000"/>
          <w:u w:val="double" w:color="FF0000"/>
        </w:rPr>
        <w:t>审批之前</w:t>
      </w:r>
      <w:r>
        <w:t>的处理</w:t>
      </w:r>
    </w:p>
    <w:p>
      <w:pPr>
        <w:pStyle w:val="6"/>
        <w:spacing w:before="2" w:line="302" w:lineRule="auto"/>
        <w:ind w:left="322" w:right="662" w:firstLine="400"/>
      </w:pPr>
      <w:r>
        <w:rPr>
          <w:spacing w:val="-16"/>
          <w:w w:val="95"/>
        </w:rPr>
        <w:t>根据“清查结果报告表”、“盘点报告表”等已经查实的数据资料，填制记账凭证，记入有关账簿，</w:t>
      </w:r>
      <w:r>
        <w:rPr>
          <w:color w:val="FF0000"/>
          <w:w w:val="95"/>
          <w:u w:val="double" w:color="FF0000"/>
        </w:rPr>
        <w:t>使账簿记</w:t>
      </w:r>
      <w:r>
        <w:rPr>
          <w:color w:val="FF0000"/>
          <w:spacing w:val="-137"/>
          <w:w w:val="95"/>
          <w:u w:val="double" w:color="FF0000"/>
        </w:rPr>
        <w:t>录</w:t>
      </w:r>
      <w:r>
        <w:rPr>
          <w:color w:val="FF0000"/>
          <w:spacing w:val="199"/>
          <w:w w:val="95"/>
          <w:u w:val="double" w:color="FF0000"/>
        </w:rPr>
        <w:t xml:space="preserve"> </w:t>
      </w:r>
      <w:r>
        <w:rPr>
          <w:color w:val="FF0000"/>
          <w:u w:val="double" w:color="FF0000"/>
        </w:rPr>
        <w:t>与实际盘存数相符</w:t>
      </w:r>
      <w:r>
        <w:t>，同时根据权限，将处理建议报</w:t>
      </w:r>
      <w:r>
        <w:rPr>
          <w:color w:val="FF0000"/>
          <w:u w:val="double" w:color="FF0000"/>
        </w:rPr>
        <w:t>股东大会或董事会，或经理（厂长）会议或类似机构批准</w:t>
      </w:r>
      <w:r>
        <w:t>。</w:t>
      </w:r>
    </w:p>
    <w:p>
      <w:pPr>
        <w:spacing w:before="5" w:line="304" w:lineRule="auto"/>
        <w:ind w:left="723" w:right="6261" w:firstLine="0"/>
        <w:jc w:val="left"/>
        <w:rPr>
          <w:b/>
          <w:sz w:val="20"/>
        </w:rPr>
      </w:pPr>
      <w:r>
        <w:rPr>
          <w:sz w:val="20"/>
        </w:rPr>
        <w:t>【注意】</w:t>
      </w:r>
      <w:r>
        <w:rPr>
          <w:color w:val="FF0000"/>
          <w:sz w:val="20"/>
          <w:u w:val="double" w:color="FF0000"/>
        </w:rPr>
        <w:t>审批之前处理完毕后，账实一致</w:t>
      </w:r>
      <w:r>
        <w:rPr>
          <w:sz w:val="20"/>
        </w:rPr>
        <w:t>。</w:t>
      </w:r>
      <w:r>
        <w:rPr>
          <w:b/>
          <w:sz w:val="20"/>
        </w:rPr>
        <w:t>2.审批之后的处理</w:t>
      </w:r>
    </w:p>
    <w:p>
      <w:pPr>
        <w:pStyle w:val="6"/>
        <w:spacing w:before="2"/>
      </w:pPr>
      <w:r>
        <w:t>企业清查的各种财产的损溢，应于期末前查明原因，并根据企业的管理权限，经股东大会或董事会，或经理</w:t>
      </w:r>
    </w:p>
    <w:p>
      <w:pPr>
        <w:pStyle w:val="6"/>
        <w:ind w:left="322"/>
      </w:pPr>
      <w:r>
        <w:t>（厂长）会议或类似机构批准后，在</w:t>
      </w:r>
      <w:r>
        <w:rPr>
          <w:color w:val="FF0000"/>
          <w:u w:val="double" w:color="FF0000"/>
        </w:rPr>
        <w:t>期末结账前处理完毕</w:t>
      </w:r>
      <w:r>
        <w:t>。</w:t>
      </w:r>
    </w:p>
    <w:p>
      <w:pPr>
        <w:pStyle w:val="6"/>
        <w:spacing w:line="302" w:lineRule="auto"/>
        <w:ind w:left="322" w:right="621" w:firstLine="400"/>
      </w:pPr>
      <w:r>
        <w:rPr>
          <w:spacing w:val="-12"/>
          <w:w w:val="95"/>
        </w:rPr>
        <w:t xml:space="preserve">期末结账前，如果企业清查的各种财产的损益尚未经批准，在对外提供财务报表时，先按上述规定进行处理，    </w:t>
      </w:r>
      <w:r>
        <w:rPr>
          <w:spacing w:val="-12"/>
        </w:rPr>
        <w:t>并在附注中作出说明；其后批准处理的金额与已处理金额不一致的，调整财务报表相关项目的期初数。</w:t>
      </w:r>
    </w:p>
    <w:p>
      <w:pPr>
        <w:spacing w:after="0" w:line="302" w:lineRule="auto"/>
        <w:sectPr>
          <w:pgSz w:w="11910" w:h="16160"/>
          <w:pgMar w:top="1680" w:right="360" w:bottom="860" w:left="760" w:header="0" w:footer="584" w:gutter="0"/>
        </w:sectPr>
      </w:pPr>
    </w:p>
    <w:p>
      <w:pPr>
        <w:pStyle w:val="6"/>
        <w:spacing w:before="11"/>
        <w:ind w:left="0"/>
        <w:rPr>
          <w:sz w:val="19"/>
        </w:rPr>
      </w:pPr>
    </w:p>
    <w:p>
      <w:pPr>
        <w:pStyle w:val="3"/>
        <w:tabs>
          <w:tab w:val="left" w:pos="839"/>
        </w:tabs>
        <w:spacing w:before="44"/>
        <w:ind w:left="0" w:right="402"/>
        <w:jc w:val="center"/>
        <w:rPr>
          <w:rFonts w:hint="eastAsia" w:ascii="微软雅黑" w:eastAsia="微软雅黑"/>
        </w:rPr>
      </w:pPr>
      <w:bookmarkStart w:id="29" w:name="_bookmark7"/>
      <w:bookmarkEnd w:id="29"/>
      <w:bookmarkStart w:id="30" w:name="第七节　财务报告"/>
      <w:bookmarkEnd w:id="30"/>
      <w:r>
        <w:rPr>
          <w:rFonts w:hint="eastAsia" w:ascii="微软雅黑" w:eastAsia="微软雅黑"/>
          <w:shd w:val="clear" w:color="auto" w:fill="FFFF00"/>
        </w:rPr>
        <w:t>第七节</w:t>
      </w:r>
      <w:r>
        <w:rPr>
          <w:rFonts w:hint="eastAsia" w:ascii="微软雅黑" w:eastAsia="微软雅黑"/>
          <w:shd w:val="clear" w:color="auto" w:fill="FFFF00"/>
        </w:rPr>
        <w:tab/>
      </w:r>
      <w:r>
        <w:rPr>
          <w:rFonts w:hint="eastAsia" w:ascii="微软雅黑" w:eastAsia="微软雅黑"/>
          <w:shd w:val="clear" w:color="auto" w:fill="FFFF00"/>
        </w:rPr>
        <w:t>财务报告</w:t>
      </w:r>
    </w:p>
    <w:p>
      <w:pPr>
        <w:spacing w:before="139"/>
        <w:ind w:left="742" w:right="0" w:firstLine="0"/>
        <w:jc w:val="left"/>
        <w:rPr>
          <w:b/>
          <w:sz w:val="21"/>
        </w:rPr>
      </w:pPr>
      <w:bookmarkStart w:id="31" w:name="一、财务报告及其目标"/>
      <w:bookmarkEnd w:id="31"/>
      <w:r>
        <w:rPr>
          <w:b/>
          <w:sz w:val="21"/>
          <w:shd w:val="clear" w:color="auto" w:fill="C0C0C0"/>
        </w:rPr>
        <w:t>一、财务报告及其目标</w:t>
      </w:r>
    </w:p>
    <w:p>
      <w:pPr>
        <w:pStyle w:val="6"/>
        <w:spacing w:before="91" w:line="304" w:lineRule="auto"/>
        <w:ind w:left="322" w:right="722" w:firstLine="400"/>
      </w:pPr>
      <w:r>
        <w:rPr>
          <w:spacing w:val="-5"/>
          <w:w w:val="95"/>
        </w:rPr>
        <w:t>财务报告，是</w:t>
      </w:r>
      <w:r>
        <w:rPr>
          <w:color w:val="FF0000"/>
          <w:spacing w:val="-1"/>
          <w:w w:val="95"/>
          <w:u w:val="double" w:color="FF0000"/>
        </w:rPr>
        <w:t>指企业对外提供的反映企业某一特定日期的财务状况和某一会计期间的经营成果、现金流量等</w:t>
      </w:r>
      <w:r>
        <w:rPr>
          <w:color w:val="FF0000"/>
          <w:spacing w:val="-199"/>
          <w:w w:val="95"/>
          <w:u w:val="double" w:color="FF0000"/>
        </w:rPr>
        <w:t>会</w:t>
      </w:r>
      <w:r>
        <w:rPr>
          <w:color w:val="FF0000"/>
          <w:spacing w:val="189"/>
          <w:w w:val="95"/>
          <w:u w:val="double" w:color="FF0000"/>
        </w:rPr>
        <w:t xml:space="preserve"> </w:t>
      </w:r>
      <w:r>
        <w:rPr>
          <w:color w:val="FF0000"/>
          <w:u w:val="double" w:color="FF0000"/>
        </w:rPr>
        <w:t>计信息的文件。财务报告包括财务报表和其他应当在财务报告中披露的相关信息和资料</w:t>
      </w:r>
      <w:r>
        <w:t>。</w:t>
      </w:r>
    </w:p>
    <w:p>
      <w:pPr>
        <w:pStyle w:val="6"/>
        <w:spacing w:before="2" w:line="304" w:lineRule="auto"/>
        <w:ind w:left="322" w:right="621" w:firstLine="400"/>
      </w:pPr>
      <w:r>
        <w:rPr>
          <w:spacing w:val="-5"/>
        </w:rPr>
        <w:t>财务报告的目标，是向财务报告使用者提供与企业财务状况、经营成果和现金流量等有关的会计信息，反映</w:t>
      </w:r>
      <w:r>
        <w:rPr>
          <w:spacing w:val="-12"/>
          <w:w w:val="95"/>
        </w:rPr>
        <w:t xml:space="preserve">企业管理层受托责任履行情况，有助于财务报告使用者作出经济决策。财务报告使用者通常包括投资者、债权人、    </w:t>
      </w:r>
      <w:r>
        <w:rPr>
          <w:spacing w:val="-12"/>
        </w:rPr>
        <w:t>政府及其有关部门、社会公众等。</w:t>
      </w:r>
    </w:p>
    <w:p>
      <w:pPr>
        <w:spacing w:before="0" w:line="224" w:lineRule="exact"/>
        <w:ind w:left="742" w:right="0" w:firstLine="0"/>
        <w:jc w:val="left"/>
        <w:rPr>
          <w:b/>
          <w:sz w:val="21"/>
        </w:rPr>
      </w:pPr>
      <w:bookmarkStart w:id="32" w:name="二、财务报告的组成"/>
      <w:bookmarkEnd w:id="32"/>
      <w:r>
        <w:rPr>
          <w:b/>
          <w:sz w:val="21"/>
          <w:shd w:val="clear" w:color="auto" w:fill="C0C0C0"/>
        </w:rPr>
        <w:t>二、财务报告的组成</w:t>
      </w:r>
    </w:p>
    <w:p>
      <w:pPr>
        <w:spacing w:before="89" w:line="304" w:lineRule="auto"/>
        <w:ind w:left="322" w:right="722" w:firstLine="400"/>
        <w:jc w:val="left"/>
        <w:rPr>
          <w:sz w:val="20"/>
        </w:rPr>
      </w:pPr>
      <w:r>
        <w:rPr>
          <w:spacing w:val="-5"/>
          <w:w w:val="95"/>
          <w:sz w:val="20"/>
        </w:rPr>
        <w:t>财务报表，是</w:t>
      </w:r>
      <w:r>
        <w:rPr>
          <w:b/>
          <w:color w:val="00AFEF"/>
          <w:spacing w:val="-6"/>
          <w:w w:val="95"/>
          <w:sz w:val="20"/>
          <w:u w:val="single" w:color="00AFEF"/>
        </w:rPr>
        <w:t>对企业财务状况、经营成果和现金流量的结构性表述。一套完整的财务报表至少应当包括</w:t>
      </w:r>
      <w:r>
        <w:rPr>
          <w:color w:val="FF0000"/>
          <w:w w:val="95"/>
          <w:sz w:val="20"/>
          <w:u w:val="single" w:color="00AFEF"/>
        </w:rPr>
        <w:t>资产</w:t>
      </w:r>
      <w:r>
        <w:rPr>
          <w:color w:val="FF0000"/>
          <w:spacing w:val="-196"/>
          <w:w w:val="95"/>
          <w:sz w:val="20"/>
          <w:u w:val="single" w:color="00AFEF"/>
        </w:rPr>
        <w:t>负</w:t>
      </w:r>
      <w:r>
        <w:rPr>
          <w:color w:val="FF0000"/>
          <w:spacing w:val="186"/>
          <w:w w:val="95"/>
          <w:sz w:val="20"/>
          <w:u w:val="single" w:color="00AFEF"/>
        </w:rPr>
        <w:t xml:space="preserve"> </w:t>
      </w:r>
      <w:r>
        <w:rPr>
          <w:color w:val="FF0000"/>
          <w:sz w:val="20"/>
          <w:u w:val="single" w:color="00AFEF"/>
        </w:rPr>
        <w:t>债表、利润表、现金流量表、所有者权益（或股东权益）变动表以及附注</w:t>
      </w:r>
      <w:r>
        <w:rPr>
          <w:sz w:val="20"/>
        </w:rPr>
        <w:t>。</w:t>
      </w:r>
    </w:p>
    <w:p>
      <w:pPr>
        <w:pStyle w:val="6"/>
        <w:spacing w:before="2" w:line="304" w:lineRule="auto"/>
        <w:ind w:right="4258"/>
      </w:pPr>
      <w:r>
        <mc:AlternateContent>
          <mc:Choice Requires="wps">
            <w:drawing>
              <wp:anchor distT="0" distB="0" distL="114300" distR="114300" simplePos="0" relativeHeight="482415616" behindDoc="1" locked="0" layoutInCell="1" allowOverlap="1">
                <wp:simplePos x="0" y="0"/>
                <wp:positionH relativeFrom="page">
                  <wp:posOffset>941705</wp:posOffset>
                </wp:positionH>
                <wp:positionV relativeFrom="paragraph">
                  <wp:posOffset>346710</wp:posOffset>
                </wp:positionV>
                <wp:extent cx="377190" cy="5715"/>
                <wp:effectExtent l="0" t="0" r="0" b="0"/>
                <wp:wrapNone/>
                <wp:docPr id="259" name="任意多边形 125"/>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5" o:spid="_x0000_s1026" o:spt="100" style="position:absolute;left:0pt;margin-left:74.15pt;margin-top:27.3pt;height:0.45pt;width:29.7pt;mso-position-horizontal-relative:page;z-index:-20900864;mso-width-relative:page;mso-height-relative:page;" filled="f" stroked="t" coordsize="594,9" o:gfxdata="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1+9BZNUAAAAJAQAADwAAAAAAAAABACAA&#10;AAAiAAAAZHJzL2Rvd25yZXYueG1sUEsBAhQAFAAAAAgAh07iQG/roii7AgAA+QgAAA4AAAAAAAAA&#10;AQAgAAAAJAEAAGRycy9lMm9Eb2MueG1sUEsFBgAAAAAGAAYAWQEAAFEGA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b/>
          <w:color w:val="00AFEF"/>
          <w:w w:val="95"/>
          <w:u w:val="single" w:color="00AFEF"/>
        </w:rPr>
        <w:t>资产负债表</w:t>
      </w:r>
      <w:r>
        <w:rPr>
          <w:w w:val="95"/>
        </w:rPr>
        <w:t xml:space="preserve">，是反映企业在某一特定日期的财务状况的会计报表；  </w:t>
      </w:r>
      <w:r>
        <w:rPr>
          <w:b/>
          <w:color w:val="00AFEF"/>
        </w:rPr>
        <w:t>利润表</w:t>
      </w:r>
      <w:r>
        <w:t>，是反映企业在一定会计期间的经营成果的会计报表。</w:t>
      </w:r>
    </w:p>
    <w:p>
      <w:pPr>
        <w:pStyle w:val="6"/>
        <w:spacing w:before="2" w:line="304" w:lineRule="auto"/>
        <w:ind w:right="2455"/>
      </w:pPr>
      <w:r>
        <w:rPr>
          <w:b/>
          <w:color w:val="00AFEF"/>
          <w:u w:val="single" w:color="00AFEF"/>
        </w:rPr>
        <w:t>现金流量表</w:t>
      </w:r>
      <w:r>
        <w:t>，是反映企业在一定会计期间的现金和现金等价物流入和流出的会计报表。</w:t>
      </w:r>
      <w:r>
        <w:rPr>
          <w:b/>
          <w:color w:val="00AFEF"/>
          <w:w w:val="95"/>
          <w:u w:val="single" w:color="00AFEF"/>
        </w:rPr>
        <w:t>所有者权益变动表</w:t>
      </w:r>
      <w:r>
        <w:rPr>
          <w:w w:val="95"/>
        </w:rPr>
        <w:t>，是反映构成所有者权益各组成部分当期增减变动情况的会计报表。</w:t>
      </w:r>
    </w:p>
    <w:p>
      <w:pPr>
        <w:pStyle w:val="6"/>
        <w:spacing w:before="0" w:line="304" w:lineRule="auto"/>
        <w:ind w:left="322" w:right="725" w:firstLine="400"/>
      </w:pPr>
      <w:r>
        <mc:AlternateContent>
          <mc:Choice Requires="wps">
            <w:drawing>
              <wp:anchor distT="0" distB="0" distL="114300" distR="114300" simplePos="0" relativeHeight="482415616" behindDoc="1" locked="0" layoutInCell="1" allowOverlap="1">
                <wp:simplePos x="0" y="0"/>
                <wp:positionH relativeFrom="page">
                  <wp:posOffset>941705</wp:posOffset>
                </wp:positionH>
                <wp:positionV relativeFrom="paragraph">
                  <wp:posOffset>138430</wp:posOffset>
                </wp:positionV>
                <wp:extent cx="251460" cy="5715"/>
                <wp:effectExtent l="0" t="0" r="0" b="0"/>
                <wp:wrapNone/>
                <wp:docPr id="260" name="任意多边形 12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6" o:spid="_x0000_s1026" o:spt="100" style="position:absolute;left:0pt;margin-left:74.15pt;margin-top:10.9pt;height:0.45pt;width:19.8pt;mso-position-horizontal-relative:page;z-index:-20900864;mso-width-relative:page;mso-height-relative:page;" filled="f" stroked="t" coordsize="396,9" o:gfxdata="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6Uf6I&#10;2QAAAAkBAAAPAAAAAAAAAAEAIAAAACIAAABkcnMvZG93bnJldi54bWxQSwECFAAUAAAACACHTuJA&#10;PZY315ICAABXBwAADgAAAAAAAAABACAAAAAo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b/>
          <w:color w:val="00AFEF"/>
          <w:w w:val="95"/>
        </w:rPr>
        <w:t>附注</w:t>
      </w:r>
      <w:r>
        <w:rPr>
          <w:spacing w:val="-4"/>
          <w:w w:val="95"/>
        </w:rPr>
        <w:t xml:space="preserve">是财务报表不可或缺的组成部分，是对在资产负债表、利润表、现金流量表和所有者权益变动表等报表   </w:t>
      </w:r>
      <w:r>
        <w:rPr>
          <w:spacing w:val="-4"/>
        </w:rPr>
        <w:t>中列示项目的文字描述或明细资料，以及对未能在这些报表中列示项目的说明等。</w:t>
      </w:r>
    </w:p>
    <w:p>
      <w:pPr>
        <w:pStyle w:val="6"/>
        <w:spacing w:before="1" w:line="304" w:lineRule="auto"/>
        <w:ind w:right="4992" w:firstLine="4269"/>
      </w:pPr>
      <w:r>
        <w:rPr>
          <w:color w:val="FF0000"/>
          <w:u w:val="double" w:color="FF0000"/>
        </w:rPr>
        <w:t>本章总结</w:t>
      </w:r>
      <w:r>
        <w:t>1.掌握会计基本假设、会计基础、会计信息质量要求</w:t>
      </w:r>
    </w:p>
    <w:p>
      <w:pPr>
        <w:pStyle w:val="13"/>
        <w:numPr>
          <w:ilvl w:val="0"/>
          <w:numId w:val="46"/>
        </w:numPr>
        <w:tabs>
          <w:tab w:val="left" w:pos="925"/>
        </w:tabs>
        <w:spacing w:before="2" w:after="0" w:line="240" w:lineRule="auto"/>
        <w:ind w:left="924" w:right="0" w:hanging="202"/>
        <w:jc w:val="left"/>
        <w:rPr>
          <w:sz w:val="20"/>
        </w:rPr>
      </w:pPr>
      <w:r>
        <w:rPr>
          <w:sz w:val="20"/>
        </w:rPr>
        <w:t>掌握会计要素及其确认条件</w:t>
      </w:r>
    </w:p>
    <w:p>
      <w:pPr>
        <w:pStyle w:val="13"/>
        <w:numPr>
          <w:ilvl w:val="0"/>
          <w:numId w:val="46"/>
        </w:numPr>
        <w:tabs>
          <w:tab w:val="left" w:pos="925"/>
        </w:tabs>
        <w:spacing w:before="70" w:after="0" w:line="240" w:lineRule="auto"/>
        <w:ind w:left="924" w:right="0" w:hanging="202"/>
        <w:jc w:val="left"/>
        <w:rPr>
          <w:sz w:val="20"/>
        </w:rPr>
      </w:pPr>
      <w:r>
        <w:rPr>
          <w:sz w:val="20"/>
        </w:rPr>
        <w:t>掌握借贷记账法的记账规则、试算平衡</w:t>
      </w:r>
    </w:p>
    <w:p>
      <w:pPr>
        <w:pStyle w:val="13"/>
        <w:numPr>
          <w:ilvl w:val="0"/>
          <w:numId w:val="46"/>
        </w:numPr>
        <w:tabs>
          <w:tab w:val="left" w:pos="925"/>
        </w:tabs>
        <w:spacing w:before="68" w:after="0" w:line="240" w:lineRule="auto"/>
        <w:ind w:left="924" w:right="0" w:hanging="202"/>
        <w:jc w:val="left"/>
        <w:rPr>
          <w:sz w:val="20"/>
        </w:rPr>
      </w:pPr>
      <w:r>
        <w:rPr>
          <w:sz w:val="20"/>
        </w:rPr>
        <w:t>掌握会计凭证、会计账簿和账务处理程序</w:t>
      </w:r>
    </w:p>
    <w:p>
      <w:pPr>
        <w:pStyle w:val="13"/>
        <w:numPr>
          <w:ilvl w:val="0"/>
          <w:numId w:val="46"/>
        </w:numPr>
        <w:tabs>
          <w:tab w:val="left" w:pos="925"/>
        </w:tabs>
        <w:spacing w:before="70" w:after="0" w:line="240" w:lineRule="auto"/>
        <w:ind w:left="924" w:right="0" w:hanging="202"/>
        <w:jc w:val="left"/>
        <w:rPr>
          <w:sz w:val="20"/>
        </w:rPr>
      </w:pPr>
      <w:r>
        <w:rPr>
          <w:sz w:val="20"/>
        </w:rPr>
        <w:t>掌握财产清查的方法与处理</w:t>
      </w:r>
    </w:p>
    <w:p>
      <w:pPr>
        <w:pStyle w:val="13"/>
        <w:numPr>
          <w:ilvl w:val="0"/>
          <w:numId w:val="46"/>
        </w:numPr>
        <w:tabs>
          <w:tab w:val="left" w:pos="925"/>
        </w:tabs>
        <w:spacing w:before="70" w:after="0" w:line="240" w:lineRule="auto"/>
        <w:ind w:left="924" w:right="0" w:hanging="202"/>
        <w:jc w:val="left"/>
        <w:rPr>
          <w:sz w:val="20"/>
        </w:rPr>
      </w:pPr>
      <w:r>
        <w:rPr>
          <w:sz w:val="20"/>
        </w:rPr>
        <w:t>熟悉会计要素计量属性及应用原则</w:t>
      </w:r>
    </w:p>
    <w:p>
      <w:pPr>
        <w:pStyle w:val="13"/>
        <w:numPr>
          <w:ilvl w:val="0"/>
          <w:numId w:val="46"/>
        </w:numPr>
        <w:tabs>
          <w:tab w:val="left" w:pos="925"/>
        </w:tabs>
        <w:spacing w:before="70" w:after="0" w:line="240" w:lineRule="auto"/>
        <w:ind w:left="924" w:right="0" w:hanging="202"/>
        <w:jc w:val="left"/>
        <w:rPr>
          <w:sz w:val="20"/>
        </w:rPr>
      </w:pPr>
      <w:r>
        <w:rPr>
          <w:sz w:val="20"/>
        </w:rPr>
        <w:t>熟悉会计等式</w:t>
      </w:r>
    </w:p>
    <w:p>
      <w:pPr>
        <w:pStyle w:val="13"/>
        <w:numPr>
          <w:ilvl w:val="0"/>
          <w:numId w:val="46"/>
        </w:numPr>
        <w:tabs>
          <w:tab w:val="left" w:pos="925"/>
        </w:tabs>
        <w:spacing w:before="70" w:after="0" w:line="240" w:lineRule="auto"/>
        <w:ind w:left="924" w:right="0" w:hanging="202"/>
        <w:jc w:val="left"/>
        <w:rPr>
          <w:sz w:val="20"/>
        </w:rPr>
      </w:pPr>
      <w:r>
        <w:rPr>
          <w:sz w:val="20"/>
        </w:rPr>
        <w:t>熟悉原始凭证和记账凭证的分类</w:t>
      </w:r>
    </w:p>
    <w:p>
      <w:pPr>
        <w:pStyle w:val="13"/>
        <w:numPr>
          <w:ilvl w:val="0"/>
          <w:numId w:val="46"/>
        </w:numPr>
        <w:tabs>
          <w:tab w:val="left" w:pos="925"/>
        </w:tabs>
        <w:spacing w:before="71" w:after="0" w:line="240" w:lineRule="auto"/>
        <w:ind w:left="924" w:right="0" w:hanging="202"/>
        <w:jc w:val="left"/>
        <w:rPr>
          <w:sz w:val="20"/>
        </w:rPr>
      </w:pPr>
      <w:r>
        <w:rPr>
          <w:sz w:val="20"/>
        </w:rPr>
        <w:t>熟悉会计要素计量属性</w:t>
      </w:r>
    </w:p>
    <w:p>
      <w:pPr>
        <w:pStyle w:val="13"/>
        <w:numPr>
          <w:ilvl w:val="0"/>
          <w:numId w:val="46"/>
        </w:numPr>
        <w:tabs>
          <w:tab w:val="left" w:pos="1024"/>
        </w:tabs>
        <w:spacing w:before="67" w:after="0" w:line="240" w:lineRule="auto"/>
        <w:ind w:left="1023" w:right="0" w:hanging="301"/>
        <w:jc w:val="left"/>
        <w:rPr>
          <w:sz w:val="20"/>
        </w:rPr>
      </w:pPr>
      <w:r>
        <w:rPr>
          <w:sz w:val="20"/>
        </w:rPr>
        <w:t>熟悉会计凭证的分类、保管要求</w:t>
      </w:r>
    </w:p>
    <w:p>
      <w:pPr>
        <w:pStyle w:val="13"/>
        <w:numPr>
          <w:ilvl w:val="0"/>
          <w:numId w:val="46"/>
        </w:numPr>
        <w:tabs>
          <w:tab w:val="left" w:pos="1024"/>
        </w:tabs>
        <w:spacing w:before="71" w:after="0" w:line="240" w:lineRule="auto"/>
        <w:ind w:left="1023" w:right="0" w:hanging="301"/>
        <w:jc w:val="left"/>
        <w:rPr>
          <w:sz w:val="20"/>
        </w:rPr>
      </w:pPr>
      <w:r>
        <w:rPr>
          <w:sz w:val="20"/>
        </w:rPr>
        <w:t>熟悉会计账簿的分类和登记要求、平行登记</w:t>
      </w:r>
    </w:p>
    <w:p>
      <w:pPr>
        <w:pStyle w:val="13"/>
        <w:numPr>
          <w:ilvl w:val="0"/>
          <w:numId w:val="46"/>
        </w:numPr>
        <w:tabs>
          <w:tab w:val="left" w:pos="1024"/>
        </w:tabs>
        <w:spacing w:before="70" w:after="0" w:line="240" w:lineRule="auto"/>
        <w:ind w:left="1023" w:right="0" w:hanging="301"/>
        <w:jc w:val="left"/>
        <w:rPr>
          <w:sz w:val="20"/>
        </w:rPr>
      </w:pPr>
      <w:r>
        <w:rPr>
          <w:sz w:val="20"/>
        </w:rPr>
        <w:t>熟悉财产清查的处理</w:t>
      </w:r>
    </w:p>
    <w:p>
      <w:pPr>
        <w:pStyle w:val="13"/>
        <w:numPr>
          <w:ilvl w:val="0"/>
          <w:numId w:val="46"/>
        </w:numPr>
        <w:tabs>
          <w:tab w:val="left" w:pos="1024"/>
        </w:tabs>
        <w:spacing w:before="70" w:after="0" w:line="240" w:lineRule="auto"/>
        <w:ind w:left="1023" w:right="0" w:hanging="301"/>
        <w:jc w:val="left"/>
        <w:rPr>
          <w:sz w:val="20"/>
        </w:rPr>
      </w:pPr>
      <w:r>
        <w:rPr>
          <w:sz w:val="20"/>
        </w:rPr>
        <w:t>了解会计的概念、 职能和目标</w:t>
      </w:r>
    </w:p>
    <w:p>
      <w:pPr>
        <w:pStyle w:val="13"/>
        <w:numPr>
          <w:ilvl w:val="0"/>
          <w:numId w:val="46"/>
        </w:numPr>
        <w:tabs>
          <w:tab w:val="left" w:pos="1024"/>
        </w:tabs>
        <w:spacing w:before="70" w:after="0" w:line="240" w:lineRule="auto"/>
        <w:ind w:left="1023" w:right="0" w:hanging="301"/>
        <w:jc w:val="left"/>
        <w:rPr>
          <w:sz w:val="20"/>
        </w:rPr>
      </w:pPr>
      <w:r>
        <w:rPr>
          <w:sz w:val="20"/>
        </w:rPr>
        <w:t>了解会计要素计量属性的应用原则</w:t>
      </w:r>
    </w:p>
    <w:p>
      <w:pPr>
        <w:pStyle w:val="13"/>
        <w:numPr>
          <w:ilvl w:val="0"/>
          <w:numId w:val="46"/>
        </w:numPr>
        <w:tabs>
          <w:tab w:val="left" w:pos="1024"/>
        </w:tabs>
        <w:spacing w:before="70" w:after="0" w:line="240" w:lineRule="auto"/>
        <w:ind w:left="1023" w:right="0" w:hanging="301"/>
        <w:jc w:val="left"/>
        <w:rPr>
          <w:sz w:val="20"/>
        </w:rPr>
      </w:pPr>
      <w:r>
        <w:rPr>
          <w:w w:val="95"/>
          <w:sz w:val="20"/>
        </w:rPr>
        <w:t>了解会计科目和账户的分类</w:t>
      </w:r>
    </w:p>
    <w:p>
      <w:pPr>
        <w:pStyle w:val="13"/>
        <w:numPr>
          <w:ilvl w:val="0"/>
          <w:numId w:val="46"/>
        </w:numPr>
        <w:tabs>
          <w:tab w:val="left" w:pos="1024"/>
        </w:tabs>
        <w:spacing w:before="68" w:after="0" w:line="240" w:lineRule="auto"/>
        <w:ind w:left="1023" w:right="0" w:hanging="301"/>
        <w:jc w:val="left"/>
        <w:rPr>
          <w:sz w:val="20"/>
        </w:rPr>
      </w:pPr>
      <w:r>
        <w:rPr>
          <w:w w:val="95"/>
          <w:sz w:val="20"/>
        </w:rPr>
        <w:t>了解借贷记账法的账户结构</w:t>
      </w:r>
    </w:p>
    <w:p>
      <w:pPr>
        <w:pStyle w:val="13"/>
        <w:numPr>
          <w:ilvl w:val="0"/>
          <w:numId w:val="46"/>
        </w:numPr>
        <w:tabs>
          <w:tab w:val="left" w:pos="1024"/>
        </w:tabs>
        <w:spacing w:before="70" w:after="0" w:line="240" w:lineRule="auto"/>
        <w:ind w:left="1023" w:right="0" w:hanging="301"/>
        <w:jc w:val="left"/>
        <w:rPr>
          <w:sz w:val="20"/>
        </w:rPr>
      </w:pPr>
      <w:r>
        <w:rPr>
          <w:sz w:val="20"/>
        </w:rPr>
        <w:t>了解原始凭证和记账凭证的概念</w:t>
      </w:r>
    </w:p>
    <w:p>
      <w:pPr>
        <w:pStyle w:val="13"/>
        <w:numPr>
          <w:ilvl w:val="0"/>
          <w:numId w:val="46"/>
        </w:numPr>
        <w:tabs>
          <w:tab w:val="left" w:pos="1024"/>
        </w:tabs>
        <w:spacing w:before="70" w:after="0" w:line="240" w:lineRule="auto"/>
        <w:ind w:left="1023" w:right="0" w:hanging="301"/>
        <w:jc w:val="left"/>
        <w:rPr>
          <w:sz w:val="20"/>
        </w:rPr>
      </w:pPr>
      <w:r>
        <w:rPr>
          <w:sz w:val="20"/>
        </w:rPr>
        <w:t>了解会计账簿的启用</w:t>
      </w:r>
    </w:p>
    <w:p>
      <w:pPr>
        <w:pStyle w:val="13"/>
        <w:numPr>
          <w:ilvl w:val="0"/>
          <w:numId w:val="46"/>
        </w:numPr>
        <w:tabs>
          <w:tab w:val="left" w:pos="1024"/>
        </w:tabs>
        <w:spacing w:before="70" w:after="0" w:line="240" w:lineRule="auto"/>
        <w:ind w:left="1023" w:right="0" w:hanging="301"/>
        <w:jc w:val="left"/>
        <w:rPr>
          <w:sz w:val="20"/>
        </w:rPr>
      </w:pPr>
      <w:r>
        <w:rPr>
          <w:sz w:val="20"/>
        </w:rPr>
        <w:t>了解账务处理程序的优缺点</w:t>
      </w:r>
    </w:p>
    <w:p>
      <w:pPr>
        <w:pStyle w:val="13"/>
        <w:numPr>
          <w:ilvl w:val="0"/>
          <w:numId w:val="46"/>
        </w:numPr>
        <w:tabs>
          <w:tab w:val="left" w:pos="1024"/>
        </w:tabs>
        <w:spacing w:before="70" w:after="0" w:line="240" w:lineRule="auto"/>
        <w:ind w:left="1023" w:right="0" w:hanging="301"/>
        <w:jc w:val="left"/>
        <w:rPr>
          <w:sz w:val="20"/>
        </w:rPr>
      </w:pPr>
      <w:r>
        <w:rPr>
          <w:sz w:val="20"/>
        </w:rPr>
        <w:t>了解财产清查的分类</w:t>
      </w:r>
    </w:p>
    <w:p>
      <w:pPr>
        <w:spacing w:after="0" w:line="240" w:lineRule="auto"/>
        <w:jc w:val="left"/>
        <w:rPr>
          <w:sz w:val="20"/>
        </w:rPr>
        <w:sectPr>
          <w:pgSz w:w="11910" w:h="16160"/>
          <w:pgMar w:top="1680" w:right="360" w:bottom="860" w:left="760" w:header="0" w:footer="584" w:gutter="0"/>
        </w:sectPr>
      </w:pPr>
    </w:p>
    <w:p>
      <w:pPr>
        <w:pStyle w:val="6"/>
        <w:spacing w:before="11"/>
        <w:ind w:left="0"/>
        <w:rPr>
          <w:sz w:val="13"/>
        </w:rPr>
      </w:pPr>
    </w:p>
    <w:p>
      <w:pPr>
        <w:pStyle w:val="13"/>
        <w:numPr>
          <w:ilvl w:val="0"/>
          <w:numId w:val="46"/>
        </w:numPr>
        <w:tabs>
          <w:tab w:val="left" w:pos="1024"/>
        </w:tabs>
        <w:spacing w:before="71" w:after="0" w:line="240" w:lineRule="auto"/>
        <w:ind w:left="1023" w:right="0" w:hanging="301"/>
        <w:jc w:val="left"/>
        <w:rPr>
          <w:sz w:val="20"/>
        </w:rPr>
      </w:pPr>
      <w:r>
        <w:rPr>
          <w:sz w:val="20"/>
        </w:rPr>
        <w:t>了解财务报告及其目标</w:t>
      </w:r>
    </w:p>
    <w:p>
      <w:pPr>
        <w:pStyle w:val="13"/>
        <w:numPr>
          <w:ilvl w:val="0"/>
          <w:numId w:val="46"/>
        </w:numPr>
        <w:tabs>
          <w:tab w:val="left" w:pos="1024"/>
        </w:tabs>
        <w:spacing w:before="70" w:after="0" w:line="240" w:lineRule="auto"/>
        <w:ind w:left="1023" w:right="0" w:hanging="301"/>
        <w:jc w:val="left"/>
        <w:rPr>
          <w:sz w:val="20"/>
        </w:rPr>
      </w:pPr>
      <w:r>
        <w:rPr>
          <w:sz w:val="20"/>
        </w:rPr>
        <w:t>了解财务报表的组成</w:t>
      </w:r>
    </w:p>
    <w:p>
      <w:pPr>
        <w:pStyle w:val="2"/>
        <w:tabs>
          <w:tab w:val="left" w:pos="1120"/>
        </w:tabs>
      </w:pPr>
      <w:bookmarkStart w:id="33" w:name="第二章　资产"/>
      <w:bookmarkEnd w:id="33"/>
      <w:bookmarkStart w:id="34" w:name="_bookmark8"/>
      <w:bookmarkEnd w:id="34"/>
      <w:r>
        <w:rPr>
          <w:color w:val="FF0000"/>
        </w:rPr>
        <w:t>第</w:t>
      </w:r>
      <w:r>
        <w:rPr>
          <w:color w:val="FF0000"/>
          <w:spacing w:val="-3"/>
        </w:rPr>
        <w:t>二</w:t>
      </w:r>
      <w:r>
        <w:rPr>
          <w:color w:val="FF0000"/>
        </w:rPr>
        <w:t>章</w:t>
      </w:r>
      <w:r>
        <w:rPr>
          <w:color w:val="FF0000"/>
        </w:rPr>
        <w:tab/>
      </w:r>
      <w:r>
        <w:rPr>
          <w:color w:val="FF0000"/>
        </w:rPr>
        <w:t>资产</w:t>
      </w:r>
    </w:p>
    <w:p>
      <w:pPr>
        <w:pStyle w:val="6"/>
        <w:spacing w:before="4"/>
        <w:ind w:left="0"/>
        <w:rPr>
          <w:rFonts w:ascii="微软雅黑"/>
          <w:b/>
          <w:sz w:val="6"/>
        </w:rPr>
      </w:pPr>
    </w:p>
    <w:p>
      <w:pPr>
        <w:pStyle w:val="5"/>
        <w:spacing w:before="71"/>
        <w:ind w:left="15" w:right="12"/>
        <w:jc w:val="center"/>
      </w:pPr>
      <w:r>
        <w:rPr>
          <w:color w:val="00AFEF"/>
          <w:u w:val="single" w:color="00AFEF"/>
        </w:rPr>
        <w:t>【本章考情分析】</w:t>
      </w:r>
    </w:p>
    <w:p>
      <w:pPr>
        <w:pStyle w:val="6"/>
        <w:spacing w:before="68" w:line="304" w:lineRule="auto"/>
        <w:ind w:left="322" w:right="720" w:firstLine="400"/>
        <w:jc w:val="both"/>
      </w:pPr>
      <w:r>
        <w:rPr>
          <w:spacing w:val="-2"/>
          <w:w w:val="95"/>
        </w:rPr>
        <w:t>本章内容变化较大，其</w:t>
      </w:r>
      <w:r>
        <w:rPr>
          <w:color w:val="FF0000"/>
          <w:w w:val="95"/>
          <w:u w:val="double" w:color="FF0000"/>
        </w:rPr>
        <w:t>重要程度依然如故</w:t>
      </w:r>
      <w:r>
        <w:rPr>
          <w:spacing w:val="-7"/>
          <w:w w:val="95"/>
        </w:rPr>
        <w:t xml:space="preserve">，因为增值税的修改，导致本章内容出现了大幅度的变化，但整体   </w:t>
      </w:r>
      <w:r>
        <w:rPr>
          <w:spacing w:val="-20"/>
        </w:rPr>
        <w:t xml:space="preserve">难度与 </w:t>
      </w:r>
      <w:r>
        <w:t>2019</w:t>
      </w:r>
      <w:r>
        <w:rPr>
          <w:spacing w:val="-8"/>
        </w:rPr>
        <w:t xml:space="preserve"> 年一致；学习本章既要掌握单一知识点又要针对复杂的知识点与其他章节知识点融会贯通、综合应用；</w:t>
      </w:r>
    </w:p>
    <w:p>
      <w:pPr>
        <w:pStyle w:val="6"/>
        <w:spacing w:before="3"/>
      </w:pPr>
      <w:r>
        <w:t xml:space="preserve">本章是整个初级实务的重点章节，预计 2020 年分值在 </w:t>
      </w:r>
      <w:r>
        <w:rPr>
          <w:color w:val="FF0000"/>
          <w:u w:val="double" w:color="FF0000"/>
        </w:rPr>
        <w:t>25 分</w:t>
      </w:r>
      <w:r>
        <w:t>左右。</w:t>
      </w:r>
    </w:p>
    <w:p>
      <w:pPr>
        <w:pStyle w:val="6"/>
        <w:spacing w:before="0"/>
        <w:ind w:left="0"/>
      </w:pPr>
    </w:p>
    <w:p>
      <w:pPr>
        <w:pStyle w:val="3"/>
        <w:tabs>
          <w:tab w:val="left" w:pos="839"/>
        </w:tabs>
        <w:spacing w:before="188"/>
        <w:ind w:left="0" w:right="402"/>
        <w:jc w:val="center"/>
        <w:rPr>
          <w:rFonts w:hint="eastAsia" w:ascii="微软雅黑" w:eastAsia="微软雅黑"/>
        </w:rPr>
      </w:pPr>
      <w:bookmarkStart w:id="35" w:name="_bookmark9"/>
      <w:bookmarkEnd w:id="35"/>
      <w:bookmarkStart w:id="36" w:name="第一节  货币资金"/>
      <w:bookmarkEnd w:id="36"/>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货币资金</w:t>
      </w:r>
    </w:p>
    <w:p>
      <w:pPr>
        <w:spacing w:before="141"/>
        <w:ind w:left="742" w:right="0" w:firstLine="0"/>
        <w:jc w:val="left"/>
        <w:rPr>
          <w:b/>
          <w:sz w:val="21"/>
        </w:rPr>
      </w:pPr>
      <w:bookmarkStart w:id="37" w:name="一、库存现金"/>
      <w:bookmarkEnd w:id="37"/>
      <w:r>
        <w:rPr>
          <w:b/>
          <w:sz w:val="21"/>
          <w:shd w:val="clear" w:color="auto" w:fill="C0C0C0"/>
        </w:rPr>
        <w:t>一、库存现金</w:t>
      </w:r>
    </w:p>
    <w:p>
      <w:pPr>
        <w:pStyle w:val="5"/>
        <w:spacing w:before="91" w:line="302" w:lineRule="auto"/>
        <w:ind w:right="8256"/>
      </w:pPr>
      <w:r>
        <w:t>（一）现金管理制度1.现金的使用范围</w:t>
      </w:r>
    </w:p>
    <w:p>
      <w:pPr>
        <w:pStyle w:val="6"/>
        <w:spacing w:before="5" w:line="304" w:lineRule="auto"/>
        <w:ind w:left="322" w:right="722" w:firstLine="400"/>
      </w:pPr>
      <w:r>
        <w:rPr>
          <w:w w:val="99"/>
        </w:rPr>
        <w:t>（</w:t>
      </w:r>
      <w:r>
        <w:rPr>
          <w:spacing w:val="1"/>
          <w:w w:val="99"/>
        </w:rPr>
        <w:t>1</w:t>
      </w:r>
      <w:r>
        <w:rPr>
          <w:w w:val="99"/>
        </w:rPr>
        <w:t>）</w:t>
      </w:r>
      <w:r>
        <w:rPr>
          <w:spacing w:val="-13"/>
          <w:w w:val="99"/>
        </w:rPr>
        <w:t>职工工资、津贴；</w:t>
      </w:r>
      <w:r>
        <w:rPr>
          <w:spacing w:val="2"/>
          <w:w w:val="99"/>
        </w:rPr>
        <w:t>（</w:t>
      </w:r>
      <w:r>
        <w:rPr>
          <w:spacing w:val="-2"/>
          <w:w w:val="99"/>
        </w:rPr>
        <w:t>2</w:t>
      </w:r>
      <w:r>
        <w:rPr>
          <w:w w:val="99"/>
        </w:rPr>
        <w:t>）</w:t>
      </w:r>
      <w:r>
        <w:rPr>
          <w:spacing w:val="-15"/>
          <w:w w:val="99"/>
        </w:rPr>
        <w:t>个人劳务报酬；</w:t>
      </w:r>
      <w:r>
        <w:rPr>
          <w:spacing w:val="2"/>
          <w:w w:val="99"/>
        </w:rPr>
        <w:t>（</w:t>
      </w:r>
      <w:r>
        <w:rPr>
          <w:spacing w:val="-2"/>
          <w:w w:val="99"/>
        </w:rPr>
        <w:t>3</w:t>
      </w:r>
      <w:r>
        <w:rPr>
          <w:w w:val="99"/>
        </w:rPr>
        <w:t>）根据国家规定颁发给个人的科学技术、文化艺术、体育等</w:t>
      </w:r>
      <w:r>
        <w:rPr>
          <w:spacing w:val="-23"/>
          <w:w w:val="99"/>
        </w:rPr>
        <w:t>各种奖金；</w:t>
      </w:r>
      <w:r>
        <w:rPr>
          <w:spacing w:val="2"/>
          <w:w w:val="99"/>
        </w:rPr>
        <w:t>（</w:t>
      </w:r>
      <w:r>
        <w:rPr>
          <w:spacing w:val="-2"/>
          <w:w w:val="99"/>
        </w:rPr>
        <w:t>4</w:t>
      </w:r>
      <w:r>
        <w:rPr>
          <w:spacing w:val="-10"/>
          <w:w w:val="99"/>
        </w:rPr>
        <w:t>）</w:t>
      </w:r>
      <w:r>
        <w:rPr>
          <w:spacing w:val="-3"/>
          <w:w w:val="99"/>
        </w:rPr>
        <w:t>各种劳保、福利费用以及国家规定对个人的其他支出</w:t>
      </w:r>
      <w:r>
        <w:rPr>
          <w:spacing w:val="-111"/>
          <w:w w:val="99"/>
        </w:rPr>
        <w:t>；</w:t>
      </w:r>
      <w:r>
        <w:rPr>
          <w:w w:val="99"/>
        </w:rPr>
        <w:t>（</w:t>
      </w:r>
      <w:r>
        <w:rPr>
          <w:spacing w:val="1"/>
          <w:w w:val="99"/>
        </w:rPr>
        <w:t>5</w:t>
      </w:r>
      <w:r>
        <w:rPr>
          <w:spacing w:val="-12"/>
          <w:w w:val="99"/>
        </w:rPr>
        <w:t>）</w:t>
      </w:r>
      <w:r>
        <w:rPr>
          <w:color w:val="FF0000"/>
          <w:w w:val="99"/>
          <w:u w:val="double" w:color="FF0000"/>
        </w:rPr>
        <w:t>向个人收购农副产品和其他物资的价</w:t>
      </w:r>
      <w:r>
        <w:rPr>
          <w:color w:val="FF0000"/>
          <w:spacing w:val="2"/>
          <w:w w:val="99"/>
          <w:u w:val="double" w:color="FF0000"/>
        </w:rPr>
        <w:t>款</w:t>
      </w:r>
      <w:r>
        <w:rPr>
          <w:spacing w:val="-101"/>
          <w:w w:val="99"/>
        </w:rPr>
        <w:t>；</w:t>
      </w:r>
      <w:r>
        <w:rPr>
          <w:spacing w:val="2"/>
          <w:w w:val="99"/>
        </w:rPr>
        <w:t>（</w:t>
      </w:r>
      <w:r>
        <w:rPr>
          <w:spacing w:val="-2"/>
          <w:w w:val="99"/>
        </w:rPr>
        <w:t>6</w:t>
      </w:r>
      <w:r>
        <w:rPr>
          <w:spacing w:val="2"/>
          <w:w w:val="99"/>
        </w:rPr>
        <w:t>）</w:t>
      </w:r>
      <w:r>
        <w:rPr>
          <w:color w:val="FF0000"/>
          <w:w w:val="99"/>
          <w:u w:val="double" w:color="FF0000"/>
        </w:rPr>
        <w:t>出差人员必须随身携带的差旅费</w:t>
      </w:r>
      <w:r>
        <w:rPr>
          <w:spacing w:val="-99"/>
          <w:w w:val="99"/>
        </w:rPr>
        <w:t>；</w:t>
      </w:r>
      <w:r>
        <w:rPr>
          <w:w w:val="99"/>
        </w:rPr>
        <w:t>（</w:t>
      </w:r>
      <w:r>
        <w:rPr>
          <w:spacing w:val="1"/>
          <w:w w:val="99"/>
        </w:rPr>
        <w:t>7</w:t>
      </w:r>
      <w:r>
        <w:rPr>
          <w:w w:val="99"/>
        </w:rPr>
        <w:t>）结算起点（</w:t>
      </w:r>
      <w:r>
        <w:rPr>
          <w:color w:val="FF0000"/>
          <w:spacing w:val="1"/>
          <w:w w:val="99"/>
          <w:u w:val="double" w:color="FF0000"/>
        </w:rPr>
        <w:t>10</w:t>
      </w:r>
      <w:r>
        <w:rPr>
          <w:color w:val="FF0000"/>
          <w:spacing w:val="-2"/>
          <w:w w:val="99"/>
          <w:u w:val="double" w:color="FF0000"/>
        </w:rPr>
        <w:t>0</w:t>
      </w:r>
      <w:r>
        <w:rPr>
          <w:color w:val="FF0000"/>
          <w:w w:val="99"/>
          <w:u w:val="double" w:color="FF0000"/>
        </w:rPr>
        <w:t>0</w:t>
      </w:r>
      <w:r>
        <w:rPr>
          <w:color w:val="FF0000"/>
          <w:spacing w:val="-51"/>
          <w:u w:val="double" w:color="FF0000"/>
        </w:rPr>
        <w:t xml:space="preserve"> </w:t>
      </w:r>
      <w:r>
        <w:rPr>
          <w:color w:val="FF0000"/>
          <w:spacing w:val="2"/>
          <w:w w:val="99"/>
          <w:u w:val="double" w:color="FF0000"/>
        </w:rPr>
        <w:t>元</w:t>
      </w:r>
      <w:r>
        <w:rPr>
          <w:w w:val="99"/>
        </w:rPr>
        <w:t>）</w:t>
      </w:r>
      <w:r>
        <w:rPr>
          <w:spacing w:val="-13"/>
          <w:w w:val="99"/>
        </w:rPr>
        <w:t>以下的零星支出；</w:t>
      </w:r>
      <w:r>
        <w:rPr>
          <w:w w:val="99"/>
        </w:rPr>
        <w:t>（</w:t>
      </w:r>
      <w:r>
        <w:rPr>
          <w:spacing w:val="1"/>
          <w:w w:val="99"/>
        </w:rPr>
        <w:t>8</w:t>
      </w:r>
      <w:r>
        <w:rPr>
          <w:w w:val="99"/>
        </w:rPr>
        <w:t>）中国人民银行确定</w:t>
      </w:r>
      <w:r>
        <w:t>需要支付现金的其他支出。</w:t>
      </w:r>
    </w:p>
    <w:p>
      <w:pPr>
        <w:pStyle w:val="6"/>
        <w:spacing w:before="4" w:line="302" w:lineRule="auto"/>
        <w:ind w:left="322" w:right="761" w:firstLine="400"/>
      </w:pPr>
      <w:r>
        <w:rPr>
          <w:spacing w:val="-12"/>
        </w:rPr>
        <w:t xml:space="preserve">除上述第 </w:t>
      </w:r>
      <w:r>
        <w:t>5、6</w:t>
      </w:r>
      <w:r>
        <w:rPr>
          <w:spacing w:val="-8"/>
        </w:rPr>
        <w:t xml:space="preserve"> 项外，开户单位支付给个人的款项，超过使用现金限额的部分，应当以支票或者银行本票支付；确需全额支付现金的，经开户银行审核后，予以支付现金。</w:t>
      </w:r>
    </w:p>
    <w:p>
      <w:pPr>
        <w:pStyle w:val="5"/>
        <w:spacing w:before="4"/>
      </w:pPr>
      <w:r>
        <w:t>2.现金限额</w:t>
      </w:r>
    </w:p>
    <w:p>
      <w:pPr>
        <w:pStyle w:val="6"/>
        <w:spacing w:line="304" w:lineRule="auto"/>
        <w:ind w:left="322" w:right="621" w:firstLine="400"/>
      </w:pPr>
      <w:r>
        <w:rPr>
          <w:spacing w:val="-6"/>
        </w:rPr>
        <w:t xml:space="preserve">现金使用的限额，由开户行根据单位的实际需要核定，一般按照单位 </w:t>
      </w:r>
      <w:r>
        <w:rPr>
          <w:color w:val="FF0000"/>
          <w:u w:val="double" w:color="FF0000"/>
        </w:rPr>
        <w:t>3</w:t>
      </w:r>
      <w:r>
        <w:rPr>
          <w:color w:val="FF0000"/>
          <w:spacing w:val="-35"/>
          <w:u w:val="double" w:color="FF0000"/>
        </w:rPr>
        <w:t xml:space="preserve"> 至 </w:t>
      </w:r>
      <w:r>
        <w:rPr>
          <w:color w:val="FF0000"/>
          <w:u w:val="double" w:color="FF0000"/>
        </w:rPr>
        <w:t>5</w:t>
      </w:r>
      <w:r>
        <w:rPr>
          <w:color w:val="FF0000"/>
          <w:spacing w:val="-27"/>
          <w:u w:val="double" w:color="FF0000"/>
        </w:rPr>
        <w:t xml:space="preserve"> 天</w:t>
      </w:r>
      <w:r>
        <w:rPr>
          <w:spacing w:val="-2"/>
        </w:rPr>
        <w:t>日常零星开支所需确定。边远</w:t>
      </w:r>
      <w:r>
        <w:rPr>
          <w:spacing w:val="-4"/>
        </w:rPr>
        <w:t>地区和交通不便地区的开户单位的库存现金限额，可按</w:t>
      </w:r>
      <w:r>
        <w:rPr>
          <w:color w:val="FF0000"/>
          <w:spacing w:val="-19"/>
          <w:u w:val="double" w:color="FF0000"/>
        </w:rPr>
        <w:t xml:space="preserve">多于 </w:t>
      </w:r>
      <w:r>
        <w:rPr>
          <w:color w:val="FF0000"/>
          <w:u w:val="double" w:color="FF0000"/>
        </w:rPr>
        <w:t>5</w:t>
      </w:r>
      <w:r>
        <w:rPr>
          <w:color w:val="FF0000"/>
          <w:spacing w:val="-17"/>
          <w:u w:val="double" w:color="FF0000"/>
        </w:rPr>
        <w:t xml:space="preserve"> 天、但不得超过 </w:t>
      </w:r>
      <w:r>
        <w:rPr>
          <w:color w:val="FF0000"/>
          <w:u w:val="double" w:color="FF0000"/>
        </w:rPr>
        <w:t>15</w:t>
      </w:r>
      <w:r>
        <w:rPr>
          <w:color w:val="FF0000"/>
          <w:spacing w:val="-27"/>
          <w:u w:val="double" w:color="FF0000"/>
        </w:rPr>
        <w:t xml:space="preserve"> 天</w:t>
      </w:r>
      <w:r>
        <w:t>的日常零星开支的需要确定。经核定的库存现金限额，开户单位必须严格遵守。</w:t>
      </w:r>
    </w:p>
    <w:p>
      <w:pPr>
        <w:pStyle w:val="5"/>
        <w:spacing w:before="3"/>
      </w:pPr>
      <w:r>
        <w:t>（二）现金的账务处理</w:t>
      </w:r>
    </w:p>
    <w:p>
      <w:pPr>
        <w:pStyle w:val="6"/>
        <w:spacing w:before="68" w:line="304" w:lineRule="auto"/>
        <w:ind w:left="322" w:right="720" w:firstLine="400"/>
      </w:pPr>
      <w:r>
        <w:rPr>
          <w:w w:val="95"/>
        </w:rPr>
        <w:t>企业应当设置</w:t>
      </w:r>
      <w:r>
        <w:rPr>
          <w:color w:val="FF0000"/>
          <w:w w:val="95"/>
          <w:u w:val="double" w:color="FF0000"/>
        </w:rPr>
        <w:t>现金总账和现金日记账</w:t>
      </w:r>
      <w:r>
        <w:rPr>
          <w:spacing w:val="-7"/>
          <w:w w:val="95"/>
        </w:rPr>
        <w:t xml:space="preserve">，分别进行企业库存现金的总分类核算和明细分类核算。借方登记现金   </w:t>
      </w:r>
      <w:r>
        <w:rPr>
          <w:spacing w:val="-7"/>
        </w:rPr>
        <w:t>的增加，贷方登记现金的减少，期末余额在借方，反映企业实际持有的库存现金的金额。</w:t>
      </w:r>
    </w:p>
    <w:p>
      <w:pPr>
        <w:pStyle w:val="5"/>
        <w:spacing w:before="2"/>
      </w:pPr>
      <w:r>
        <w:t>（三）现金的清查</w:t>
      </w:r>
    </w:p>
    <w:p>
      <w:pPr>
        <w:pStyle w:val="6"/>
        <w:spacing w:line="304" w:lineRule="auto"/>
        <w:ind w:left="322" w:right="646" w:firstLine="400"/>
      </w:pPr>
      <w:r>
        <w:rPr>
          <w:w w:val="95"/>
        </w:rPr>
        <w:t>企业应当按规定进行现金的清查，一般采用</w:t>
      </w:r>
      <w:r>
        <w:rPr>
          <w:color w:val="FF0000"/>
          <w:w w:val="95"/>
          <w:u w:val="double" w:color="FF0000"/>
        </w:rPr>
        <w:t>实地盘点法</w:t>
      </w:r>
      <w:r>
        <w:rPr>
          <w:w w:val="95"/>
        </w:rPr>
        <w:t>，对于清查的结果应当编制</w:t>
      </w:r>
      <w:r>
        <w:rPr>
          <w:color w:val="FF0000"/>
          <w:w w:val="95"/>
          <w:u w:val="double" w:color="FF0000"/>
        </w:rPr>
        <w:t>现金盘点报告单</w:t>
      </w:r>
      <w:r>
        <w:rPr>
          <w:w w:val="95"/>
        </w:rPr>
        <w:t xml:space="preserve">。有溢余   </w:t>
      </w:r>
      <w:r>
        <w:t>或短缺的应先通过“待处理财产损溢”科目核算，经批准后再作出最后的处理。</w:t>
      </w:r>
    </w:p>
    <w:p>
      <w:pPr>
        <w:pStyle w:val="5"/>
        <w:numPr>
          <w:ilvl w:val="0"/>
          <w:numId w:val="47"/>
        </w:numPr>
        <w:tabs>
          <w:tab w:val="left" w:pos="925"/>
        </w:tabs>
        <w:spacing w:before="2" w:after="0" w:line="240" w:lineRule="auto"/>
        <w:ind w:left="924" w:right="0" w:hanging="202"/>
        <w:jc w:val="left"/>
      </w:pPr>
      <w:r>
        <w:drawing>
          <wp:anchor distT="0" distB="0" distL="0" distR="0" simplePos="0" relativeHeight="1024" behindDoc="0" locked="0" layoutInCell="1" allowOverlap="1">
            <wp:simplePos x="0" y="0"/>
            <wp:positionH relativeFrom="page">
              <wp:posOffset>2767965</wp:posOffset>
            </wp:positionH>
            <wp:positionV relativeFrom="paragraph">
              <wp:posOffset>203200</wp:posOffset>
            </wp:positionV>
            <wp:extent cx="2285365" cy="73152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5" cstate="print"/>
                    <a:stretch>
                      <a:fillRect/>
                    </a:stretch>
                  </pic:blipFill>
                  <pic:spPr>
                    <a:xfrm>
                      <a:off x="0" y="0"/>
                      <a:ext cx="2285310" cy="731519"/>
                    </a:xfrm>
                    <a:prstGeom prst="rect">
                      <a:avLst/>
                    </a:prstGeom>
                  </pic:spPr>
                </pic:pic>
              </a:graphicData>
            </a:graphic>
          </wp:anchor>
        </w:drawing>
      </w:r>
      <w:r>
        <w:t>账户结构</w:t>
      </w:r>
    </w:p>
    <w:p>
      <w:pPr>
        <w:pStyle w:val="6"/>
        <w:spacing w:before="72" w:line="304" w:lineRule="auto"/>
        <w:ind w:left="322" w:right="662" w:firstLine="400"/>
      </w:pPr>
      <w:r>
        <w:rPr>
          <w:w w:val="95"/>
        </w:rPr>
        <w:t xml:space="preserve">明细核算：该账户属于双重性质的资产类账户，下设“待处理流动资产损溢”和“待处理非流动资产损溢”   </w:t>
      </w:r>
      <w:r>
        <w:t>两个明细分类账户进行明细分类核算。</w:t>
      </w:r>
    </w:p>
    <w:p>
      <w:pPr>
        <w:spacing w:after="0" w:line="304" w:lineRule="auto"/>
        <w:sectPr>
          <w:pgSz w:w="11910" w:h="16160"/>
          <w:pgMar w:top="1680" w:right="360" w:bottom="860" w:left="760" w:header="0" w:footer="584" w:gutter="0"/>
        </w:sectPr>
      </w:pPr>
    </w:p>
    <w:p>
      <w:pPr>
        <w:pStyle w:val="6"/>
        <w:spacing w:before="11"/>
        <w:ind w:left="0"/>
        <w:rPr>
          <w:sz w:val="13"/>
        </w:rPr>
      </w:pPr>
    </w:p>
    <w:p>
      <w:pPr>
        <w:spacing w:before="71" w:line="304" w:lineRule="auto"/>
        <w:ind w:left="322" w:right="725" w:firstLine="400"/>
        <w:jc w:val="left"/>
        <w:rPr>
          <w:sz w:val="20"/>
        </w:rPr>
      </w:pPr>
      <w:r>
        <mc:AlternateContent>
          <mc:Choice Requires="wps">
            <w:drawing>
              <wp:anchor distT="0" distB="0" distL="114300" distR="114300" simplePos="0" relativeHeight="482417664" behindDoc="1" locked="0" layoutInCell="1" allowOverlap="1">
                <wp:simplePos x="0" y="0"/>
                <wp:positionH relativeFrom="page">
                  <wp:posOffset>1068705</wp:posOffset>
                </wp:positionH>
                <wp:positionV relativeFrom="paragraph">
                  <wp:posOffset>183515</wp:posOffset>
                </wp:positionV>
                <wp:extent cx="251460" cy="5715"/>
                <wp:effectExtent l="0" t="0" r="0" b="0"/>
                <wp:wrapNone/>
                <wp:docPr id="262" name="任意多边形 12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7" o:spid="_x0000_s1026" o:spt="100" style="position:absolute;left:0pt;margin-left:84.15pt;margin-top:14.45pt;height:0.45pt;width:19.8pt;mso-position-horizontal-relative:page;z-index:-20898816;mso-width-relative:page;mso-height-relative:page;" filled="f" stroked="t" coordsize="396,9" o:gfxdata="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k&#10;5dsl2AAAAAkBAAAPAAAAAAAAAAEAIAAAACIAAABkcnMvZG93bnJldi54bWxQSwECFAAUAAAACACH&#10;TuJAs5XLjJYCAABX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17664" behindDoc="1" locked="0" layoutInCell="1" allowOverlap="1">
                <wp:simplePos x="0" y="0"/>
                <wp:positionH relativeFrom="page">
                  <wp:posOffset>687705</wp:posOffset>
                </wp:positionH>
                <wp:positionV relativeFrom="paragraph">
                  <wp:posOffset>390525</wp:posOffset>
                </wp:positionV>
                <wp:extent cx="251460" cy="5715"/>
                <wp:effectExtent l="0" t="0" r="0" b="0"/>
                <wp:wrapNone/>
                <wp:docPr id="261" name="任意多边形 12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8" o:spid="_x0000_s1026" o:spt="100" style="position:absolute;left:0pt;margin-left:54.15pt;margin-top:30.75pt;height:0.45pt;width:19.8pt;mso-position-horizontal-relative:page;z-index:-20898816;mso-width-relative:page;mso-height-relative:page;" filled="f" stroked="t" coordsize="396,9" o:gfxdata="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Hc&#10;hGLZAAAACQEAAA8AAAAAAAAAAQAgAAAAIgAAAGRycy9kb3ducmV2LnhtbFBLAQIUABQAAAAIAIdO&#10;4kBbEYVw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18688" behindDoc="1" locked="0" layoutInCell="1" allowOverlap="1">
                <wp:simplePos x="0" y="0"/>
                <wp:positionH relativeFrom="page">
                  <wp:posOffset>2719705</wp:posOffset>
                </wp:positionH>
                <wp:positionV relativeFrom="paragraph">
                  <wp:posOffset>390525</wp:posOffset>
                </wp:positionV>
                <wp:extent cx="502920" cy="5715"/>
                <wp:effectExtent l="0" t="0" r="0" b="0"/>
                <wp:wrapNone/>
                <wp:docPr id="263" name="任意多边形 129"/>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29" o:spid="_x0000_s1026" o:spt="100" style="position:absolute;left:0pt;margin-left:214.15pt;margin-top:30.75pt;height:0.45pt;width:39.6pt;mso-position-horizontal-relative:page;z-index:-20897792;mso-width-relative:page;mso-height-relative:page;" filled="f" stroked="t" coordsize="792,9" o:gfxdata="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6DlsvtcAAAAJAQAADwAAAAAAAAABACAAAAAiAAAAZHJz&#10;L2Rvd25yZXYueG1sUEsBAhQAFAAAAAgAh07iQP48TqrpAgAAmwoAAA4AAAAAAAAAAQAgAAAAJgEA&#10;AGRycy9lMm9Eb2MueG1sUEsFBgAAAAAGAAYAWQEAAIE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sz w:val="20"/>
        </w:rPr>
        <w:t>【</w:t>
      </w:r>
      <w:r>
        <w:rPr>
          <w:b/>
          <w:color w:val="00AFEF"/>
          <w:w w:val="95"/>
          <w:sz w:val="20"/>
        </w:rPr>
        <w:t>提示</w:t>
      </w:r>
      <w:r>
        <w:rPr>
          <w:spacing w:val="-4"/>
          <w:w w:val="95"/>
          <w:sz w:val="20"/>
        </w:rPr>
        <w:t>】并不是所有资产的盘盈盘亏都通过“</w:t>
      </w:r>
      <w:r>
        <w:rPr>
          <w:b/>
          <w:color w:val="00AFEF"/>
          <w:w w:val="95"/>
          <w:sz w:val="20"/>
          <w:u w:val="single" w:color="00AFEF"/>
        </w:rPr>
        <w:t>待处理财产损溢</w:t>
      </w:r>
      <w:r>
        <w:rPr>
          <w:spacing w:val="-7"/>
          <w:w w:val="95"/>
          <w:sz w:val="20"/>
        </w:rPr>
        <w:t>”核算，如固定资产盘盈通过“</w:t>
      </w:r>
      <w:r>
        <w:rPr>
          <w:b/>
          <w:color w:val="00AFEF"/>
          <w:w w:val="95"/>
          <w:sz w:val="20"/>
          <w:u w:val="single" w:color="00AFEF"/>
        </w:rPr>
        <w:t xml:space="preserve">以前年度损益   </w:t>
      </w:r>
      <w:r>
        <w:rPr>
          <w:b/>
          <w:color w:val="00AFEF"/>
          <w:sz w:val="20"/>
        </w:rPr>
        <w:t>调整</w:t>
      </w:r>
      <w:r>
        <w:rPr>
          <w:sz w:val="20"/>
        </w:rPr>
        <w:t>”核算，应收账款的盘亏通过“</w:t>
      </w:r>
      <w:r>
        <w:rPr>
          <w:b/>
          <w:color w:val="00AFEF"/>
          <w:sz w:val="20"/>
        </w:rPr>
        <w:t>坏账准备</w:t>
      </w:r>
      <w:r>
        <w:rPr>
          <w:sz w:val="20"/>
        </w:rPr>
        <w:t>”核算，无法偿付的应付账款转入营业外收入。</w:t>
      </w:r>
    </w:p>
    <w:p>
      <w:pPr>
        <w:pStyle w:val="5"/>
        <w:numPr>
          <w:ilvl w:val="0"/>
          <w:numId w:val="47"/>
        </w:numPr>
        <w:tabs>
          <w:tab w:val="left" w:pos="925"/>
        </w:tabs>
        <w:spacing w:before="2" w:after="0" w:line="240" w:lineRule="auto"/>
        <w:ind w:left="924" w:right="0" w:hanging="202"/>
        <w:jc w:val="left"/>
      </w:pPr>
      <w:r>
        <w:t>账务处理</w:t>
      </w:r>
    </w:p>
    <w:p>
      <w:pPr>
        <w:pStyle w:val="6"/>
        <w:tabs>
          <w:tab w:val="left" w:pos="5823"/>
        </w:tabs>
      </w:pPr>
      <w:r>
        <w:t>（1）盘盈</w:t>
      </w:r>
      <w:r>
        <w:tab/>
      </w:r>
      <w:r>
        <w:t>（2）盘亏</w:t>
      </w:r>
    </w:p>
    <w:p>
      <w:pPr>
        <w:pStyle w:val="6"/>
        <w:tabs>
          <w:tab w:val="left" w:pos="5923"/>
        </w:tabs>
      </w:pPr>
      <w:r>
        <w:t>①发生盘盈：</w:t>
      </w:r>
      <w:r>
        <w:tab/>
      </w:r>
      <w:r>
        <w:t>①发生盘亏：</w:t>
      </w:r>
    </w:p>
    <w:p>
      <w:pPr>
        <w:pStyle w:val="6"/>
        <w:tabs>
          <w:tab w:val="left" w:pos="6123"/>
          <w:tab w:val="left" w:pos="6523"/>
        </w:tabs>
        <w:spacing w:before="68" w:line="304" w:lineRule="auto"/>
        <w:ind w:left="1323" w:right="861" w:hanging="600"/>
      </w:pPr>
      <w:r>
        <w:t>借：库存现金</w:t>
      </w:r>
      <w:r>
        <w:tab/>
      </w:r>
      <w:r>
        <w:t>借：待处理财产损溢—待处理流动资产损</w:t>
      </w:r>
      <w:r>
        <w:rPr>
          <w:spacing w:val="-11"/>
        </w:rPr>
        <w:t>溢</w:t>
      </w:r>
      <w:r>
        <w:t>贷：待处理财产损溢—待处理流动资产损溢</w:t>
      </w:r>
      <w:r>
        <w:tab/>
      </w:r>
      <w:r>
        <w:tab/>
      </w:r>
      <w:r>
        <w:t>贷：库存现金</w:t>
      </w:r>
    </w:p>
    <w:p>
      <w:pPr>
        <w:pStyle w:val="6"/>
        <w:tabs>
          <w:tab w:val="left" w:pos="5923"/>
        </w:tabs>
        <w:spacing w:before="2"/>
      </w:pPr>
      <w:r>
        <w:t>②经批准处理：</w:t>
      </w:r>
      <w:r>
        <w:tab/>
      </w:r>
      <w:r>
        <w:t>②经批准处理：</w:t>
      </w:r>
    </w:p>
    <w:p>
      <w:pPr>
        <w:pStyle w:val="6"/>
        <w:tabs>
          <w:tab w:val="left" w:pos="6123"/>
          <w:tab w:val="left" w:pos="6523"/>
        </w:tabs>
        <w:spacing w:line="304" w:lineRule="auto"/>
        <w:ind w:left="1123" w:right="1862" w:hanging="401"/>
      </w:pPr>
      <w:r>
        <w:t>借：待处理财产损溢—待处理流动资产损溢</w:t>
      </w:r>
      <w:r>
        <w:tab/>
      </w:r>
      <w:r>
        <w:t>借：管理费用（</w:t>
      </w:r>
      <w:r>
        <w:rPr>
          <w:color w:val="FF0000"/>
          <w:u w:val="double" w:color="FF0000"/>
        </w:rPr>
        <w:t>无法查明原因</w:t>
      </w:r>
      <w:r>
        <w:rPr>
          <w:spacing w:val="-13"/>
        </w:rPr>
        <w:t xml:space="preserve">） </w:t>
      </w:r>
      <w:r>
        <w:t>贷：营业外收入（</w:t>
      </w:r>
      <w:r>
        <w:rPr>
          <w:color w:val="FF0000"/>
          <w:u w:val="double" w:color="FF0000"/>
        </w:rPr>
        <w:t>无法查明原因</w:t>
      </w:r>
      <w:r>
        <w:t>）</w:t>
      </w:r>
      <w:r>
        <w:tab/>
      </w:r>
      <w:r>
        <w:tab/>
      </w:r>
      <w:r>
        <w:t>其他应收款（赔偿）</w:t>
      </w:r>
    </w:p>
    <w:p>
      <w:pPr>
        <w:pStyle w:val="6"/>
        <w:tabs>
          <w:tab w:val="left" w:pos="6463"/>
        </w:tabs>
        <w:spacing w:before="2" w:line="302" w:lineRule="auto"/>
        <w:ind w:left="9862" w:right="722" w:hanging="8300"/>
      </w:pPr>
      <w:r>
        <w:t>其他应付款（应付未付）</w:t>
      </w:r>
      <w:r>
        <w:tab/>
      </w:r>
      <w:r>
        <w:t>贷：待处理财产损溢—待处理流动资产损溢</w:t>
      </w:r>
    </w:p>
    <w:p>
      <w:pPr>
        <w:spacing w:before="0" w:line="226" w:lineRule="exact"/>
        <w:ind w:left="742" w:right="0" w:firstLine="0"/>
        <w:jc w:val="left"/>
        <w:rPr>
          <w:b/>
          <w:sz w:val="21"/>
        </w:rPr>
      </w:pPr>
      <w:bookmarkStart w:id="38" w:name="二、银行存款"/>
      <w:bookmarkEnd w:id="38"/>
      <w:r>
        <w:rPr>
          <w:b/>
          <w:sz w:val="21"/>
          <w:shd w:val="clear" w:color="auto" w:fill="C0C0C0"/>
        </w:rPr>
        <w:t>二、银行存款</w:t>
      </w:r>
    </w:p>
    <w:p>
      <w:pPr>
        <w:pStyle w:val="5"/>
        <w:spacing w:before="91"/>
      </w:pPr>
      <w:r>
        <w:t>（一）银行存款的账务处理</w:t>
      </w:r>
    </w:p>
    <w:p>
      <w:pPr>
        <w:pStyle w:val="6"/>
        <w:spacing w:line="304" w:lineRule="auto"/>
        <w:ind w:left="322" w:right="722" w:firstLine="400"/>
        <w:jc w:val="both"/>
      </w:pPr>
      <w:r>
        <mc:AlternateContent>
          <mc:Choice Requires="wps">
            <w:drawing>
              <wp:anchor distT="0" distB="0" distL="114300" distR="114300" simplePos="0" relativeHeight="482418688" behindDoc="1" locked="0" layoutInCell="1" allowOverlap="1">
                <wp:simplePos x="0" y="0"/>
                <wp:positionH relativeFrom="page">
                  <wp:posOffset>941705</wp:posOffset>
                </wp:positionH>
                <wp:positionV relativeFrom="paragraph">
                  <wp:posOffset>597535</wp:posOffset>
                </wp:positionV>
                <wp:extent cx="502920" cy="5715"/>
                <wp:effectExtent l="0" t="0" r="0" b="0"/>
                <wp:wrapNone/>
                <wp:docPr id="264" name="任意多边形 130"/>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0" o:spid="_x0000_s1026" o:spt="100" style="position:absolute;left:0pt;margin-left:74.15pt;margin-top:47.05pt;height:0.45pt;width:39.6pt;mso-position-horizontal-relative:page;z-index:-20897792;mso-width-relative:page;mso-height-relative:page;" filled="f" stroked="t" coordsize="792,9" o:gfxdata="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0WeaMtcAAAAJAQAADwAAAAAAAAABACAAAAAi&#10;AAAAZHJzL2Rvd25yZXYueG1sUEsBAhQAFAAAAAgAh07iQJu6XzzvAgAAmwoAAA4AAAAAAAAAAQAg&#10;AAAAJg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企业应当设置</w:t>
      </w:r>
      <w:r>
        <w:rPr>
          <w:color w:val="FF0000"/>
          <w:w w:val="95"/>
          <w:u w:val="double" w:color="FF0000"/>
        </w:rPr>
        <w:t>银行存款总账和银行存款日记账</w:t>
      </w:r>
      <w:r>
        <w:rPr>
          <w:spacing w:val="-7"/>
          <w:w w:val="95"/>
        </w:rPr>
        <w:t>，分别进行银行存款的总分类核算和明细分类核算。企业可按</w:t>
      </w:r>
      <w:r>
        <w:rPr>
          <w:spacing w:val="1"/>
          <w:w w:val="99"/>
        </w:rPr>
        <w:t>开户</w:t>
      </w:r>
      <w:r>
        <w:rPr>
          <w:spacing w:val="-4"/>
          <w:w w:val="99"/>
        </w:rPr>
        <w:t>银行和其他金融机构、存款种类等设置“银行存款日记账”，根据收付款凭证，按照业务的发生顺序逐笔登</w:t>
      </w:r>
      <w:r>
        <w:t>记。</w:t>
      </w:r>
      <w:r>
        <w:rPr>
          <w:b/>
          <w:color w:val="00AFEF"/>
        </w:rPr>
        <w:t>每日终了</w:t>
      </w:r>
      <w:r>
        <w:t>，应结出余额。</w:t>
      </w:r>
    </w:p>
    <w:p>
      <w:pPr>
        <w:pStyle w:val="5"/>
        <w:spacing w:before="3"/>
      </w:pPr>
      <w:r>
        <w:t>（二）银行存款的核对</w:t>
      </w:r>
    </w:p>
    <w:p>
      <w:pPr>
        <w:pStyle w:val="6"/>
        <w:spacing w:before="68" w:line="304" w:lineRule="auto"/>
        <w:ind w:left="322" w:right="720" w:firstLine="400"/>
        <w:jc w:val="both"/>
      </w:pPr>
      <w:r>
        <w:rPr>
          <w:spacing w:val="-3"/>
          <w:w w:val="95"/>
        </w:rPr>
        <w:t>“银行存款日记账”应定期与“</w:t>
      </w:r>
      <w:r>
        <w:rPr>
          <w:color w:val="FF0000"/>
          <w:w w:val="95"/>
          <w:u w:val="double" w:color="FF0000"/>
        </w:rPr>
        <w:t>银行对账单</w:t>
      </w:r>
      <w:r>
        <w:rPr>
          <w:spacing w:val="-6"/>
          <w:w w:val="95"/>
        </w:rPr>
        <w:t>”核对，</w:t>
      </w:r>
      <w:r>
        <w:rPr>
          <w:color w:val="FF0000"/>
          <w:w w:val="95"/>
          <w:u w:val="double" w:color="FF0000"/>
        </w:rPr>
        <w:t>至少每月核对一次</w:t>
      </w:r>
      <w:r>
        <w:rPr>
          <w:spacing w:val="-3"/>
          <w:w w:val="95"/>
        </w:rPr>
        <w:t xml:space="preserve">。企业银行存款账面余额与银行对账   </w:t>
      </w:r>
      <w:r>
        <w:rPr>
          <w:spacing w:val="-9"/>
          <w:w w:val="95"/>
        </w:rPr>
        <w:t xml:space="preserve">单余额之间如有差额，应编制“银行存款余额调节表”调节，如没有记账错误，调节后的双方余额应相等。银行    </w:t>
      </w:r>
      <w:r>
        <w:rPr>
          <w:spacing w:val="-9"/>
        </w:rPr>
        <w:t>存款余额调节表只是为了核对账目，</w:t>
      </w:r>
      <w:r>
        <w:rPr>
          <w:color w:val="FF0000"/>
          <w:spacing w:val="-9"/>
          <w:u w:val="double" w:color="FF0000"/>
        </w:rPr>
        <w:t>不能作为调整银行存款账面余额的记账依据</w:t>
      </w:r>
      <w:r>
        <w:rPr>
          <w:spacing w:val="-9"/>
        </w:rPr>
        <w:t>。</w:t>
      </w:r>
    </w:p>
    <w:p>
      <w:pPr>
        <w:pStyle w:val="6"/>
        <w:spacing w:before="3"/>
        <w:ind w:left="0"/>
        <w:jc w:val="center"/>
      </w:pPr>
      <w:r>
        <w:t>银行存款余额调节表</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261" w:type="dxa"/>
          </w:tcPr>
          <w:p>
            <w:pPr>
              <w:pStyle w:val="14"/>
              <w:spacing w:before="69" w:line="237" w:lineRule="exact"/>
              <w:ind w:left="1228"/>
              <w:rPr>
                <w:sz w:val="20"/>
              </w:rPr>
            </w:pPr>
            <w:r>
              <w:rPr>
                <w:sz w:val="20"/>
              </w:rPr>
              <w:t>银行存款日记账（企业）</w:t>
            </w:r>
          </w:p>
        </w:tc>
        <w:tc>
          <w:tcPr>
            <w:tcW w:w="4261" w:type="dxa"/>
          </w:tcPr>
          <w:p>
            <w:pPr>
              <w:pStyle w:val="14"/>
              <w:spacing w:before="69" w:line="237" w:lineRule="exact"/>
              <w:ind w:left="1429"/>
              <w:rPr>
                <w:sz w:val="20"/>
              </w:rPr>
            </w:pPr>
            <w:r>
              <w:rPr>
                <w:sz w:val="20"/>
              </w:rPr>
              <w:t>银行对账单（银行）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261" w:type="dxa"/>
          </w:tcPr>
          <w:p>
            <w:pPr>
              <w:pStyle w:val="14"/>
              <w:spacing w:before="69" w:line="237" w:lineRule="exact"/>
              <w:ind w:left="508"/>
              <w:rPr>
                <w:sz w:val="20"/>
              </w:rPr>
            </w:pPr>
            <w:r>
              <w:rPr>
                <w:sz w:val="20"/>
              </w:rPr>
              <w:t>账面余额：</w:t>
            </w:r>
          </w:p>
        </w:tc>
        <w:tc>
          <w:tcPr>
            <w:tcW w:w="4261" w:type="dxa"/>
          </w:tcPr>
          <w:p>
            <w:pPr>
              <w:pStyle w:val="14"/>
              <w:spacing w:before="69" w:line="237" w:lineRule="exact"/>
              <w:ind w:left="507"/>
              <w:rPr>
                <w:sz w:val="20"/>
              </w:rPr>
            </w:pPr>
            <w:r>
              <w:rPr>
                <w:sz w:val="20"/>
              </w:rPr>
              <w:t>账面余额：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261" w:type="dxa"/>
          </w:tcPr>
          <w:p>
            <w:pPr>
              <w:pStyle w:val="14"/>
              <w:spacing w:before="69" w:line="237" w:lineRule="exact"/>
              <w:ind w:left="508"/>
              <w:rPr>
                <w:sz w:val="20"/>
              </w:rPr>
            </w:pPr>
            <w:r>
              <w:rPr>
                <w:sz w:val="20"/>
              </w:rPr>
              <w:t>加：银收企未收</w:t>
            </w:r>
          </w:p>
        </w:tc>
        <w:tc>
          <w:tcPr>
            <w:tcW w:w="4261" w:type="dxa"/>
          </w:tcPr>
          <w:p>
            <w:pPr>
              <w:pStyle w:val="14"/>
              <w:spacing w:before="69" w:line="237" w:lineRule="exact"/>
              <w:ind w:left="507"/>
              <w:rPr>
                <w:sz w:val="20"/>
              </w:rPr>
            </w:pPr>
            <w:r>
              <w:rPr>
                <w:sz w:val="20"/>
              </w:rPr>
              <w:t>加：企收银未收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261" w:type="dxa"/>
          </w:tcPr>
          <w:p>
            <w:pPr>
              <w:pStyle w:val="14"/>
              <w:spacing w:before="69" w:line="237" w:lineRule="exact"/>
              <w:ind w:left="508"/>
              <w:rPr>
                <w:sz w:val="20"/>
              </w:rPr>
            </w:pPr>
            <w:r>
              <w:rPr>
                <w:sz w:val="20"/>
              </w:rPr>
              <w:t>减：银付企未付</w:t>
            </w:r>
          </w:p>
        </w:tc>
        <w:tc>
          <w:tcPr>
            <w:tcW w:w="4261" w:type="dxa"/>
          </w:tcPr>
          <w:p>
            <w:pPr>
              <w:pStyle w:val="14"/>
              <w:spacing w:before="69" w:line="237" w:lineRule="exact"/>
              <w:ind w:left="507"/>
              <w:rPr>
                <w:sz w:val="20"/>
              </w:rPr>
            </w:pPr>
            <w:r>
              <w:rPr>
                <w:sz w:val="20"/>
              </w:rPr>
              <w:t>减：企付银未付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261" w:type="dxa"/>
          </w:tcPr>
          <w:p>
            <w:pPr>
              <w:pStyle w:val="14"/>
              <w:spacing w:before="69" w:line="237" w:lineRule="exact"/>
              <w:ind w:left="508"/>
              <w:rPr>
                <w:sz w:val="20"/>
              </w:rPr>
            </w:pPr>
            <w:r>
              <w:rPr>
                <w:sz w:val="20"/>
              </w:rPr>
              <w:t>调整后余额：</w:t>
            </w:r>
          </w:p>
        </w:tc>
        <w:tc>
          <w:tcPr>
            <w:tcW w:w="4261" w:type="dxa"/>
          </w:tcPr>
          <w:p>
            <w:pPr>
              <w:pStyle w:val="14"/>
              <w:spacing w:before="69" w:line="237" w:lineRule="exact"/>
              <w:ind w:left="507"/>
              <w:rPr>
                <w:sz w:val="20"/>
              </w:rPr>
            </w:pPr>
            <w:r>
              <w:rPr>
                <w:sz w:val="20"/>
              </w:rPr>
              <w:t>调整后余额：</w:t>
            </w:r>
          </w:p>
        </w:tc>
      </w:tr>
    </w:tbl>
    <w:p>
      <w:pPr>
        <w:pStyle w:val="6"/>
        <w:spacing w:before="0"/>
        <w:ind w:left="743"/>
      </w:pPr>
      <w:r>
        <mc:AlternateContent>
          <mc:Choice Requires="wps">
            <w:drawing>
              <wp:inline distT="0" distB="0" distL="114300" distR="114300">
                <wp:extent cx="1070610" cy="185420"/>
                <wp:effectExtent l="0" t="0" r="15240" b="5080"/>
                <wp:docPr id="177" name="文本框 131"/>
                <wp:cNvGraphicFramePr/>
                <a:graphic xmlns:a="http://schemas.openxmlformats.org/drawingml/2006/main">
                  <a:graphicData uri="http://schemas.microsoft.com/office/word/2010/wordprocessingShape">
                    <wps:wsp>
                      <wps:cNvSpPr txBox="1"/>
                      <wps:spPr>
                        <a:xfrm>
                          <a:off x="0" y="0"/>
                          <a:ext cx="1070610" cy="185420"/>
                        </a:xfrm>
                        <a:prstGeom prst="rect">
                          <a:avLst/>
                        </a:prstGeom>
                        <a:solidFill>
                          <a:srgbClr val="C0C0C0"/>
                        </a:solidFill>
                        <a:ln>
                          <a:noFill/>
                        </a:ln>
                      </wps:spPr>
                      <wps:txbx>
                        <w:txbxContent>
                          <w:p>
                            <w:pPr>
                              <w:spacing w:before="21"/>
                              <w:ind w:left="-1" w:right="0" w:firstLine="0"/>
                              <w:jc w:val="left"/>
                              <w:rPr>
                                <w:b/>
                                <w:sz w:val="21"/>
                              </w:rPr>
                            </w:pPr>
                            <w:bookmarkStart w:id="180" w:name="三、其他货币资金"/>
                            <w:bookmarkEnd w:id="180"/>
                            <w:r>
                              <w:rPr>
                                <w:b/>
                                <w:sz w:val="21"/>
                              </w:rPr>
                              <w:t>三、其他货币资金</w:t>
                            </w:r>
                          </w:p>
                        </w:txbxContent>
                      </wps:txbx>
                      <wps:bodyPr lIns="0" tIns="0" rIns="0" bIns="0" upright="1"/>
                    </wps:wsp>
                  </a:graphicData>
                </a:graphic>
              </wp:inline>
            </w:drawing>
          </mc:Choice>
          <mc:Fallback>
            <w:pict>
              <v:shape id="文本框 131" o:spid="_x0000_s1026" o:spt="202" type="#_x0000_t202" style="height:14.6pt;width:84.3pt;" fillcolor="#C0C0C0" filled="t" stroked="f" coordsize="21600,21600" o:gfxdata="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hv38XUAAAABAEAAA8AAAAAAAAAAQAgAAAAIgAAAGRycy9kb3ducmV2LnhtbFBLAQIUABQAAAAI&#10;AIdO4kCISZs5uAEAAFEDAAAOAAAAAAAAAAEAIAAAACMBAABkcnMvZTJvRG9jLnhtbFBLBQYAAAAA&#10;BgAGAFkBAABNBQAAAAA=&#10;">
                <v:fill on="t" focussize="0,0"/>
                <v:stroke on="f"/>
                <v:imagedata o:title=""/>
                <o:lock v:ext="edit" aspectratio="f"/>
                <v:textbox inset="0mm,0mm,0mm,0mm">
                  <w:txbxContent>
                    <w:p>
                      <w:pPr>
                        <w:spacing w:before="21"/>
                        <w:ind w:left="-1" w:right="0" w:firstLine="0"/>
                        <w:jc w:val="left"/>
                        <w:rPr>
                          <w:b/>
                          <w:sz w:val="21"/>
                        </w:rPr>
                      </w:pPr>
                      <w:bookmarkStart w:id="180" w:name="三、其他货币资金"/>
                      <w:bookmarkEnd w:id="180"/>
                      <w:r>
                        <w:rPr>
                          <w:b/>
                          <w:sz w:val="21"/>
                        </w:rPr>
                        <w:t>三、其他货币资金</w:t>
                      </w:r>
                    </w:p>
                  </w:txbxContent>
                </v:textbox>
                <w10:wrap type="none"/>
                <w10:anchorlock/>
              </v:shape>
            </w:pict>
          </mc:Fallback>
        </mc:AlternateContent>
      </w:r>
    </w:p>
    <w:p>
      <w:pPr>
        <w:pStyle w:val="5"/>
        <w:spacing w:before="66"/>
      </w:pPr>
      <w:r>
        <w:t>（一）其他货币资金的内容</w:t>
      </w:r>
    </w:p>
    <w:p>
      <w:pPr>
        <w:pStyle w:val="6"/>
        <w:spacing w:line="304" w:lineRule="auto"/>
        <w:ind w:left="322" w:right="720" w:firstLine="400"/>
      </w:pPr>
      <w:r>
        <w:rPr>
          <w:spacing w:val="-3"/>
          <w:w w:val="95"/>
        </w:rPr>
        <w:t>其他货币资金是指企业除了库存现金、银行存款以外的其他各种货币资金，主要包括</w:t>
      </w:r>
      <w:r>
        <w:rPr>
          <w:color w:val="FF0000"/>
          <w:spacing w:val="-3"/>
          <w:w w:val="95"/>
          <w:u w:val="double" w:color="FF0000"/>
        </w:rPr>
        <w:t>银行汇票存款、银行本</w:t>
      </w:r>
      <w:r>
        <w:rPr>
          <w:color w:val="FF0000"/>
          <w:spacing w:val="-199"/>
          <w:w w:val="95"/>
          <w:u w:val="double" w:color="FF0000"/>
        </w:rPr>
        <w:t>票</w:t>
      </w:r>
      <w:r>
        <w:rPr>
          <w:color w:val="FF0000"/>
          <w:spacing w:val="190"/>
          <w:w w:val="95"/>
          <w:u w:val="double" w:color="FF0000"/>
        </w:rPr>
        <w:t xml:space="preserve"> </w:t>
      </w:r>
      <w:r>
        <w:rPr>
          <w:color w:val="FF0000"/>
          <w:u w:val="double" w:color="FF0000"/>
        </w:rPr>
        <w:t>存款、信用卡存款、信用证保证金存款、存出投资款和外埠存款</w:t>
      </w:r>
      <w:r>
        <w:t>等。</w:t>
      </w:r>
    </w:p>
    <w:p>
      <w:pPr>
        <w:pStyle w:val="5"/>
        <w:spacing w:before="0" w:line="256" w:lineRule="exact"/>
      </w:pPr>
      <w:r>
        <mc:AlternateContent>
          <mc:Choice Requires="wps">
            <w:drawing>
              <wp:anchor distT="0" distB="0" distL="114300" distR="114300" simplePos="0" relativeHeight="482419712" behindDoc="1" locked="0" layoutInCell="1" allowOverlap="1">
                <wp:simplePos x="0" y="0"/>
                <wp:positionH relativeFrom="page">
                  <wp:posOffset>1068705</wp:posOffset>
                </wp:positionH>
                <wp:positionV relativeFrom="paragraph">
                  <wp:posOffset>345440</wp:posOffset>
                </wp:positionV>
                <wp:extent cx="251460" cy="5715"/>
                <wp:effectExtent l="0" t="0" r="0" b="0"/>
                <wp:wrapNone/>
                <wp:docPr id="266" name="任意多边形 13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2" o:spid="_x0000_s1026" o:spt="100" style="position:absolute;left:0pt;margin-left:84.15pt;margin-top:27.2pt;height:0.45pt;width:19.8pt;mso-position-horizontal-relative:page;z-index:-20896768;mso-width-relative:page;mso-height-relative:page;" filled="f" stroked="t" coordsize="396,9" o:gfxdata="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6&#10;/tBM2gAAAAkBAAAPAAAAAAAAAAEAIAAAACIAAABkcnMvZG93bnJldi54bWxQSwECFAAUAAAACACH&#10;TuJAN7FyBpQCAABXBwAADgAAAAAAAAABACAAAAAp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19712" behindDoc="1" locked="0" layoutInCell="1" allowOverlap="1">
                <wp:simplePos x="0" y="0"/>
                <wp:positionH relativeFrom="page">
                  <wp:posOffset>2910205</wp:posOffset>
                </wp:positionH>
                <wp:positionV relativeFrom="paragraph">
                  <wp:posOffset>345440</wp:posOffset>
                </wp:positionV>
                <wp:extent cx="251460" cy="5715"/>
                <wp:effectExtent l="0" t="0" r="0" b="0"/>
                <wp:wrapNone/>
                <wp:docPr id="265" name="任意多边形 13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3" o:spid="_x0000_s1026" o:spt="100" style="position:absolute;left:0pt;margin-left:229.15pt;margin-top:27.2pt;height:0.45pt;width:19.8pt;mso-position-horizontal-relative:page;z-index:-20896768;mso-width-relative:page;mso-height-relative:page;" filled="f" stroked="t" coordsize="396,9" o:gfxdata="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iST/n9oAAAAJAQAADwAAAAAAAAABACAAAAAiAAAAZHJzL2Rvd25yZXYueG1sUEsBAhQAFAAAAAgA&#10;h07iQCEFotuVAgAAVwcAAA4AAAAAAAAAAQAgAAAAKQ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20736" behindDoc="1" locked="0" layoutInCell="1" allowOverlap="1">
                <wp:simplePos x="0" y="0"/>
                <wp:positionH relativeFrom="page">
                  <wp:posOffset>5514975</wp:posOffset>
                </wp:positionH>
                <wp:positionV relativeFrom="paragraph">
                  <wp:posOffset>345440</wp:posOffset>
                </wp:positionV>
                <wp:extent cx="502920" cy="5715"/>
                <wp:effectExtent l="0" t="0" r="0" b="0"/>
                <wp:wrapNone/>
                <wp:docPr id="267" name="任意多边形 134"/>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4" o:spid="_x0000_s1026" o:spt="100" style="position:absolute;left:0pt;margin-left:434.25pt;margin-top:27.2pt;height:0.45pt;width:39.6pt;mso-position-horizontal-relative:page;z-index:-20895744;mso-width-relative:page;mso-height-relative:page;" filled="f" stroked="t" coordsize="792,9" o:gfxdata="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zUCoQNgAAAAJAQAADwAAAAAAAAABACAAAAAi&#10;AAAAZHJzL2Rvd25yZXYueG1sUEsBAhQAFAAAAAgAh07iQHVLLJ7uAgAAmwoAAA4AAAAAAAAAAQAg&#10;AAAAJw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t>（二）其他货币资金的账务处理</w:t>
      </w:r>
    </w:p>
    <w:p>
      <w:pPr>
        <w:pStyle w:val="6"/>
        <w:spacing w:before="9"/>
        <w:ind w:left="0"/>
        <w:rPr>
          <w:b/>
          <w:sz w:val="7"/>
        </w:rPr>
      </w:pPr>
    </w:p>
    <w:tbl>
      <w:tblPr>
        <w:tblStyle w:val="10"/>
        <w:tblW w:w="0" w:type="auto"/>
        <w:tblInd w:w="6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50"/>
        <w:gridCol w:w="4300"/>
        <w:gridCol w:w="21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2" w:hRule="atLeast"/>
        </w:trPr>
        <w:tc>
          <w:tcPr>
            <w:tcW w:w="2450" w:type="dxa"/>
          </w:tcPr>
          <w:p>
            <w:pPr>
              <w:pStyle w:val="14"/>
              <w:spacing w:line="227" w:lineRule="exact"/>
              <w:ind w:left="50"/>
              <w:rPr>
                <w:b/>
                <w:sz w:val="20"/>
              </w:rPr>
            </w:pPr>
            <w:r>
              <w:rPr>
                <w:sz w:val="20"/>
              </w:rPr>
              <w:t>1.</w:t>
            </w:r>
            <w:r>
              <w:rPr>
                <w:b/>
                <w:color w:val="00AFEF"/>
                <w:sz w:val="20"/>
              </w:rPr>
              <w:t>存入</w:t>
            </w:r>
          </w:p>
        </w:tc>
        <w:tc>
          <w:tcPr>
            <w:tcW w:w="4300" w:type="dxa"/>
          </w:tcPr>
          <w:p>
            <w:pPr>
              <w:pStyle w:val="14"/>
              <w:spacing w:line="227" w:lineRule="exact"/>
              <w:ind w:left="501"/>
              <w:rPr>
                <w:b/>
                <w:sz w:val="20"/>
              </w:rPr>
            </w:pPr>
            <w:r>
              <w:rPr>
                <w:sz w:val="20"/>
              </w:rPr>
              <w:t>2.</w:t>
            </w:r>
            <w:r>
              <w:rPr>
                <w:b/>
                <w:color w:val="00AFEF"/>
                <w:sz w:val="20"/>
              </w:rPr>
              <w:t>使用</w:t>
            </w:r>
          </w:p>
        </w:tc>
        <w:tc>
          <w:tcPr>
            <w:tcW w:w="2149" w:type="dxa"/>
          </w:tcPr>
          <w:p>
            <w:pPr>
              <w:pStyle w:val="14"/>
              <w:spacing w:line="227" w:lineRule="exact"/>
              <w:ind w:left="303"/>
              <w:rPr>
                <w:b/>
                <w:sz w:val="20"/>
              </w:rPr>
            </w:pPr>
            <w:r>
              <w:rPr>
                <w:sz w:val="20"/>
              </w:rPr>
              <w:t>3.</w:t>
            </w:r>
            <w:r>
              <w:rPr>
                <w:b/>
                <w:color w:val="00AFEF"/>
                <w:sz w:val="20"/>
              </w:rPr>
              <w:t>余款转回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6" w:hRule="atLeast"/>
        </w:trPr>
        <w:tc>
          <w:tcPr>
            <w:tcW w:w="2450" w:type="dxa"/>
          </w:tcPr>
          <w:p>
            <w:pPr>
              <w:pStyle w:val="14"/>
              <w:spacing w:before="34"/>
              <w:ind w:left="50"/>
              <w:rPr>
                <w:sz w:val="20"/>
              </w:rPr>
            </w:pPr>
            <w:r>
              <w:rPr>
                <w:sz w:val="20"/>
              </w:rPr>
              <w:t>借：其他货币资金</w:t>
            </w:r>
          </w:p>
        </w:tc>
        <w:tc>
          <w:tcPr>
            <w:tcW w:w="4300" w:type="dxa"/>
          </w:tcPr>
          <w:p>
            <w:pPr>
              <w:pStyle w:val="14"/>
              <w:spacing w:before="34"/>
              <w:ind w:left="499"/>
              <w:rPr>
                <w:sz w:val="20"/>
              </w:rPr>
            </w:pPr>
            <w:r>
              <w:rPr>
                <w:sz w:val="20"/>
              </w:rPr>
              <w:t>借：原材料等</w:t>
            </w:r>
          </w:p>
        </w:tc>
        <w:tc>
          <w:tcPr>
            <w:tcW w:w="2149" w:type="dxa"/>
          </w:tcPr>
          <w:p>
            <w:pPr>
              <w:pStyle w:val="14"/>
              <w:spacing w:before="34"/>
              <w:ind w:left="300"/>
              <w:rPr>
                <w:sz w:val="20"/>
              </w:rPr>
            </w:pPr>
            <w:r>
              <w:rPr>
                <w:sz w:val="20"/>
              </w:rPr>
              <w:t>借：银行存款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2" w:hRule="atLeast"/>
        </w:trPr>
        <w:tc>
          <w:tcPr>
            <w:tcW w:w="2450" w:type="dxa"/>
          </w:tcPr>
          <w:p>
            <w:pPr>
              <w:pStyle w:val="14"/>
              <w:spacing w:before="34" w:line="208" w:lineRule="exact"/>
              <w:ind w:left="750"/>
              <w:rPr>
                <w:sz w:val="20"/>
              </w:rPr>
            </w:pPr>
            <w:r>
              <w:rPr>
                <w:sz w:val="20"/>
              </w:rPr>
              <w:t>贷：银行存款</w:t>
            </w:r>
          </w:p>
        </w:tc>
        <w:tc>
          <w:tcPr>
            <w:tcW w:w="4300" w:type="dxa"/>
          </w:tcPr>
          <w:p>
            <w:pPr>
              <w:pStyle w:val="14"/>
              <w:spacing w:before="34" w:line="208" w:lineRule="exact"/>
              <w:ind w:left="799"/>
              <w:rPr>
                <w:sz w:val="20"/>
              </w:rPr>
            </w:pPr>
            <w:r>
              <w:rPr>
                <w:sz w:val="20"/>
              </w:rPr>
              <w:t>应交税费—应交增值税（进项税额）</w:t>
            </w:r>
          </w:p>
        </w:tc>
        <w:tc>
          <w:tcPr>
            <w:tcW w:w="2149" w:type="dxa"/>
          </w:tcPr>
          <w:p>
            <w:pPr>
              <w:pStyle w:val="14"/>
              <w:spacing w:before="34" w:line="208" w:lineRule="exact"/>
              <w:ind w:left="500"/>
              <w:rPr>
                <w:sz w:val="20"/>
              </w:rPr>
            </w:pPr>
            <w:r>
              <w:rPr>
                <w:sz w:val="20"/>
              </w:rPr>
              <w:t>贷：其他货币资金</w:t>
            </w:r>
          </w:p>
        </w:tc>
      </w:tr>
    </w:tbl>
    <w:p>
      <w:pPr>
        <w:pStyle w:val="6"/>
        <w:spacing w:before="99"/>
        <w:ind w:left="0" w:right="1537"/>
        <w:jc w:val="center"/>
      </w:pPr>
      <w:r>
        <w:t>贷：其他货币资金</w:t>
      </w:r>
    </w:p>
    <w:p>
      <w:pPr>
        <w:spacing w:after="0"/>
        <w:jc w:val="center"/>
        <w:sectPr>
          <w:pgSz w:w="11910" w:h="16160"/>
          <w:pgMar w:top="1680" w:right="360" w:bottom="860" w:left="760" w:header="0" w:footer="584" w:gutter="0"/>
        </w:sectPr>
      </w:pPr>
    </w:p>
    <w:p>
      <w:pPr>
        <w:pStyle w:val="6"/>
        <w:spacing w:before="11"/>
        <w:ind w:left="0"/>
        <w:rPr>
          <w:sz w:val="19"/>
        </w:rPr>
      </w:pPr>
    </w:p>
    <w:p>
      <w:pPr>
        <w:pStyle w:val="3"/>
        <w:tabs>
          <w:tab w:val="left" w:pos="839"/>
        </w:tabs>
        <w:spacing w:before="44"/>
        <w:ind w:left="0" w:right="399"/>
        <w:jc w:val="center"/>
        <w:rPr>
          <w:rFonts w:hint="eastAsia" w:ascii="微软雅黑" w:eastAsia="微软雅黑"/>
        </w:rPr>
      </w:pPr>
      <w:bookmarkStart w:id="39" w:name="第二节  应收及预付款项"/>
      <w:bookmarkEnd w:id="39"/>
      <w:bookmarkStart w:id="40" w:name="_bookmark10"/>
      <w:bookmarkEnd w:id="40"/>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应收及预付款项</w:t>
      </w:r>
    </w:p>
    <w:p>
      <w:pPr>
        <w:pStyle w:val="6"/>
        <w:spacing w:before="187" w:line="304" w:lineRule="auto"/>
        <w:ind w:right="1862"/>
      </w:pPr>
      <w:r>
        <mc:AlternateContent>
          <mc:Choice Requires="wps">
            <w:drawing>
              <wp:anchor distT="0" distB="0" distL="114300" distR="114300" simplePos="0" relativeHeight="482421760" behindDoc="1" locked="0" layoutInCell="1" allowOverlap="1">
                <wp:simplePos x="0" y="0"/>
                <wp:positionH relativeFrom="page">
                  <wp:posOffset>941705</wp:posOffset>
                </wp:positionH>
                <wp:positionV relativeFrom="paragraph">
                  <wp:posOffset>464185</wp:posOffset>
                </wp:positionV>
                <wp:extent cx="502920" cy="5715"/>
                <wp:effectExtent l="0" t="0" r="0" b="0"/>
                <wp:wrapNone/>
                <wp:docPr id="268" name="任意多边形 135"/>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5" o:spid="_x0000_s1026" o:spt="100" style="position:absolute;left:0pt;margin-left:74.15pt;margin-top:36.55pt;height:0.45pt;width:39.6pt;mso-position-horizontal-relative:page;z-index:-20894720;mso-width-relative:page;mso-height-relative:page;" filled="f" stroked="t" coordsize="792,9" o:gfxdata="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&#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Cgw7Gc1wAAAAkBAAAPAAAAAAAAAAEAIAAAACIAAABk&#10;cnMvZG93bnJldi54bWxQSwECFAAUAAAACACHTuJAtPA38usCAACbCgAADgAAAAAAAAABACAAAAAm&#10;AQAAZHJzL2Uyb0RvYy54bWxQSwUGAAAAAAYABgBZAQAAgw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应收及预付款项是指企业在日常生产经营过程中发生的各项债权，包括</w:t>
      </w:r>
      <w:r>
        <w:rPr>
          <w:color w:val="FF0000"/>
          <w:w w:val="95"/>
          <w:u w:val="double" w:color="FF0000"/>
        </w:rPr>
        <w:t>应收款项和预付款项</w:t>
      </w:r>
      <w:r>
        <w:rPr>
          <w:w w:val="95"/>
        </w:rPr>
        <w:t xml:space="preserve">。   </w:t>
      </w:r>
      <w:r>
        <w:rPr>
          <w:b/>
          <w:color w:val="00AFEF"/>
        </w:rPr>
        <w:t>应收款项</w:t>
      </w:r>
      <w:r>
        <w:t>包括</w:t>
      </w:r>
      <w:r>
        <w:rPr>
          <w:color w:val="FF0000"/>
          <w:u w:val="double" w:color="FF0000"/>
        </w:rPr>
        <w:t>应收票据、应收账款和其他应收款</w:t>
      </w:r>
      <w:r>
        <w:t>等；</w:t>
      </w:r>
    </w:p>
    <w:p>
      <w:pPr>
        <w:pStyle w:val="6"/>
        <w:spacing w:before="2"/>
      </w:pPr>
      <w:r>
        <mc:AlternateContent>
          <mc:Choice Requires="wps">
            <w:drawing>
              <wp:anchor distT="0" distB="0" distL="114300" distR="114300" simplePos="0" relativeHeight="15788032" behindDoc="0" locked="0" layoutInCell="1" allowOverlap="1">
                <wp:simplePos x="0" y="0"/>
                <wp:positionH relativeFrom="page">
                  <wp:posOffset>941705</wp:posOffset>
                </wp:positionH>
                <wp:positionV relativeFrom="paragraph">
                  <wp:posOffset>139065</wp:posOffset>
                </wp:positionV>
                <wp:extent cx="502920" cy="5715"/>
                <wp:effectExtent l="0" t="0" r="0" b="0"/>
                <wp:wrapNone/>
                <wp:docPr id="121" name="任意多边形 13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6" o:spid="_x0000_s1026" o:spt="100" style="position:absolute;left:0pt;margin-left:74.15pt;margin-top:10.95pt;height:0.45pt;width:39.6pt;mso-position-horizontal-relative:page;z-index:15788032;mso-width-relative:page;mso-height-relative:page;" filled="f" stroked="t" coordsize="792,9" o:gfxdata="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C1dGeDXAAAACQEAAA8AAAAAAAAAAQAgAAAAIgAAAGRy&#10;cy9kb3ducmV2LnhtbFBLAQIUABQAAAAIAIdO4kCwKLXI6gIAAJsKAAAOAAAAAAAAAAEAIAAAACYB&#10;AABkcnMvZTJvRG9jLnhtbFBLBQYAAAAABgAGAFkBAACC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rPr>
        <w:t>预付款项</w:t>
      </w:r>
      <w:r>
        <w:t>则是指企业按照合同规定预付的款项，如预付账款等。</w:t>
      </w:r>
    </w:p>
    <w:p>
      <w:pPr>
        <w:spacing w:before="22"/>
        <w:ind w:left="742" w:right="0" w:firstLine="0"/>
        <w:jc w:val="left"/>
        <w:rPr>
          <w:b/>
          <w:sz w:val="21"/>
        </w:rPr>
      </w:pPr>
      <w:bookmarkStart w:id="41" w:name="一、应收票据"/>
      <w:bookmarkEnd w:id="41"/>
      <w:r>
        <w:rPr>
          <w:b/>
          <w:sz w:val="21"/>
          <w:shd w:val="clear" w:color="auto" w:fill="C0C0C0"/>
        </w:rPr>
        <w:t>一、应收票据</w:t>
      </w:r>
    </w:p>
    <w:p>
      <w:pPr>
        <w:pStyle w:val="5"/>
        <w:spacing w:before="91"/>
      </w:pPr>
      <w:r>
        <w:t>（一）应收票据的内容</w:t>
      </w:r>
    </w:p>
    <w:p>
      <w:pPr>
        <w:pStyle w:val="6"/>
        <w:spacing w:line="302" w:lineRule="auto"/>
        <w:ind w:left="322" w:right="722" w:firstLine="400"/>
      </w:pPr>
      <w:r>
        <w:rPr>
          <w:spacing w:val="-4"/>
          <w:w w:val="95"/>
        </w:rPr>
        <w:t xml:space="preserve">应收票据是指企业因销售商品、提供劳务等而收到的商业汇票。商业汇票是一种由出票人签发的，委托付款   </w:t>
      </w:r>
      <w:r>
        <w:rPr>
          <w:spacing w:val="-4"/>
        </w:rPr>
        <w:t>人在指定日期无条件支付确定金额给收款人或者持票人的票据。</w:t>
      </w:r>
    </w:p>
    <w:p>
      <w:pPr>
        <w:spacing w:before="5"/>
        <w:ind w:left="723" w:right="0" w:firstLine="0"/>
        <w:jc w:val="left"/>
        <w:rPr>
          <w:sz w:val="20"/>
        </w:rPr>
      </w:pPr>
      <w:r>
        <mc:AlternateContent>
          <mc:Choice Requires="wps">
            <w:drawing>
              <wp:anchor distT="0" distB="0" distL="114300" distR="114300" simplePos="0" relativeHeight="15788032" behindDoc="0" locked="0" layoutInCell="1" allowOverlap="1">
                <wp:simplePos x="0" y="0"/>
                <wp:positionH relativeFrom="page">
                  <wp:posOffset>1068705</wp:posOffset>
                </wp:positionH>
                <wp:positionV relativeFrom="paragraph">
                  <wp:posOffset>141605</wp:posOffset>
                </wp:positionV>
                <wp:extent cx="251460" cy="5715"/>
                <wp:effectExtent l="0" t="0" r="0" b="0"/>
                <wp:wrapNone/>
                <wp:docPr id="122" name="任意多边形 13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7" o:spid="_x0000_s1026" o:spt="100" style="position:absolute;left:0pt;margin-left:84.15pt;margin-top:11.15pt;height:0.45pt;width:19.8pt;mso-position-horizontal-relative:page;z-index:15788032;mso-width-relative:page;mso-height-relative:page;" filled="f" stroked="t" coordsize="396,9" o:gfxdata="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q&#10;xdyI2AAAAAkBAAAPAAAAAAAAAAEAIAAAACIAAABkcnMvZG93bnJldi54bWxQSwECFAAUAAAACACH&#10;TuJAoJs4AJYCAABX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z w:val="20"/>
        </w:rPr>
        <w:t>【</w:t>
      </w:r>
      <w:r>
        <w:rPr>
          <w:b/>
          <w:color w:val="00AFEF"/>
          <w:sz w:val="20"/>
        </w:rPr>
        <w:t>提示</w:t>
      </w:r>
      <w:r>
        <w:rPr>
          <w:sz w:val="20"/>
        </w:rPr>
        <w:t>】</w:t>
      </w:r>
    </w:p>
    <w:p>
      <w:pPr>
        <w:pStyle w:val="6"/>
        <w:spacing w:line="304" w:lineRule="auto"/>
        <w:ind w:left="322" w:right="722" w:firstLine="400"/>
      </w:pPr>
      <w:r>
        <w:rPr>
          <w:spacing w:val="-2"/>
          <w:w w:val="95"/>
        </w:rPr>
        <w:t>根据承兑人的不同，</w:t>
      </w:r>
      <w:r>
        <w:rPr>
          <w:color w:val="FF0000"/>
          <w:w w:val="95"/>
          <w:u w:val="double" w:color="FF0000"/>
        </w:rPr>
        <w:t>商业汇票分为商业承兑汇票和银行承兑汇票</w:t>
      </w:r>
      <w:r>
        <w:rPr>
          <w:spacing w:val="-5"/>
          <w:w w:val="95"/>
        </w:rPr>
        <w:t>，均通过“</w:t>
      </w:r>
      <w:r>
        <w:rPr>
          <w:color w:val="FF0000"/>
          <w:w w:val="95"/>
          <w:u w:val="double" w:color="FF0000"/>
        </w:rPr>
        <w:t>应收票据</w:t>
      </w:r>
      <w:r>
        <w:rPr>
          <w:spacing w:val="-5"/>
          <w:w w:val="95"/>
        </w:rPr>
        <w:t>”科目进行核算；</w:t>
      </w:r>
      <w:r>
        <w:rPr>
          <w:color w:val="FF0000"/>
          <w:w w:val="95"/>
          <w:u w:val="double" w:color="FF0000"/>
        </w:rPr>
        <w:t>银行</w:t>
      </w:r>
      <w:r>
        <w:rPr>
          <w:color w:val="FF0000"/>
          <w:spacing w:val="-199"/>
          <w:w w:val="95"/>
          <w:u w:val="double" w:color="FF0000"/>
        </w:rPr>
        <w:t>汇</w:t>
      </w:r>
      <w:r>
        <w:rPr>
          <w:color w:val="FF0000"/>
          <w:spacing w:val="187"/>
          <w:w w:val="95"/>
          <w:u w:val="double" w:color="FF0000"/>
        </w:rPr>
        <w:t xml:space="preserve"> </w:t>
      </w:r>
      <w:r>
        <w:rPr>
          <w:color w:val="FF0000"/>
          <w:u w:val="double" w:color="FF0000"/>
        </w:rPr>
        <w:t>票和银行本票</w:t>
      </w:r>
      <w:r>
        <w:t>，通过“</w:t>
      </w:r>
      <w:r>
        <w:rPr>
          <w:color w:val="FF0000"/>
          <w:u w:val="double" w:color="FF0000"/>
        </w:rPr>
        <w:t>其他货币资金</w:t>
      </w:r>
      <w:r>
        <w:t>”科目核算。</w:t>
      </w:r>
    </w:p>
    <w:p>
      <w:pPr>
        <w:pStyle w:val="5"/>
        <w:spacing w:before="2"/>
      </w:pPr>
      <w:r>
        <w:t>（二）应收票据的核算</w:t>
      </w:r>
    </w:p>
    <w:p>
      <w:pPr>
        <w:pStyle w:val="6"/>
        <w:spacing w:line="302" w:lineRule="auto"/>
        <w:ind w:left="322" w:right="722" w:firstLine="400"/>
      </w:pPr>
      <w:r>
        <w:rPr>
          <w:w w:val="95"/>
        </w:rPr>
        <w:t>应收票据的</w:t>
      </w:r>
      <w:r>
        <w:rPr>
          <w:color w:val="FF0000"/>
          <w:w w:val="95"/>
          <w:u w:val="double" w:color="FF0000"/>
        </w:rPr>
        <w:t>借方登记面值</w:t>
      </w:r>
      <w:r>
        <w:rPr>
          <w:spacing w:val="-7"/>
          <w:w w:val="95"/>
        </w:rPr>
        <w:t xml:space="preserve">，贷方登记到期收回票款或到期前向银行贴现的应收票据的票面余额，期末余额在   </w:t>
      </w:r>
      <w:r>
        <w:rPr>
          <w:spacing w:val="-7"/>
        </w:rPr>
        <w:t>借方，反映企业持有的商业汇票的票面余额。</w:t>
      </w:r>
    </w:p>
    <w:p>
      <w:pPr>
        <w:tabs>
          <w:tab w:val="left" w:pos="5283"/>
          <w:tab w:val="left" w:pos="5623"/>
        </w:tabs>
        <w:spacing w:before="5" w:line="304" w:lineRule="auto"/>
        <w:ind w:left="723" w:right="624" w:firstLine="0"/>
        <w:jc w:val="left"/>
        <w:rPr>
          <w:sz w:val="20"/>
        </w:rPr>
      </w:pPr>
      <w:r>
        <w:rPr>
          <w:b/>
          <w:spacing w:val="-6"/>
          <w:sz w:val="20"/>
        </w:rPr>
        <w:t>（1）</w:t>
      </w:r>
      <w:r>
        <w:rPr>
          <w:b/>
          <w:sz w:val="20"/>
        </w:rPr>
        <w:t>债务人抵偿前欠货款而取得的应收票据：</w:t>
      </w:r>
      <w:r>
        <w:rPr>
          <w:b/>
          <w:sz w:val="20"/>
        </w:rPr>
        <w:tab/>
      </w:r>
      <w:r>
        <w:rPr>
          <w:b/>
          <w:spacing w:val="-6"/>
          <w:w w:val="95"/>
          <w:sz w:val="20"/>
        </w:rPr>
        <w:t>（2）</w:t>
      </w:r>
      <w:r>
        <w:rPr>
          <w:b/>
          <w:w w:val="95"/>
          <w:sz w:val="20"/>
        </w:rPr>
        <w:t>因企业销售商品等而收到开出</w:t>
      </w:r>
      <w:r>
        <w:rPr>
          <w:b/>
          <w:spacing w:val="-17"/>
          <w:w w:val="95"/>
          <w:sz w:val="20"/>
        </w:rPr>
        <w:t>、</w:t>
      </w:r>
      <w:r>
        <w:rPr>
          <w:b/>
          <w:w w:val="95"/>
          <w:sz w:val="20"/>
        </w:rPr>
        <w:t xml:space="preserve">承兑的商业汇票： </w:t>
      </w:r>
      <w:r>
        <w:rPr>
          <w:sz w:val="20"/>
        </w:rPr>
        <w:t>借：应收票据（面值）</w:t>
      </w:r>
      <w:r>
        <w:rPr>
          <w:sz w:val="20"/>
        </w:rPr>
        <w:tab/>
      </w:r>
      <w:r>
        <w:rPr>
          <w:sz w:val="20"/>
        </w:rPr>
        <w:tab/>
      </w:r>
      <w:r>
        <w:rPr>
          <w:sz w:val="20"/>
        </w:rPr>
        <w:t>借：应收票据（面值）</w:t>
      </w:r>
    </w:p>
    <w:p>
      <w:pPr>
        <w:pStyle w:val="6"/>
        <w:tabs>
          <w:tab w:val="left" w:pos="6022"/>
        </w:tabs>
        <w:spacing w:before="2"/>
        <w:ind w:left="1323"/>
      </w:pPr>
      <w:r>
        <w:t>贷：应收账款</w:t>
      </w:r>
      <w:r>
        <w:tab/>
      </w:r>
      <w:r>
        <w:rPr>
          <w:w w:val="95"/>
        </w:rPr>
        <w:t>贷：主营业务收入</w:t>
      </w:r>
    </w:p>
    <w:p>
      <w:pPr>
        <w:pStyle w:val="6"/>
        <w:ind w:left="6444"/>
      </w:pPr>
      <w:r>
        <w:t>应交税费—应交增值税（销项税额）</w:t>
      </w:r>
    </w:p>
    <w:p>
      <w:pPr>
        <w:tabs>
          <w:tab w:val="left" w:pos="5623"/>
        </w:tabs>
        <w:spacing w:before="70" w:line="302" w:lineRule="auto"/>
        <w:ind w:left="723" w:right="624" w:firstLine="0"/>
        <w:jc w:val="left"/>
        <w:rPr>
          <w:sz w:val="20"/>
        </w:rPr>
      </w:pPr>
      <w:r>
        <w:rPr>
          <w:b/>
          <w:spacing w:val="-5"/>
          <w:sz w:val="20"/>
        </w:rPr>
        <w:t>（3）</w:t>
      </w:r>
      <w:r>
        <w:rPr>
          <w:b/>
          <w:sz w:val="20"/>
        </w:rPr>
        <w:t>如果取得的是带息应收票据</w:t>
      </w:r>
      <w:r>
        <w:rPr>
          <w:b/>
          <w:spacing w:val="-15"/>
          <w:sz w:val="20"/>
        </w:rPr>
        <w:t>，</w:t>
      </w:r>
      <w:r>
        <w:rPr>
          <w:b/>
          <w:sz w:val="20"/>
        </w:rPr>
        <w:t>月末计提利息：</w:t>
      </w:r>
      <w:r>
        <w:rPr>
          <w:b/>
          <w:spacing w:val="-55"/>
          <w:sz w:val="20"/>
        </w:rPr>
        <w:t xml:space="preserve"> </w:t>
      </w:r>
      <w:r>
        <w:rPr>
          <w:b/>
          <w:spacing w:val="-5"/>
          <w:sz w:val="20"/>
        </w:rPr>
        <w:t>（4）</w:t>
      </w:r>
      <w:r>
        <w:rPr>
          <w:b/>
          <w:sz w:val="20"/>
        </w:rPr>
        <w:t>商业汇票到期收回款项时</w:t>
      </w:r>
      <w:r>
        <w:rPr>
          <w:b/>
          <w:spacing w:val="-15"/>
          <w:sz w:val="20"/>
        </w:rPr>
        <w:t>，</w:t>
      </w:r>
      <w:r>
        <w:rPr>
          <w:b/>
          <w:sz w:val="20"/>
        </w:rPr>
        <w:t xml:space="preserve">应按实际收到的金额： </w:t>
      </w:r>
      <w:r>
        <w:rPr>
          <w:sz w:val="20"/>
        </w:rPr>
        <w:t>借：</w:t>
      </w:r>
      <w:r>
        <w:rPr>
          <w:color w:val="FF0000"/>
          <w:sz w:val="20"/>
          <w:u w:val="double" w:color="FF0000"/>
        </w:rPr>
        <w:t>应收票据</w:t>
      </w:r>
      <w:r>
        <w:rPr>
          <w:sz w:val="20"/>
        </w:rPr>
        <w:t>（面值×票面利率×期限）</w:t>
      </w:r>
      <w:r>
        <w:rPr>
          <w:sz w:val="20"/>
        </w:rPr>
        <w:tab/>
      </w:r>
      <w:r>
        <w:rPr>
          <w:sz w:val="20"/>
        </w:rPr>
        <w:t>借：银行存款</w:t>
      </w:r>
    </w:p>
    <w:p>
      <w:pPr>
        <w:pStyle w:val="6"/>
        <w:tabs>
          <w:tab w:val="left" w:pos="5923"/>
        </w:tabs>
        <w:spacing w:before="5"/>
        <w:ind w:left="1323"/>
      </w:pPr>
      <w:r>
        <w:t>贷：</w:t>
      </w:r>
      <w:r>
        <w:rPr>
          <w:color w:val="FF0000"/>
          <w:u w:val="double" w:color="FF0000"/>
        </w:rPr>
        <w:t>财务费用</w:t>
      </w:r>
      <w:r>
        <w:rPr>
          <w:color w:val="FF0000"/>
        </w:rPr>
        <w:tab/>
      </w:r>
      <w:r>
        <w:t>贷：应收票据（面值+利息）</w:t>
      </w:r>
    </w:p>
    <w:p>
      <w:pPr>
        <w:pStyle w:val="5"/>
        <w:tabs>
          <w:tab w:val="left" w:pos="5439"/>
        </w:tabs>
        <w:ind w:left="682"/>
      </w:pPr>
      <w:r>
        <w:rPr>
          <w:w w:val="90"/>
        </w:rPr>
        <w:t>（5）</w:t>
      </w:r>
      <w:r>
        <w:rPr>
          <w:spacing w:val="3"/>
          <w:w w:val="90"/>
        </w:rPr>
        <w:t>企业将持有</w:t>
      </w:r>
      <w:r>
        <w:rPr>
          <w:w w:val="90"/>
        </w:rPr>
        <w:t>的</w:t>
      </w:r>
      <w:r>
        <w:rPr>
          <w:spacing w:val="3"/>
          <w:w w:val="90"/>
        </w:rPr>
        <w:t>商业汇票背</w:t>
      </w:r>
      <w:r>
        <w:rPr>
          <w:w w:val="90"/>
        </w:rPr>
        <w:t>书</w:t>
      </w:r>
      <w:r>
        <w:rPr>
          <w:spacing w:val="3"/>
          <w:w w:val="90"/>
        </w:rPr>
        <w:t>转让取得所需</w:t>
      </w:r>
      <w:r>
        <w:rPr>
          <w:w w:val="90"/>
        </w:rPr>
        <w:t>物</w:t>
      </w:r>
      <w:r>
        <w:rPr>
          <w:spacing w:val="3"/>
          <w:w w:val="90"/>
        </w:rPr>
        <w:t>资时</w:t>
      </w:r>
      <w:r>
        <w:rPr>
          <w:w w:val="90"/>
        </w:rPr>
        <w:t>：</w:t>
      </w:r>
      <w:r>
        <w:rPr>
          <w:w w:val="90"/>
        </w:rPr>
        <w:tab/>
      </w:r>
      <w:r>
        <w:t>（6）贴现</w:t>
      </w:r>
    </w:p>
    <w:p>
      <w:pPr>
        <w:pStyle w:val="6"/>
        <w:tabs>
          <w:tab w:val="left" w:pos="6322"/>
        </w:tabs>
      </w:pPr>
      <w:r>
        <w:t>借：原材料等</w:t>
      </w:r>
      <w:r>
        <w:tab/>
      </w:r>
      <w:r>
        <w:t>借：银行存款（实际收到金额）</w:t>
      </w:r>
    </w:p>
    <w:p>
      <w:pPr>
        <w:pStyle w:val="6"/>
        <w:tabs>
          <w:tab w:val="left" w:pos="6823"/>
        </w:tabs>
        <w:ind w:left="1424"/>
      </w:pPr>
      <w:r>
        <w:t>应交税费—应交增值税（进项税额）</w:t>
      </w:r>
      <w:r>
        <w:tab/>
      </w:r>
      <w:r>
        <w:rPr>
          <w:color w:val="FF0000"/>
          <w:u w:val="double" w:color="FF0000"/>
        </w:rPr>
        <w:t>财务费用</w:t>
      </w:r>
    </w:p>
    <w:p>
      <w:pPr>
        <w:pStyle w:val="6"/>
        <w:tabs>
          <w:tab w:val="left" w:pos="6723"/>
        </w:tabs>
        <w:spacing w:line="302" w:lineRule="auto"/>
        <w:ind w:left="1323" w:right="1661" w:firstLine="100"/>
      </w:pPr>
      <w:r>
        <w:t>银行存款（差额）</w:t>
      </w:r>
      <w:r>
        <w:tab/>
      </w:r>
      <w:r>
        <w:t>贷：应收票据（票面金额</w:t>
      </w:r>
      <w:r>
        <w:rPr>
          <w:spacing w:val="-14"/>
        </w:rPr>
        <w:t xml:space="preserve">） </w:t>
      </w:r>
      <w:r>
        <w:t>贷：应收票据（面值加利息）</w:t>
      </w:r>
    </w:p>
    <w:p>
      <w:pPr>
        <w:pStyle w:val="6"/>
        <w:spacing w:before="5"/>
        <w:ind w:left="2023"/>
      </w:pPr>
      <w:r>
        <w:t>银行存款（差额）</w:t>
      </w:r>
    </w:p>
    <w:p>
      <w:pPr>
        <w:spacing w:before="70"/>
        <w:ind w:left="723" w:right="0" w:firstLine="0"/>
        <w:jc w:val="left"/>
        <w:rPr>
          <w:sz w:val="20"/>
        </w:rPr>
      </w:pPr>
      <w:r>
        <mc:AlternateContent>
          <mc:Choice Requires="wps">
            <w:drawing>
              <wp:anchor distT="0" distB="0" distL="114300" distR="114300" simplePos="0" relativeHeight="15789056" behindDoc="0" locked="0" layoutInCell="1" allowOverlap="1">
                <wp:simplePos x="0" y="0"/>
                <wp:positionH relativeFrom="page">
                  <wp:posOffset>1068705</wp:posOffset>
                </wp:positionH>
                <wp:positionV relativeFrom="paragraph">
                  <wp:posOffset>182880</wp:posOffset>
                </wp:positionV>
                <wp:extent cx="251460" cy="5715"/>
                <wp:effectExtent l="0" t="0" r="0" b="0"/>
                <wp:wrapNone/>
                <wp:docPr id="123" name="任意多边形 13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8" o:spid="_x0000_s1026" o:spt="100" style="position:absolute;left:0pt;margin-left:84.15pt;margin-top:14.4pt;height:0.45pt;width:19.8pt;mso-position-horizontal-relative:page;z-index:15789056;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Dl2XiuV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pzTz2QAAAAkBAAAPAAAAAAAAAAEAIAAAACIAAABkcnMvZG93bnJldi54bWxQSwECFAAUAAAACACH&#10;TuJAOXZeK5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z w:val="20"/>
        </w:rPr>
        <w:t>【</w:t>
      </w:r>
      <w:r>
        <w:rPr>
          <w:b/>
          <w:color w:val="00AFEF"/>
          <w:sz w:val="20"/>
        </w:rPr>
        <w:t>提示</w:t>
      </w:r>
      <w:r>
        <w:rPr>
          <w:sz w:val="20"/>
        </w:rPr>
        <w:t>】增值税简述</w:t>
      </w:r>
    </w:p>
    <w:p>
      <w:pPr>
        <w:pStyle w:val="13"/>
        <w:numPr>
          <w:ilvl w:val="0"/>
          <w:numId w:val="48"/>
        </w:numPr>
        <w:tabs>
          <w:tab w:val="left" w:pos="925"/>
        </w:tabs>
        <w:spacing w:before="70" w:after="0" w:line="304" w:lineRule="auto"/>
        <w:ind w:left="322" w:right="759" w:firstLine="400"/>
        <w:jc w:val="left"/>
        <w:rPr>
          <w:sz w:val="20"/>
        </w:rPr>
      </w:pPr>
      <w:r>
        <w:rPr>
          <w:b/>
          <w:w w:val="95"/>
          <w:sz w:val="20"/>
        </w:rPr>
        <w:t>定义:</w:t>
      </w:r>
      <w:r>
        <w:rPr>
          <w:w w:val="95"/>
          <w:sz w:val="20"/>
        </w:rPr>
        <w:t xml:space="preserve">增值税是以销售货物、应税服务、无形资产以及不动产过程中产生的增值额作为计税依据而征收的   </w:t>
      </w:r>
      <w:r>
        <w:rPr>
          <w:sz w:val="20"/>
        </w:rPr>
        <w:t>一种流转税。</w:t>
      </w:r>
    </w:p>
    <w:p>
      <w:pPr>
        <w:pStyle w:val="5"/>
        <w:numPr>
          <w:ilvl w:val="0"/>
          <w:numId w:val="48"/>
        </w:numPr>
        <w:tabs>
          <w:tab w:val="left" w:pos="925"/>
          <w:tab w:val="left" w:pos="5643"/>
        </w:tabs>
        <w:spacing w:before="2" w:after="0" w:line="240" w:lineRule="auto"/>
        <w:ind w:left="924" w:right="0" w:hanging="202"/>
        <w:jc w:val="left"/>
      </w:pPr>
      <w:r>
        <w:t>增值税纳税人</w:t>
      </w:r>
      <w:r>
        <w:tab/>
      </w:r>
      <w:r>
        <w:t>4.营改增政策</w:t>
      </w:r>
    </w:p>
    <w:p>
      <w:pPr>
        <w:spacing w:before="68" w:line="304" w:lineRule="auto"/>
        <w:ind w:left="723" w:right="7641" w:firstLine="19"/>
        <w:jc w:val="left"/>
        <w:rPr>
          <w:b/>
          <w:sz w:val="20"/>
        </w:rPr>
      </w:pPr>
      <w:r>
        <w:rPr>
          <w:spacing w:val="-2"/>
          <w:sz w:val="20"/>
        </w:rPr>
        <w:t>一般纳税人和小规模纳税人</w:t>
      </w:r>
      <w:r>
        <w:rPr>
          <w:b/>
          <w:sz w:val="20"/>
        </w:rPr>
        <w:t>3.税率及征收率</w:t>
      </w:r>
    </w:p>
    <w:p>
      <w:pPr>
        <w:pStyle w:val="6"/>
        <w:spacing w:before="2" w:line="304" w:lineRule="auto"/>
        <w:ind w:right="8060"/>
      </w:pPr>
      <w:r>
        <w:t>税率：13%、9%、6%、</w:t>
      </w:r>
      <w:r>
        <w:rPr>
          <w:spacing w:val="-12"/>
        </w:rPr>
        <w:t xml:space="preserve">0 </w:t>
      </w:r>
      <w:r>
        <w:t>征收率：5%、3%</w:t>
      </w:r>
    </w:p>
    <w:p>
      <w:pPr>
        <w:pStyle w:val="5"/>
        <w:numPr>
          <w:ilvl w:val="0"/>
          <w:numId w:val="49"/>
        </w:numPr>
        <w:tabs>
          <w:tab w:val="left" w:pos="925"/>
        </w:tabs>
        <w:spacing w:before="2" w:after="0" w:line="240" w:lineRule="auto"/>
        <w:ind w:left="924" w:right="0" w:hanging="202"/>
        <w:jc w:val="left"/>
      </w:pPr>
      <w:r>
        <w:t>一般纳税人增值税基本流程：</w:t>
      </w:r>
    </w:p>
    <w:p>
      <w:pPr>
        <w:pStyle w:val="6"/>
        <w:spacing w:before="9"/>
        <w:ind w:left="0"/>
        <w:rPr>
          <w:b/>
          <w:sz w:val="27"/>
        </w:rPr>
      </w:pPr>
      <w:r>
        <w:drawing>
          <wp:anchor distT="0" distB="0" distL="0" distR="0" simplePos="0" relativeHeight="1024" behindDoc="0" locked="0" layoutInCell="1" allowOverlap="1">
            <wp:simplePos x="0" y="0"/>
            <wp:positionH relativeFrom="page">
              <wp:posOffset>3988435</wp:posOffset>
            </wp:positionH>
            <wp:positionV relativeFrom="paragraph">
              <wp:posOffset>250190</wp:posOffset>
            </wp:positionV>
            <wp:extent cx="1953260" cy="5861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6" cstate="print"/>
                    <a:stretch>
                      <a:fillRect/>
                    </a:stretch>
                  </pic:blipFill>
                  <pic:spPr>
                    <a:xfrm>
                      <a:off x="0" y="0"/>
                      <a:ext cx="1953170" cy="586359"/>
                    </a:xfrm>
                    <a:prstGeom prst="rect">
                      <a:avLst/>
                    </a:prstGeom>
                  </pic:spPr>
                </pic:pic>
              </a:graphicData>
            </a:graphic>
          </wp:anchor>
        </w:drawing>
      </w:r>
    </w:p>
    <w:p>
      <w:pPr>
        <w:spacing w:after="0"/>
        <w:rPr>
          <w:sz w:val="27"/>
        </w:rPr>
        <w:sectPr>
          <w:pgSz w:w="11910" w:h="16160"/>
          <w:pgMar w:top="1680" w:right="360" w:bottom="860" w:left="760" w:header="0" w:footer="584" w:gutter="0"/>
        </w:sectPr>
      </w:pPr>
    </w:p>
    <w:p>
      <w:pPr>
        <w:pStyle w:val="6"/>
        <w:spacing w:before="8"/>
        <w:ind w:left="0"/>
        <w:rPr>
          <w:b/>
          <w:sz w:val="28"/>
        </w:rPr>
      </w:pPr>
    </w:p>
    <w:p>
      <w:pPr>
        <w:pStyle w:val="6"/>
        <w:tabs>
          <w:tab w:val="left" w:pos="5748"/>
        </w:tabs>
        <w:spacing w:before="0"/>
        <w:ind w:left="1678"/>
      </w:pPr>
      <w:r>
        <w:drawing>
          <wp:inline distT="0" distB="0" distL="0" distR="0">
            <wp:extent cx="1878330" cy="114871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7" cstate="print"/>
                    <a:stretch>
                      <a:fillRect/>
                    </a:stretch>
                  </pic:blipFill>
                  <pic:spPr>
                    <a:xfrm>
                      <a:off x="0" y="0"/>
                      <a:ext cx="1878700" cy="1149096"/>
                    </a:xfrm>
                    <a:prstGeom prst="rect">
                      <a:avLst/>
                    </a:prstGeom>
                  </pic:spPr>
                </pic:pic>
              </a:graphicData>
            </a:graphic>
          </wp:inline>
        </w:drawing>
      </w:r>
      <w:r>
        <w:tab/>
      </w:r>
      <w:r>
        <w:drawing>
          <wp:inline distT="0" distB="0" distL="0" distR="0">
            <wp:extent cx="2136140" cy="112776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8" cstate="print"/>
                    <a:stretch>
                      <a:fillRect/>
                    </a:stretch>
                  </pic:blipFill>
                  <pic:spPr>
                    <a:xfrm>
                      <a:off x="0" y="0"/>
                      <a:ext cx="2136162" cy="1128141"/>
                    </a:xfrm>
                    <a:prstGeom prst="rect">
                      <a:avLst/>
                    </a:prstGeom>
                  </pic:spPr>
                </pic:pic>
              </a:graphicData>
            </a:graphic>
          </wp:inline>
        </w:drawing>
      </w:r>
    </w:p>
    <w:p>
      <w:pPr>
        <w:pStyle w:val="6"/>
        <w:spacing w:before="5"/>
        <w:ind w:left="0"/>
        <w:rPr>
          <w:b/>
          <w:sz w:val="14"/>
        </w:rPr>
      </w:pPr>
    </w:p>
    <w:p>
      <w:pPr>
        <w:pStyle w:val="5"/>
        <w:numPr>
          <w:ilvl w:val="0"/>
          <w:numId w:val="49"/>
        </w:numPr>
        <w:tabs>
          <w:tab w:val="left" w:pos="925"/>
          <w:tab w:val="left" w:pos="5292"/>
        </w:tabs>
        <w:spacing w:before="71" w:after="0" w:line="240" w:lineRule="auto"/>
        <w:ind w:left="924" w:right="0" w:hanging="202"/>
        <w:jc w:val="left"/>
      </w:pPr>
      <w:r>
        <w:t>小规模纳税人增值税（征收率</w:t>
      </w:r>
      <w:r>
        <w:rPr>
          <w:spacing w:val="-55"/>
        </w:rPr>
        <w:t xml:space="preserve"> </w:t>
      </w:r>
      <w:r>
        <w:t>3%）基本流程：</w:t>
      </w:r>
      <w:r>
        <w:tab/>
      </w:r>
      <w:r>
        <w:t>7.含税价与不含税价的转换</w:t>
      </w:r>
    </w:p>
    <w:p>
      <w:pPr>
        <w:pStyle w:val="6"/>
        <w:spacing w:before="5"/>
        <w:ind w:left="0"/>
        <w:rPr>
          <w:b/>
          <w:sz w:val="17"/>
        </w:rPr>
      </w:pPr>
      <w:r>
        <w:drawing>
          <wp:anchor distT="0" distB="0" distL="0" distR="0" simplePos="0" relativeHeight="1024" behindDoc="0" locked="0" layoutInCell="1" allowOverlap="1">
            <wp:simplePos x="0" y="0"/>
            <wp:positionH relativeFrom="page">
              <wp:posOffset>3990975</wp:posOffset>
            </wp:positionH>
            <wp:positionV relativeFrom="paragraph">
              <wp:posOffset>165735</wp:posOffset>
            </wp:positionV>
            <wp:extent cx="2209800" cy="67056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9" cstate="print"/>
                    <a:stretch>
                      <a:fillRect/>
                    </a:stretch>
                  </pic:blipFill>
                  <pic:spPr>
                    <a:xfrm>
                      <a:off x="0" y="0"/>
                      <a:ext cx="2209939" cy="670559"/>
                    </a:xfrm>
                    <a:prstGeom prst="rect">
                      <a:avLst/>
                    </a:prstGeom>
                  </pic:spPr>
                </pic:pic>
              </a:graphicData>
            </a:graphic>
          </wp:anchor>
        </w:drawing>
      </w:r>
    </w:p>
    <w:p>
      <w:pPr>
        <w:pStyle w:val="6"/>
        <w:spacing w:before="26"/>
        <w:ind w:left="5062"/>
      </w:pPr>
      <w:r>
        <w:t>含税价=不含税价+不含税价×税率/征收率</w:t>
      </w:r>
    </w:p>
    <w:p>
      <w:pPr>
        <w:pStyle w:val="6"/>
        <w:spacing w:line="304" w:lineRule="auto"/>
        <w:ind w:left="5062" w:right="2321" w:firstLine="600"/>
      </w:pPr>
      <w:r>
        <w:drawing>
          <wp:anchor distT="0" distB="0" distL="0" distR="0" simplePos="0" relativeHeight="15791104" behindDoc="0" locked="0" layoutInCell="1" allowOverlap="1">
            <wp:simplePos x="0" y="0"/>
            <wp:positionH relativeFrom="page">
              <wp:posOffset>1125855</wp:posOffset>
            </wp:positionH>
            <wp:positionV relativeFrom="paragraph">
              <wp:posOffset>-857250</wp:posOffset>
            </wp:positionV>
            <wp:extent cx="2197100" cy="1131570"/>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20" cstate="print"/>
                    <a:stretch>
                      <a:fillRect/>
                    </a:stretch>
                  </pic:blipFill>
                  <pic:spPr>
                    <a:xfrm>
                      <a:off x="0" y="0"/>
                      <a:ext cx="2197212" cy="1131717"/>
                    </a:xfrm>
                    <a:prstGeom prst="rect">
                      <a:avLst/>
                    </a:prstGeom>
                  </pic:spPr>
                </pic:pic>
              </a:graphicData>
            </a:graphic>
          </wp:anchor>
        </w:drawing>
      </w:r>
      <w:r>
        <w:t>=不含税价（1+税率/征收率） 不含税价=含税价÷（1+税率/征收率</w:t>
      </w:r>
      <w:r>
        <w:rPr>
          <w:spacing w:val="-10"/>
        </w:rPr>
        <w:t>）</w:t>
      </w:r>
    </w:p>
    <w:p>
      <w:pPr>
        <w:spacing w:before="0" w:line="223" w:lineRule="exact"/>
        <w:ind w:left="742" w:right="0" w:firstLine="0"/>
        <w:jc w:val="left"/>
        <w:rPr>
          <w:b/>
          <w:sz w:val="21"/>
        </w:rPr>
      </w:pPr>
      <w:bookmarkStart w:id="42" w:name="二、应收账款"/>
      <w:bookmarkEnd w:id="42"/>
      <w:r>
        <w:rPr>
          <w:b/>
          <w:sz w:val="21"/>
          <w:shd w:val="clear" w:color="auto" w:fill="C0C0C0"/>
        </w:rPr>
        <w:t>二、应收账款</w:t>
      </w:r>
    </w:p>
    <w:p>
      <w:pPr>
        <w:pStyle w:val="5"/>
        <w:spacing w:before="92"/>
      </w:pPr>
      <w:r>
        <w:t>（一）应收账款的内容</w:t>
      </w:r>
    </w:p>
    <w:p>
      <w:pPr>
        <w:pStyle w:val="6"/>
        <w:spacing w:line="304" w:lineRule="auto"/>
        <w:ind w:left="322" w:right="722" w:firstLine="400"/>
      </w:pPr>
      <w:r>
        <w:rPr>
          <w:spacing w:val="-4"/>
          <w:w w:val="95"/>
        </w:rPr>
        <w:t xml:space="preserve">应收账款是指企业因销售商品、提供劳务等经营活动，应向购货单位或接受劳务单位收取的款项，主要包括   </w:t>
      </w:r>
      <w:r>
        <w:rPr>
          <w:spacing w:val="-4"/>
        </w:rPr>
        <w:t>企业销售商品或提供劳务等应向有关债务人收取的价款及代购货单位垫付的包装费、运杂费等。</w:t>
      </w:r>
    </w:p>
    <w:p>
      <w:pPr>
        <w:pStyle w:val="6"/>
        <w:spacing w:before="0" w:line="256" w:lineRule="exact"/>
      </w:pPr>
      <w:r>
        <mc:AlternateContent>
          <mc:Choice Requires="wps">
            <w:drawing>
              <wp:anchor distT="0" distB="0" distL="114300" distR="114300" simplePos="0" relativeHeight="15791104" behindDoc="0" locked="0" layoutInCell="1" allowOverlap="1">
                <wp:simplePos x="0" y="0"/>
                <wp:positionH relativeFrom="page">
                  <wp:posOffset>1068705</wp:posOffset>
                </wp:positionH>
                <wp:positionV relativeFrom="paragraph">
                  <wp:posOffset>137795</wp:posOffset>
                </wp:positionV>
                <wp:extent cx="251460" cy="5715"/>
                <wp:effectExtent l="0" t="0" r="0" b="0"/>
                <wp:wrapNone/>
                <wp:docPr id="127" name="任意多边形 13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39" o:spid="_x0000_s1026" o:spt="100" style="position:absolute;left:0pt;margin-left:84.15pt;margin-top:10.85pt;height:0.45pt;width:19.8pt;mso-position-horizontal-relative:page;z-index:15791104;mso-width-relative:page;mso-height-relative:page;" filled="f" stroked="t" coordsize="396,9" o:gfxdata="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OZTiZtkA&#10;AAAJAQAADwAAAAAAAAABACAAAAAiAAAAZHJzL2Rvd25yZXYueG1sUEsBAhQAFAAAAAgAh07iQGXI&#10;q9KQAgAAVwcAAA4AAAAAAAAAAQAgAAAAKAEAAGRycy9lMm9Eb2MueG1sUEsFBgAAAAAGAAYAWQEA&#10;ACo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】代购货单位垫付的包装费、运杂费、增值税的销项税额属于应收账款的范围，但不属于企业的收入。</w:t>
      </w:r>
    </w:p>
    <w:p>
      <w:pPr>
        <w:pStyle w:val="5"/>
      </w:pPr>
      <w:r>
        <w:t>（二）应收账款的账务处理</w:t>
      </w:r>
    </w:p>
    <w:p>
      <w:pPr>
        <w:pStyle w:val="6"/>
        <w:spacing w:line="304" w:lineRule="auto"/>
        <w:ind w:left="322" w:right="722" w:firstLine="400"/>
      </w:pPr>
      <w:r>
        <w:rPr>
          <w:spacing w:val="-6"/>
          <w:w w:val="95"/>
        </w:rPr>
        <w:t xml:space="preserve">为了反映应收账款的增减变动及其结存情况，企业应设置“应收账款”科目，不单独设置“预收账款”科目   </w:t>
      </w:r>
      <w:r>
        <w:rPr>
          <w:spacing w:val="-6"/>
        </w:rPr>
        <w:t>的企业，预收的账款也在“应收账款”科目核算。</w:t>
      </w:r>
    </w:p>
    <w:p>
      <w:pPr>
        <w:tabs>
          <w:tab w:val="left" w:pos="6333"/>
          <w:tab w:val="left" w:pos="6823"/>
        </w:tabs>
        <w:spacing w:before="2" w:line="304" w:lineRule="auto"/>
        <w:ind w:left="723" w:right="1038" w:firstLine="0"/>
        <w:jc w:val="left"/>
        <w:rPr>
          <w:sz w:val="20"/>
        </w:rPr>
      </w:pPr>
      <w:r>
        <w:rPr>
          <w:b/>
          <w:color w:val="00AFEF"/>
          <w:sz w:val="20"/>
          <w:u w:val="single" w:color="00AFEF"/>
        </w:rPr>
        <w:t>（1）企业销售商品等发生应收款项时</w:t>
      </w:r>
      <w:r>
        <w:rPr>
          <w:sz w:val="20"/>
        </w:rPr>
        <w:t>：</w:t>
      </w:r>
      <w:r>
        <w:rPr>
          <w:sz w:val="20"/>
        </w:rPr>
        <w:tab/>
      </w:r>
      <w:r>
        <w:rPr>
          <w:color w:val="00AFEF"/>
          <w:sz w:val="20"/>
          <w:u w:val="single" w:color="00AFEF"/>
        </w:rPr>
        <w:t xml:space="preserve"> </w:t>
      </w:r>
      <w:r>
        <w:rPr>
          <w:b/>
          <w:color w:val="00AFEF"/>
          <w:sz w:val="20"/>
          <w:u w:val="single" w:color="00AFEF"/>
        </w:rPr>
        <w:t>（2）企业代垫付包装费、运杂费时</w:t>
      </w:r>
      <w:r>
        <w:rPr>
          <w:spacing w:val="-12"/>
          <w:sz w:val="20"/>
        </w:rPr>
        <w:t xml:space="preserve">： </w:t>
      </w:r>
      <w:r>
        <w:rPr>
          <w:sz w:val="20"/>
        </w:rPr>
        <w:t>借：应收账款</w:t>
      </w:r>
      <w:r>
        <w:rPr>
          <w:sz w:val="20"/>
        </w:rPr>
        <w:tab/>
      </w:r>
      <w:r>
        <w:rPr>
          <w:sz w:val="20"/>
        </w:rPr>
        <w:tab/>
      </w:r>
      <w:r>
        <w:rPr>
          <w:sz w:val="20"/>
        </w:rPr>
        <w:t>借：应收账款</w:t>
      </w:r>
    </w:p>
    <w:p>
      <w:pPr>
        <w:pStyle w:val="6"/>
        <w:spacing w:before="0" w:line="256" w:lineRule="exact"/>
        <w:ind w:left="1323"/>
      </w:pPr>
      <w:r>
        <mc:AlternateContent>
          <mc:Choice Requires="wpg">
            <w:drawing>
              <wp:anchor distT="0" distB="0" distL="114300" distR="114300" simplePos="0" relativeHeight="15790080" behindDoc="0" locked="0" layoutInCell="1" allowOverlap="1">
                <wp:simplePos x="0" y="0"/>
                <wp:positionH relativeFrom="page">
                  <wp:posOffset>4046855</wp:posOffset>
                </wp:positionH>
                <wp:positionV relativeFrom="paragraph">
                  <wp:posOffset>17780</wp:posOffset>
                </wp:positionV>
                <wp:extent cx="2299970" cy="1240155"/>
                <wp:effectExtent l="635" t="0" r="4445" b="16510"/>
                <wp:wrapNone/>
                <wp:docPr id="126" name="组合 140"/>
                <wp:cNvGraphicFramePr/>
                <a:graphic xmlns:a="http://schemas.openxmlformats.org/drawingml/2006/main">
                  <a:graphicData uri="http://schemas.microsoft.com/office/word/2010/wordprocessingGroup">
                    <wpg:wgp>
                      <wpg:cNvGrpSpPr/>
                      <wpg:grpSpPr>
                        <a:xfrm>
                          <a:off x="0" y="0"/>
                          <a:ext cx="2299970" cy="1240155"/>
                          <a:chOff x="6374" y="29"/>
                          <a:chExt cx="3622" cy="1953"/>
                        </a:xfrm>
                      </wpg:grpSpPr>
                      <pic:pic xmlns:pic="http://schemas.openxmlformats.org/drawingml/2006/picture">
                        <pic:nvPicPr>
                          <pic:cNvPr id="124" name="图片 141"/>
                          <pic:cNvPicPr>
                            <a:picLocks noChangeAspect="1"/>
                          </pic:cNvPicPr>
                        </pic:nvPicPr>
                        <pic:blipFill>
                          <a:blip r:embed="rId21"/>
                          <a:stretch>
                            <a:fillRect/>
                          </a:stretch>
                        </pic:blipFill>
                        <pic:spPr>
                          <a:xfrm>
                            <a:off x="6373" y="128"/>
                            <a:ext cx="3622" cy="1853"/>
                          </a:xfrm>
                          <a:prstGeom prst="rect">
                            <a:avLst/>
                          </a:prstGeom>
                          <a:noFill/>
                          <a:ln>
                            <a:noFill/>
                          </a:ln>
                        </pic:spPr>
                      </pic:pic>
                      <wps:wsp>
                        <wps:cNvPr id="125" name="文本框 142"/>
                        <wps:cNvSpPr txBox="1"/>
                        <wps:spPr>
                          <a:xfrm>
                            <a:off x="7884" y="28"/>
                            <a:ext cx="1220" cy="199"/>
                          </a:xfrm>
                          <a:prstGeom prst="rect">
                            <a:avLst/>
                          </a:prstGeom>
                          <a:noFill/>
                          <a:ln>
                            <a:noFill/>
                          </a:ln>
                        </wps:spPr>
                        <wps:txbx>
                          <w:txbxContent>
                            <w:p>
                              <w:pPr>
                                <w:spacing w:before="0" w:line="199" w:lineRule="exact"/>
                                <w:ind w:left="0" w:right="0" w:firstLine="0"/>
                                <w:jc w:val="left"/>
                                <w:rPr>
                                  <w:sz w:val="20"/>
                                </w:rPr>
                              </w:pPr>
                              <w:r>
                                <w:rPr>
                                  <w:sz w:val="20"/>
                                </w:rPr>
                                <w:t>贷：银行存款</w:t>
                              </w:r>
                            </w:p>
                          </w:txbxContent>
                        </wps:txbx>
                        <wps:bodyPr lIns="0" tIns="0" rIns="0" bIns="0" upright="1"/>
                      </wps:wsp>
                    </wpg:wgp>
                  </a:graphicData>
                </a:graphic>
              </wp:anchor>
            </w:drawing>
          </mc:Choice>
          <mc:Fallback>
            <w:pict>
              <v:group id="组合 140" o:spid="_x0000_s1026" o:spt="203" style="position:absolute;left:0pt;margin-left:318.65pt;margin-top:1.4pt;height:97.65pt;width:181.1pt;mso-position-horizontal-relative:page;z-index:15790080;mso-width-relative:page;mso-height-relative:page;" coordorigin="6374,29" coordsize="3622,1953" o:gfxdata="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">
                <o:lock v:ext="edit" aspectratio="f"/>
                <v:shape id="图片 141" o:spid="_x0000_s1026" o:spt="75" type="#_x0000_t75" style="position:absolute;left:6373;top:128;height:1853;width:3622;" filled="f" o:preferrelative="t" stroked="f" coordsize="21600,21600" o:gfxdata="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GgmRbUAAADcAAAADwAA&#10;AAAAAAABACAAAAAiAAAAZHJzL2Rvd25yZXYueG1sUEsBAhQAFAAAAAgAh07iQDMvBZ47AAAAOQAA&#10;ABAAAAAAAAAAAQAgAAAABAEAAGRycy9zaGFwZXhtbC54bWxQSwUGAAAAAAYABgBbAQAArgMAAAAA&#10;">
                  <v:fill on="f" focussize="0,0"/>
                  <v:stroke on="f"/>
                  <v:imagedata r:id="rId21" o:title=""/>
                  <o:lock v:ext="edit" aspectratio="t"/>
                </v:shape>
                <v:shape id="文本框 142" o:spid="_x0000_s1026" o:spt="202" type="#_x0000_t202" style="position:absolute;left:7884;top:28;height:199;width:1220;"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99" w:lineRule="exact"/>
                          <w:ind w:left="0" w:right="0" w:firstLine="0"/>
                          <w:jc w:val="left"/>
                          <w:rPr>
                            <w:sz w:val="20"/>
                          </w:rPr>
                        </w:pPr>
                        <w:r>
                          <w:rPr>
                            <w:sz w:val="20"/>
                          </w:rPr>
                          <w:t>贷：银行存款</w:t>
                        </w:r>
                      </w:p>
                    </w:txbxContent>
                  </v:textbox>
                </v:shape>
              </v:group>
            </w:pict>
          </mc:Fallback>
        </mc:AlternateContent>
      </w:r>
      <w:r>
        <w:t>贷：主营业务收入</w:t>
      </w:r>
    </w:p>
    <w:p>
      <w:pPr>
        <w:pStyle w:val="6"/>
        <w:spacing w:line="304" w:lineRule="auto"/>
        <w:ind w:right="5642" w:firstLine="1219"/>
      </w:pPr>
      <w:r>
        <w:t>应交税费—应交增值税（销项税额） 借：主营业务成本</w:t>
      </w:r>
    </w:p>
    <w:p>
      <w:pPr>
        <w:pStyle w:val="6"/>
        <w:spacing w:before="2"/>
        <w:ind w:left="1323"/>
      </w:pPr>
      <w:r>
        <w:t>贷：库存商品</w:t>
      </w:r>
    </w:p>
    <w:p>
      <w:pPr>
        <w:spacing w:before="70" w:line="304" w:lineRule="auto"/>
        <w:ind w:left="723" w:right="7956" w:firstLine="0"/>
        <w:jc w:val="left"/>
        <w:rPr>
          <w:sz w:val="20"/>
        </w:rPr>
      </w:pPr>
      <w:r>
        <w:rPr>
          <w:b/>
          <w:color w:val="00AFEF"/>
          <w:sz w:val="20"/>
          <w:u w:val="single" w:color="00AFEF"/>
        </w:rPr>
        <w:t xml:space="preserve">（3）收回应收账款时： </w:t>
      </w:r>
      <w:r>
        <w:rPr>
          <w:sz w:val="20"/>
        </w:rPr>
        <w:t>借：银行存款</w:t>
      </w:r>
    </w:p>
    <w:p>
      <w:pPr>
        <w:pStyle w:val="6"/>
        <w:spacing w:before="0" w:line="256" w:lineRule="exact"/>
        <w:ind w:left="0" w:right="6937"/>
        <w:jc w:val="center"/>
      </w:pPr>
      <w:r>
        <w:t>贷：应收账款</w:t>
      </w:r>
    </w:p>
    <w:p>
      <w:pPr>
        <w:pStyle w:val="5"/>
        <w:ind w:left="0" w:right="6930"/>
        <w:jc w:val="center"/>
      </w:pPr>
      <w:r>
        <w:t>（三）商业折扣与现金折扣</w:t>
      </w:r>
    </w:p>
    <w:p>
      <w:pPr>
        <w:pStyle w:val="13"/>
        <w:numPr>
          <w:ilvl w:val="0"/>
          <w:numId w:val="50"/>
        </w:numPr>
        <w:tabs>
          <w:tab w:val="left" w:pos="925"/>
        </w:tabs>
        <w:spacing w:before="71" w:after="0" w:line="304" w:lineRule="auto"/>
        <w:ind w:left="322" w:right="722" w:firstLine="400"/>
        <w:jc w:val="left"/>
        <w:rPr>
          <w:sz w:val="20"/>
        </w:rPr>
      </w:pPr>
      <w:r>
        <mc:AlternateContent>
          <mc:Choice Requires="wps">
            <w:drawing>
              <wp:anchor distT="0" distB="0" distL="114300" distR="114300" simplePos="0" relativeHeight="482425856" behindDoc="1" locked="0" layoutInCell="1" allowOverlap="1">
                <wp:simplePos x="0" y="0"/>
                <wp:positionH relativeFrom="page">
                  <wp:posOffset>1068705</wp:posOffset>
                </wp:positionH>
                <wp:positionV relativeFrom="paragraph">
                  <wp:posOffset>183515</wp:posOffset>
                </wp:positionV>
                <wp:extent cx="502920" cy="5715"/>
                <wp:effectExtent l="0" t="0" r="0" b="0"/>
                <wp:wrapNone/>
                <wp:docPr id="269" name="任意多边形 143"/>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3" o:spid="_x0000_s1026" o:spt="100" style="position:absolute;left:0pt;margin-left:84.15pt;margin-top:14.45pt;height:0.45pt;width:39.6pt;mso-position-horizontal-relative:page;z-index:-20890624;mso-width-relative:page;mso-height-relative:page;" filled="f" stroked="t" coordsize="792,9" o:gfxdata="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Iubz+DXAAAACQEAAA8AAAAAAAAAAQAgAAAAIgAA&#10;AGRycy9kb3ducmV2LnhtbFBLAQIUABQAAAAIAIdO4kD+ZzoG7QIAAJsKAAAOAAAAAAAAAAEAIAAA&#10;ACYBAABkcnMvZTJvRG9jLnhtbFBLBQYAAAAABgAGAFkBAACF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w w:val="95"/>
          <w:sz w:val="20"/>
        </w:rPr>
        <w:t>商业折扣</w:t>
      </w:r>
      <w:r>
        <w:rPr>
          <w:spacing w:val="-3"/>
          <w:w w:val="95"/>
          <w:sz w:val="20"/>
        </w:rPr>
        <w:t xml:space="preserve">是指企业为促进商品销售而在商品标价上给予的价格扣除。销售商品涉及商业折扣的，应当按照   </w:t>
      </w:r>
      <w:r>
        <w:rPr>
          <w:color w:val="FF0000"/>
          <w:spacing w:val="-3"/>
          <w:sz w:val="20"/>
          <w:u w:val="double" w:color="FF0000"/>
        </w:rPr>
        <w:t>扣除商业折扣后的金额确定销售商品收入金额</w:t>
      </w:r>
      <w:r>
        <w:rPr>
          <w:spacing w:val="-3"/>
          <w:sz w:val="20"/>
        </w:rPr>
        <w:t>。</w:t>
      </w:r>
    </w:p>
    <w:p>
      <w:pPr>
        <w:pStyle w:val="13"/>
        <w:numPr>
          <w:ilvl w:val="0"/>
          <w:numId w:val="50"/>
        </w:numPr>
        <w:tabs>
          <w:tab w:val="left" w:pos="925"/>
        </w:tabs>
        <w:spacing w:before="2" w:after="0" w:line="304" w:lineRule="auto"/>
        <w:ind w:left="322" w:right="761" w:firstLine="400"/>
        <w:jc w:val="left"/>
        <w:rPr>
          <w:sz w:val="20"/>
        </w:rPr>
      </w:pPr>
      <w:r>
        <mc:AlternateContent>
          <mc:Choice Requires="wps">
            <w:drawing>
              <wp:anchor distT="0" distB="0" distL="114300" distR="114300" simplePos="0" relativeHeight="482426880" behindDoc="1" locked="0" layoutInCell="1" allowOverlap="1">
                <wp:simplePos x="0" y="0"/>
                <wp:positionH relativeFrom="page">
                  <wp:posOffset>1068705</wp:posOffset>
                </wp:positionH>
                <wp:positionV relativeFrom="paragraph">
                  <wp:posOffset>139700</wp:posOffset>
                </wp:positionV>
                <wp:extent cx="502920" cy="5715"/>
                <wp:effectExtent l="0" t="0" r="0" b="0"/>
                <wp:wrapNone/>
                <wp:docPr id="270" name="任意多边形 144"/>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4" o:spid="_x0000_s1026" o:spt="100" style="position:absolute;left:0pt;margin-left:84.15pt;margin-top:11pt;height:0.45pt;width:39.6pt;mso-position-horizontal-relative:page;z-index:-20889600;mso-width-relative:page;mso-height-relative:page;" filled="f" stroked="t" coordsize="792,9" o:gfxdata="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RYLjm1wAAAAkBAAAPAAAAAAAAAAEAIAAAACIA&#10;AABkcnMvZG93bnJldi54bWxQSwECFAAUAAAACACHTuJAF70X8O4CAACbCgAADgAAAAAAAAABACAA&#10;AAAm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sz w:val="20"/>
        </w:rPr>
        <w:t>现金折扣</w:t>
      </w:r>
      <w:r>
        <w:rPr>
          <w:sz w:val="20"/>
        </w:rPr>
        <w:t>指债权人为鼓励债务人在规定的期限内付款而向债务人提供的债务扣除。现金折扣一般用符号</w:t>
      </w:r>
      <w:r>
        <w:rPr>
          <w:w w:val="95"/>
          <w:sz w:val="20"/>
        </w:rPr>
        <w:t>“折扣率/付款期限”表示，企业销售商品涉及现金折扣的，应当按照</w:t>
      </w:r>
      <w:r>
        <w:rPr>
          <w:color w:val="FF0000"/>
          <w:w w:val="95"/>
          <w:sz w:val="20"/>
          <w:u w:val="double" w:color="FF0000"/>
        </w:rPr>
        <w:t>扣除现金折扣前的金额确</w:t>
      </w:r>
      <w:r>
        <w:rPr>
          <w:w w:val="95"/>
          <w:sz w:val="20"/>
        </w:rPr>
        <w:t xml:space="preserve">定销售商品收入    </w:t>
      </w:r>
      <w:r>
        <w:rPr>
          <w:sz w:val="20"/>
        </w:rPr>
        <w:t>金额。现金折扣在实际发生时计入当期财务费用。</w:t>
      </w:r>
    </w:p>
    <w:p>
      <w:pPr>
        <w:spacing w:after="0" w:line="304" w:lineRule="auto"/>
        <w:jc w:val="left"/>
        <w:rPr>
          <w:sz w:val="20"/>
        </w:rPr>
        <w:sectPr>
          <w:pgSz w:w="11910" w:h="16160"/>
          <w:pgMar w:top="1680" w:right="360" w:bottom="860" w:left="760" w:header="0" w:footer="584" w:gutter="0"/>
        </w:sectPr>
      </w:pPr>
    </w:p>
    <w:p>
      <w:pPr>
        <w:pStyle w:val="6"/>
        <w:spacing w:before="11"/>
        <w:ind w:left="0"/>
        <w:rPr>
          <w:sz w:val="13"/>
        </w:rPr>
      </w:pPr>
    </w:p>
    <w:p>
      <w:pPr>
        <w:pStyle w:val="6"/>
        <w:spacing w:before="71" w:line="304" w:lineRule="auto"/>
        <w:ind w:left="322" w:right="646" w:firstLine="400"/>
      </w:pPr>
      <w:r>
        <w:rPr>
          <w:w w:val="95"/>
        </w:rPr>
        <w:t>【</w:t>
      </w:r>
      <w:r>
        <w:rPr>
          <w:color w:val="FF0000"/>
          <w:w w:val="95"/>
          <w:u w:val="double" w:color="FF0000"/>
        </w:rPr>
        <w:t>提示</w:t>
      </w:r>
      <w:r>
        <w:rPr>
          <w:w w:val="95"/>
        </w:rPr>
        <w:t xml:space="preserve">】1.在计算现金折扣时，注意题目要求销售方是按不包含增值税的价款提供现金折扣，还是按包含增   </w:t>
      </w:r>
      <w:r>
        <w:t>值税的价款提供现金折扣；2.销售企业计算增值税销项税额应按</w:t>
      </w:r>
      <w:r>
        <w:rPr>
          <w:color w:val="FF0000"/>
          <w:u w:val="double" w:color="FF0000"/>
        </w:rPr>
        <w:t>扣除商业折扣后、现金折扣前的金额计算</w:t>
      </w:r>
      <w:r>
        <w:t>；</w:t>
      </w:r>
    </w:p>
    <w:p>
      <w:pPr>
        <w:pStyle w:val="13"/>
        <w:numPr>
          <w:ilvl w:val="0"/>
          <w:numId w:val="50"/>
        </w:numPr>
        <w:tabs>
          <w:tab w:val="left" w:pos="925"/>
        </w:tabs>
        <w:spacing w:before="2" w:after="0" w:line="240" w:lineRule="auto"/>
        <w:ind w:left="924" w:right="0" w:hanging="202"/>
        <w:jc w:val="left"/>
        <w:rPr>
          <w:sz w:val="20"/>
        </w:rPr>
      </w:pPr>
      <w:r>
        <w:rPr>
          <w:sz w:val="20"/>
        </w:rPr>
        <w:t>不管是销售企业提供现金折扣，还是购买企业享受现金折扣均</w:t>
      </w:r>
      <w:r>
        <w:rPr>
          <w:color w:val="FF0000"/>
          <w:sz w:val="20"/>
          <w:u w:val="double" w:color="FF0000"/>
        </w:rPr>
        <w:t>计入财务费用</w:t>
      </w:r>
      <w:r>
        <w:rPr>
          <w:sz w:val="20"/>
        </w:rPr>
        <w:t>。</w:t>
      </w:r>
    </w:p>
    <w:p>
      <w:pPr>
        <w:spacing w:before="22"/>
        <w:ind w:left="742" w:right="0" w:firstLine="0"/>
        <w:jc w:val="left"/>
        <w:rPr>
          <w:b/>
          <w:sz w:val="21"/>
        </w:rPr>
      </w:pPr>
      <w:bookmarkStart w:id="43" w:name="三、预付账款"/>
      <w:bookmarkEnd w:id="43"/>
      <w:r>
        <w:rPr>
          <w:b/>
          <w:sz w:val="21"/>
          <w:shd w:val="clear" w:color="auto" w:fill="C0C0C0"/>
        </w:rPr>
        <w:t>三、预付账款</w:t>
      </w:r>
    </w:p>
    <w:p>
      <w:pPr>
        <w:pStyle w:val="5"/>
        <w:spacing w:before="91"/>
      </w:pPr>
      <w:r>
        <w:t>预付账款的账务处理</w:t>
      </w:r>
    </w:p>
    <w:p>
      <w:pPr>
        <w:pStyle w:val="13"/>
        <w:numPr>
          <w:ilvl w:val="0"/>
          <w:numId w:val="51"/>
        </w:numPr>
        <w:tabs>
          <w:tab w:val="left" w:pos="925"/>
        </w:tabs>
        <w:spacing w:before="70" w:after="0" w:line="240" w:lineRule="auto"/>
        <w:ind w:left="924" w:right="0" w:hanging="202"/>
        <w:jc w:val="left"/>
        <w:rPr>
          <w:sz w:val="20"/>
        </w:rPr>
      </w:pPr>
      <w:r>
        <w:rPr>
          <w:sz w:val="20"/>
        </w:rPr>
        <w:t>企业根据购货合同的规定向供应单位预付款项时，借记“预付账款”科目，贷记“银行存款”科目。</w:t>
      </w:r>
    </w:p>
    <w:p>
      <w:pPr>
        <w:pStyle w:val="13"/>
        <w:numPr>
          <w:ilvl w:val="0"/>
          <w:numId w:val="51"/>
        </w:numPr>
        <w:tabs>
          <w:tab w:val="left" w:pos="925"/>
        </w:tabs>
        <w:spacing w:before="68" w:after="0" w:line="240" w:lineRule="auto"/>
        <w:ind w:left="924" w:right="0" w:hanging="202"/>
        <w:jc w:val="left"/>
        <w:rPr>
          <w:sz w:val="20"/>
        </w:rPr>
      </w:pPr>
      <w:r>
        <w:rPr>
          <w:sz w:val="20"/>
        </w:rPr>
        <w:t>预付款项情况不多的企业，</w:t>
      </w:r>
      <w:r>
        <w:rPr>
          <w:color w:val="FF0000"/>
          <w:sz w:val="20"/>
          <w:u w:val="double" w:color="FF0000"/>
        </w:rPr>
        <w:t>可以不设置“预付账款”科目，而直接通过“应付账款”科目核算</w:t>
      </w:r>
      <w:r>
        <w:rPr>
          <w:sz w:val="20"/>
        </w:rPr>
        <w:t>。</w:t>
      </w:r>
    </w:p>
    <w:p>
      <w:pPr>
        <w:pStyle w:val="13"/>
        <w:numPr>
          <w:ilvl w:val="0"/>
          <w:numId w:val="51"/>
        </w:numPr>
        <w:tabs>
          <w:tab w:val="left" w:pos="925"/>
        </w:tabs>
        <w:spacing w:before="70" w:after="0" w:line="304" w:lineRule="auto"/>
        <w:ind w:left="322" w:right="720" w:firstLine="400"/>
        <w:jc w:val="both"/>
        <w:rPr>
          <w:sz w:val="20"/>
        </w:rPr>
      </w:pPr>
      <w:r>
        <w:rPr>
          <w:spacing w:val="-6"/>
          <w:w w:val="95"/>
          <w:sz w:val="20"/>
        </w:rPr>
        <w:t xml:space="preserve">当预付货款小于采购货物所需支付的款项时，应将不足部分补付，借记“预付账款”科目，贷记“银行存   </w:t>
      </w:r>
      <w:r>
        <w:rPr>
          <w:spacing w:val="-7"/>
          <w:w w:val="95"/>
          <w:sz w:val="20"/>
        </w:rPr>
        <w:t xml:space="preserve">款”科目；当预付货款大于采购货物所需支付的款项时，对收回的多余款项应借记“银行存款”科目，贷记“预    </w:t>
      </w:r>
      <w:r>
        <w:rPr>
          <w:spacing w:val="-7"/>
          <w:sz w:val="20"/>
        </w:rPr>
        <w:t>付账款”科目。</w:t>
      </w:r>
    </w:p>
    <w:p>
      <w:pPr>
        <w:spacing w:before="0" w:line="224" w:lineRule="exact"/>
        <w:ind w:left="742" w:right="0" w:firstLine="0"/>
        <w:jc w:val="left"/>
        <w:rPr>
          <w:b/>
          <w:sz w:val="21"/>
        </w:rPr>
      </w:pPr>
      <w:bookmarkStart w:id="44" w:name="四、应收股利和应收利息"/>
      <w:bookmarkEnd w:id="44"/>
      <w:r>
        <w:rPr>
          <w:b/>
          <w:sz w:val="21"/>
          <w:shd w:val="clear" w:color="auto" w:fill="C0C0C0"/>
        </w:rPr>
        <w:t>四、应收股利和应收利息</w:t>
      </w:r>
    </w:p>
    <w:p>
      <w:pPr>
        <w:pStyle w:val="5"/>
        <w:spacing w:before="91"/>
      </w:pPr>
      <w:r>
        <w:t>（一）应收股利的账务处理</w:t>
      </w:r>
    </w:p>
    <w:p>
      <w:pPr>
        <w:pStyle w:val="6"/>
        <w:spacing w:before="71" w:line="302" w:lineRule="auto"/>
        <w:ind w:left="322" w:right="722" w:firstLine="400"/>
      </w:pPr>
      <w:r>
        <w:rPr>
          <w:spacing w:val="-4"/>
          <w:w w:val="95"/>
        </w:rPr>
        <w:t xml:space="preserve">应收股利科目借方登记应收股利的增加，贷方登记收到的现金股利或利润，期末余额一般在借方，反映企业   </w:t>
      </w:r>
      <w:r>
        <w:rPr>
          <w:spacing w:val="-4"/>
        </w:rPr>
        <w:t>尚未收到的现金股利或利润。</w:t>
      </w:r>
    </w:p>
    <w:p>
      <w:pPr>
        <w:pStyle w:val="13"/>
        <w:numPr>
          <w:ilvl w:val="0"/>
          <w:numId w:val="52"/>
        </w:numPr>
        <w:tabs>
          <w:tab w:val="left" w:pos="925"/>
        </w:tabs>
        <w:spacing w:before="4" w:after="0" w:line="304" w:lineRule="auto"/>
        <w:ind w:left="723" w:right="2834" w:firstLine="0"/>
        <w:jc w:val="left"/>
        <w:rPr>
          <w:sz w:val="20"/>
        </w:rPr>
      </w:pPr>
      <w:r>
        <w:rPr>
          <w:b/>
          <w:w w:val="95"/>
          <w:sz w:val="20"/>
        </w:rPr>
        <w:t>企业持有交易性金融资产期间，被投资单位宣告发放现金股利，按享有的份额</w:t>
      </w:r>
      <w:r>
        <w:rPr>
          <w:w w:val="95"/>
          <w:sz w:val="20"/>
        </w:rPr>
        <w:t xml:space="preserve">：  </w:t>
      </w:r>
      <w:r>
        <w:rPr>
          <w:sz w:val="20"/>
        </w:rPr>
        <w:t>借：应收股利</w:t>
      </w:r>
    </w:p>
    <w:p>
      <w:pPr>
        <w:pStyle w:val="6"/>
        <w:spacing w:before="2"/>
        <w:ind w:left="1123"/>
      </w:pPr>
      <w:r>
        <w:rPr>
          <w:w w:val="95"/>
        </w:rPr>
        <w:t>贷：投资收益</w:t>
      </w:r>
    </w:p>
    <w:p>
      <w:pPr>
        <w:pStyle w:val="5"/>
        <w:numPr>
          <w:ilvl w:val="0"/>
          <w:numId w:val="52"/>
        </w:numPr>
        <w:tabs>
          <w:tab w:val="left" w:pos="925"/>
        </w:tabs>
        <w:spacing w:before="70" w:after="0" w:line="240" w:lineRule="auto"/>
        <w:ind w:left="924" w:right="0" w:hanging="202"/>
        <w:jc w:val="left"/>
      </w:pPr>
      <w:r>
        <w:t>企业持有长期股权投资期间，被投资单位宣告发放现金股利或利润；</w:t>
      </w:r>
    </w:p>
    <w:p>
      <w:pPr>
        <w:pStyle w:val="6"/>
        <w:tabs>
          <w:tab w:val="left" w:pos="5923"/>
        </w:tabs>
      </w:pPr>
      <w:r>
        <w:t>①成本法核算的长期股权投资：</w:t>
      </w:r>
      <w:r>
        <w:tab/>
      </w:r>
      <w:r>
        <w:t>②权益法核算的长期股权投资</w:t>
      </w:r>
    </w:p>
    <w:p>
      <w:pPr>
        <w:pStyle w:val="6"/>
        <w:tabs>
          <w:tab w:val="left" w:pos="6123"/>
        </w:tabs>
        <w:spacing w:before="68"/>
      </w:pPr>
      <w:r>
        <w:t>借：应收股利</w:t>
      </w:r>
      <w:r>
        <w:tab/>
      </w:r>
      <w:r>
        <w:t>借：应收股利</w:t>
      </w:r>
    </w:p>
    <w:p>
      <w:pPr>
        <w:pStyle w:val="6"/>
        <w:tabs>
          <w:tab w:val="left" w:pos="6523"/>
        </w:tabs>
        <w:ind w:left="1123"/>
      </w:pPr>
      <w:r>
        <w:t>贷：投资收益</w:t>
      </w:r>
      <w:r>
        <w:tab/>
      </w:r>
      <w:r>
        <w:t>贷：长期股权投资—损益调整</w:t>
      </w:r>
    </w:p>
    <w:p>
      <w:pPr>
        <w:pStyle w:val="5"/>
        <w:numPr>
          <w:ilvl w:val="0"/>
          <w:numId w:val="52"/>
        </w:numPr>
        <w:tabs>
          <w:tab w:val="left" w:pos="925"/>
        </w:tabs>
        <w:spacing w:before="70" w:after="0" w:line="240" w:lineRule="auto"/>
        <w:ind w:left="924" w:right="0" w:hanging="202"/>
        <w:jc w:val="left"/>
      </w:pPr>
      <w:r>
        <w:t>收到现金股利或利润；</w:t>
      </w:r>
    </w:p>
    <w:p>
      <w:pPr>
        <w:pStyle w:val="6"/>
        <w:spacing w:before="71"/>
      </w:pPr>
      <w:r>
        <w:t>借：银行存款（持有的其他股权投资取得的现金股利或利润）</w:t>
      </w:r>
    </w:p>
    <w:p>
      <w:pPr>
        <w:pStyle w:val="6"/>
        <w:spacing w:line="304" w:lineRule="auto"/>
        <w:ind w:left="1123" w:right="2460"/>
      </w:pPr>
      <w:r>
        <w:t>其他货币资金（通过证券公司购入上市公司股票形成的股权投资取得的现金股利） 贷：应收股利</w:t>
      </w:r>
    </w:p>
    <w:p>
      <w:pPr>
        <w:pStyle w:val="5"/>
        <w:spacing w:before="0" w:line="256" w:lineRule="exact"/>
      </w:pPr>
      <w:r>
        <w:t>（二）应收利息的账务处理</w:t>
      </w:r>
    </w:p>
    <w:p>
      <w:pPr>
        <w:pStyle w:val="6"/>
        <w:spacing w:line="304" w:lineRule="auto"/>
        <w:ind w:left="322" w:right="647" w:firstLine="400"/>
      </w:pPr>
      <w:r>
        <w:rPr>
          <w:w w:val="95"/>
        </w:rPr>
        <w:t xml:space="preserve">应收利息科目的借方登记应收利息的增加，贷方登记收到的利息，期末余额一般在借方，反应企业尚未收到   </w:t>
      </w:r>
      <w:r>
        <w:t>的利息。</w:t>
      </w:r>
    </w:p>
    <w:p>
      <w:pPr>
        <w:pStyle w:val="6"/>
        <w:tabs>
          <w:tab w:val="left" w:pos="4522"/>
        </w:tabs>
        <w:spacing w:before="2"/>
      </w:pPr>
      <w:r>
        <w:t>①期末计提利息</w:t>
      </w:r>
      <w:r>
        <w:tab/>
      </w:r>
      <w:r>
        <w:t>②收到利息</w:t>
      </w:r>
    </w:p>
    <w:p>
      <w:pPr>
        <w:pStyle w:val="6"/>
        <w:tabs>
          <w:tab w:val="left" w:pos="4522"/>
        </w:tabs>
      </w:pPr>
      <w:r>
        <w:t>借：应收利息</w:t>
      </w:r>
      <w:r>
        <w:tab/>
      </w:r>
      <w:r>
        <w:t>借：银行存款</w:t>
      </w:r>
    </w:p>
    <w:p>
      <w:pPr>
        <w:pStyle w:val="6"/>
        <w:tabs>
          <w:tab w:val="left" w:pos="4923"/>
        </w:tabs>
        <w:ind w:left="1123"/>
      </w:pPr>
      <w:r>
        <w:t>贷：投资收益</w:t>
      </w:r>
      <w:r>
        <w:tab/>
      </w:r>
      <w:r>
        <w:t>贷：应收利息</w:t>
      </w:r>
    </w:p>
    <w:p>
      <w:pPr>
        <w:spacing w:before="22"/>
        <w:ind w:left="742" w:right="0" w:firstLine="0"/>
        <w:jc w:val="left"/>
        <w:rPr>
          <w:b/>
          <w:sz w:val="21"/>
        </w:rPr>
      </w:pPr>
      <w:bookmarkStart w:id="45" w:name="五、其他应收款的核算内容"/>
      <w:bookmarkEnd w:id="45"/>
      <w:r>
        <w:rPr>
          <w:b/>
          <w:sz w:val="21"/>
          <w:shd w:val="clear" w:color="auto" w:fill="C0C0C0"/>
        </w:rPr>
        <w:t>五、其他应收款的核算内容</w:t>
      </w:r>
    </w:p>
    <w:p>
      <w:pPr>
        <w:pStyle w:val="5"/>
        <w:spacing w:before="89"/>
      </w:pPr>
      <w:r>
        <w:t>（一）其他应收账款的内容</w:t>
      </w:r>
    </w:p>
    <w:p>
      <w:pPr>
        <w:pStyle w:val="6"/>
        <w:spacing w:line="304" w:lineRule="auto"/>
        <w:ind w:right="621"/>
      </w:pPr>
      <w:r>
        <w:rPr>
          <w:spacing w:val="-9"/>
          <w:w w:val="95"/>
        </w:rPr>
        <w:t xml:space="preserve">其他应收款是指企业除应收票据、应收账款、预付账款等以外的其他各种应收及暂付款项。其主要内容包括：    </w:t>
      </w:r>
      <w:r>
        <w:rPr>
          <w:spacing w:val="-9"/>
        </w:rPr>
        <w:t>1.应收的各种</w:t>
      </w:r>
      <w:r>
        <w:rPr>
          <w:color w:val="FF0000"/>
          <w:spacing w:val="-9"/>
          <w:u w:val="double" w:color="FF0000"/>
        </w:rPr>
        <w:t>赔款、罚款</w:t>
      </w:r>
      <w:r>
        <w:rPr>
          <w:spacing w:val="-9"/>
        </w:rPr>
        <w:t>，如因企业财产等遭受意外损失而应向有关保险公司收取的赔款等；</w:t>
      </w:r>
    </w:p>
    <w:p>
      <w:pPr>
        <w:pStyle w:val="13"/>
        <w:numPr>
          <w:ilvl w:val="0"/>
          <w:numId w:val="53"/>
        </w:numPr>
        <w:tabs>
          <w:tab w:val="left" w:pos="925"/>
        </w:tabs>
        <w:spacing w:before="2" w:after="0" w:line="240" w:lineRule="auto"/>
        <w:ind w:left="924" w:right="0" w:hanging="202"/>
        <w:jc w:val="left"/>
        <w:rPr>
          <w:sz w:val="20"/>
        </w:rPr>
      </w:pPr>
      <w:r>
        <w:rPr>
          <w:sz w:val="20"/>
        </w:rPr>
        <w:t>应收的</w:t>
      </w:r>
      <w:r>
        <w:rPr>
          <w:color w:val="FF0000"/>
          <w:sz w:val="20"/>
          <w:u w:val="double" w:color="FF0000"/>
        </w:rPr>
        <w:t>出租包装物租金</w:t>
      </w:r>
      <w:r>
        <w:rPr>
          <w:sz w:val="20"/>
        </w:rPr>
        <w:t>；</w:t>
      </w:r>
    </w:p>
    <w:p>
      <w:pPr>
        <w:pStyle w:val="13"/>
        <w:numPr>
          <w:ilvl w:val="0"/>
          <w:numId w:val="53"/>
        </w:numPr>
        <w:tabs>
          <w:tab w:val="left" w:pos="925"/>
        </w:tabs>
        <w:spacing w:before="70" w:after="0" w:line="240" w:lineRule="auto"/>
        <w:ind w:left="924" w:right="0" w:hanging="202"/>
        <w:jc w:val="left"/>
        <w:rPr>
          <w:sz w:val="20"/>
        </w:rPr>
      </w:pPr>
      <w:r>
        <w:rPr>
          <w:sz w:val="20"/>
        </w:rPr>
        <w:t>应向职工收取的</w:t>
      </w:r>
      <w:r>
        <w:rPr>
          <w:color w:val="FF0000"/>
          <w:sz w:val="20"/>
          <w:u w:val="double" w:color="FF0000"/>
        </w:rPr>
        <w:t>各种垫付款项</w:t>
      </w:r>
      <w:r>
        <w:rPr>
          <w:sz w:val="20"/>
        </w:rPr>
        <w:t>，如为职工垫付的水电费、应由职工负担的医药费、房租费等；</w:t>
      </w:r>
    </w:p>
    <w:p>
      <w:pPr>
        <w:pStyle w:val="13"/>
        <w:numPr>
          <w:ilvl w:val="0"/>
          <w:numId w:val="53"/>
        </w:numPr>
        <w:tabs>
          <w:tab w:val="left" w:pos="925"/>
        </w:tabs>
        <w:spacing w:before="70" w:after="0" w:line="240" w:lineRule="auto"/>
        <w:ind w:left="924" w:right="0" w:hanging="202"/>
        <w:jc w:val="left"/>
        <w:rPr>
          <w:sz w:val="20"/>
        </w:rPr>
      </w:pPr>
      <w:r>
        <w:rPr>
          <w:sz w:val="20"/>
        </w:rPr>
        <w:t>存出保证金，如</w:t>
      </w:r>
      <w:r>
        <w:rPr>
          <w:color w:val="FF0000"/>
          <w:sz w:val="20"/>
          <w:u w:val="double" w:color="FF0000"/>
        </w:rPr>
        <w:t>租入包装物支付的押金</w:t>
      </w:r>
      <w:r>
        <w:rPr>
          <w:sz w:val="20"/>
        </w:rPr>
        <w:t>；</w:t>
      </w:r>
    </w:p>
    <w:p>
      <w:pPr>
        <w:spacing w:after="0" w:line="240" w:lineRule="auto"/>
        <w:jc w:val="left"/>
        <w:rPr>
          <w:sz w:val="20"/>
        </w:rPr>
        <w:sectPr>
          <w:pgSz w:w="11910" w:h="16160"/>
          <w:pgMar w:top="1680" w:right="360" w:bottom="860" w:left="760" w:header="0" w:footer="584" w:gutter="0"/>
        </w:sectPr>
      </w:pPr>
    </w:p>
    <w:p>
      <w:pPr>
        <w:pStyle w:val="6"/>
        <w:spacing w:before="11"/>
        <w:ind w:left="0"/>
        <w:rPr>
          <w:sz w:val="13"/>
        </w:rPr>
      </w:pPr>
    </w:p>
    <w:p>
      <w:pPr>
        <w:pStyle w:val="13"/>
        <w:numPr>
          <w:ilvl w:val="0"/>
          <w:numId w:val="53"/>
        </w:numPr>
        <w:tabs>
          <w:tab w:val="left" w:pos="925"/>
        </w:tabs>
        <w:spacing w:before="71" w:after="0" w:line="240" w:lineRule="auto"/>
        <w:ind w:left="924" w:right="0" w:hanging="202"/>
        <w:jc w:val="left"/>
        <w:rPr>
          <w:sz w:val="20"/>
        </w:rPr>
      </w:pPr>
      <w:r>
        <w:rPr>
          <w:sz w:val="20"/>
        </w:rPr>
        <w:t>其他各种</w:t>
      </w:r>
      <w:r>
        <w:rPr>
          <w:color w:val="FF0000"/>
          <w:sz w:val="20"/>
          <w:u w:val="double" w:color="FF0000"/>
        </w:rPr>
        <w:t>应收、暂付</w:t>
      </w:r>
      <w:r>
        <w:rPr>
          <w:sz w:val="20"/>
        </w:rPr>
        <w:t>款项。</w:t>
      </w:r>
    </w:p>
    <w:p>
      <w:pPr>
        <w:pStyle w:val="5"/>
      </w:pPr>
      <w:r>
        <w:t>（二）其他应收款的账务处理</w:t>
      </w:r>
    </w:p>
    <w:p>
      <w:pPr>
        <w:pStyle w:val="6"/>
      </w:pPr>
      <w:r>
        <w:t>甲公司在采购过程中发生材料毁损，按保险合同规定，应由保险公司赔偿损失 30000 元。</w:t>
      </w:r>
    </w:p>
    <w:p>
      <w:pPr>
        <w:pStyle w:val="13"/>
        <w:numPr>
          <w:ilvl w:val="0"/>
          <w:numId w:val="54"/>
        </w:numPr>
        <w:tabs>
          <w:tab w:val="left" w:pos="925"/>
          <w:tab w:val="left" w:pos="6343"/>
        </w:tabs>
        <w:spacing w:before="70" w:after="0" w:line="240" w:lineRule="auto"/>
        <w:ind w:left="924" w:right="0" w:hanging="202"/>
        <w:jc w:val="left"/>
        <w:rPr>
          <w:sz w:val="18"/>
        </w:rPr>
      </w:pPr>
      <w:r>
        <w:rPr>
          <w:b/>
          <w:sz w:val="20"/>
        </w:rPr>
        <w:t>赔款尚未收到。</w:t>
      </w:r>
      <w:r>
        <w:rPr>
          <w:b/>
          <w:sz w:val="20"/>
        </w:rPr>
        <w:tab/>
      </w:r>
      <w:r>
        <w:rPr>
          <w:sz w:val="20"/>
        </w:rPr>
        <w:t>2.上述保险公司赔款如数收到。</w:t>
      </w:r>
    </w:p>
    <w:p>
      <w:pPr>
        <w:pStyle w:val="6"/>
        <w:tabs>
          <w:tab w:val="left" w:pos="3523"/>
          <w:tab w:val="left" w:pos="6523"/>
        </w:tabs>
        <w:spacing w:before="71"/>
        <w:ind w:left="922"/>
      </w:pPr>
      <w:r>
        <w:t>借：其他应收款—保险公司</w:t>
      </w:r>
      <w:r>
        <w:tab/>
      </w:r>
      <w:r>
        <w:t>30000</w:t>
      </w:r>
      <w:r>
        <w:tab/>
      </w:r>
      <w:r>
        <w:t>借：银行存款</w:t>
      </w:r>
      <w:r>
        <w:rPr>
          <w:spacing w:val="98"/>
        </w:rPr>
        <w:t xml:space="preserve"> </w:t>
      </w:r>
      <w:r>
        <w:t>30000</w:t>
      </w:r>
    </w:p>
    <w:p>
      <w:pPr>
        <w:pStyle w:val="6"/>
        <w:tabs>
          <w:tab w:val="left" w:pos="6823"/>
          <w:tab w:val="left" w:pos="9423"/>
        </w:tabs>
        <w:spacing w:before="67"/>
        <w:ind w:left="1323"/>
      </w:pPr>
      <w:r>
        <w:t>贷：材料采购</w:t>
      </w:r>
      <w:r>
        <w:rPr>
          <w:spacing w:val="96"/>
        </w:rPr>
        <w:t xml:space="preserve"> </w:t>
      </w:r>
      <w:r>
        <w:t>30000</w:t>
      </w:r>
      <w:r>
        <w:tab/>
      </w:r>
      <w:r>
        <w:t>贷：其他应收款—保险公司</w:t>
      </w:r>
      <w:r>
        <w:tab/>
      </w:r>
      <w:r>
        <w:t>30000</w:t>
      </w:r>
    </w:p>
    <w:p>
      <w:pPr>
        <w:spacing w:before="22"/>
        <w:ind w:left="742" w:right="0" w:firstLine="0"/>
        <w:jc w:val="left"/>
        <w:rPr>
          <w:b/>
          <w:sz w:val="21"/>
        </w:rPr>
      </w:pPr>
      <w:bookmarkStart w:id="46" w:name="六、应收款项减值"/>
      <w:bookmarkEnd w:id="46"/>
      <w:r>
        <w:rPr>
          <w:b/>
          <w:sz w:val="21"/>
          <w:shd w:val="clear" w:color="auto" w:fill="C0C0C0"/>
        </w:rPr>
        <w:t>六、应收款项减值</w:t>
      </w:r>
    </w:p>
    <w:p>
      <w:pPr>
        <w:pStyle w:val="5"/>
        <w:spacing w:before="91"/>
      </w:pPr>
      <w:r>
        <w:t>（一）应收款项减值损失的确认</w:t>
      </w:r>
    </w:p>
    <w:p>
      <w:pPr>
        <w:pStyle w:val="6"/>
        <w:spacing w:before="71" w:line="304" w:lineRule="auto"/>
        <w:ind w:left="322" w:right="722" w:firstLine="400"/>
        <w:jc w:val="both"/>
      </w:pPr>
      <w:r>
        <w:rPr>
          <w:spacing w:val="-3"/>
          <w:w w:val="95"/>
        </w:rPr>
        <w:t xml:space="preserve">企业应在资产负债表日对应收款项的账面价值进行检查，有客观证据表明该应收款项发生减值，应当将该应   </w:t>
      </w:r>
      <w:r>
        <w:rPr>
          <w:spacing w:val="-5"/>
          <w:w w:val="95"/>
        </w:rPr>
        <w:t>收款项的账面价值</w:t>
      </w:r>
      <w:r>
        <w:rPr>
          <w:color w:val="FF0000"/>
          <w:w w:val="95"/>
          <w:u w:val="double" w:color="FF0000"/>
        </w:rPr>
        <w:t>（应收款项的账面余额减去坏账准备的账面余额</w:t>
      </w:r>
      <w:r>
        <w:rPr>
          <w:color w:val="FF0000"/>
          <w:spacing w:val="-19"/>
          <w:w w:val="95"/>
          <w:u w:val="double" w:color="FF0000"/>
        </w:rPr>
        <w:t>）</w:t>
      </w:r>
      <w:r>
        <w:rPr>
          <w:w w:val="95"/>
        </w:rPr>
        <w:t>减记至</w:t>
      </w:r>
      <w:r>
        <w:rPr>
          <w:color w:val="FF0000"/>
          <w:w w:val="95"/>
          <w:u w:val="double" w:color="FF0000"/>
        </w:rPr>
        <w:t>预计未来现金流量现值</w:t>
      </w:r>
      <w:r>
        <w:rPr>
          <w:spacing w:val="-5"/>
          <w:w w:val="95"/>
        </w:rPr>
        <w:t xml:space="preserve">，减记的金额    </w:t>
      </w:r>
      <w:r>
        <w:rPr>
          <w:spacing w:val="-5"/>
        </w:rPr>
        <w:t>确认为减值损失，同时计提坏账准备。</w:t>
      </w:r>
    </w:p>
    <w:p>
      <w:pPr>
        <w:pStyle w:val="6"/>
        <w:spacing w:before="2"/>
      </w:pPr>
      <w:r>
        <mc:AlternateContent>
          <mc:Choice Requires="wps">
            <w:drawing>
              <wp:anchor distT="0" distB="0" distL="114300" distR="114300" simplePos="0" relativeHeight="482427904" behindDoc="1" locked="0" layoutInCell="1" allowOverlap="1">
                <wp:simplePos x="0" y="0"/>
                <wp:positionH relativeFrom="page">
                  <wp:posOffset>1068705</wp:posOffset>
                </wp:positionH>
                <wp:positionV relativeFrom="paragraph">
                  <wp:posOffset>138430</wp:posOffset>
                </wp:positionV>
                <wp:extent cx="251460" cy="5715"/>
                <wp:effectExtent l="0" t="0" r="0" b="0"/>
                <wp:wrapNone/>
                <wp:docPr id="271" name="任意多边形 14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5" o:spid="_x0000_s1026" o:spt="100" style="position:absolute;left:0pt;margin-left:84.15pt;margin-top:10.9pt;height:0.45pt;width:19.8pt;mso-position-horizontal-relative:page;z-index:-20888576;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CaGEJ3Z&#10;AAAACQEAAA8AAAAAAAAAAQAgAAAAIgAAAGRycy9kb3ducmV2LnhtbFBLAQIUABQAAAAIAIdO4kB2&#10;N2AMkQIAAFcHAAAOAAAAAAAAAAEAIAAAACgBAABkcnMvZTJvRG9jLnhtbFBLBQYAAAAABgAGAFkB&#10;AAAr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】1.我国会计准则规定确定应收款项减值</w:t>
      </w:r>
      <w:r>
        <w:rPr>
          <w:color w:val="FF0000"/>
          <w:u w:val="double" w:color="FF0000"/>
        </w:rPr>
        <w:t>只能采用备抵法</w:t>
      </w:r>
      <w:r>
        <w:t>，不能采用直接转销法。</w:t>
      </w:r>
    </w:p>
    <w:p>
      <w:pPr>
        <w:pStyle w:val="13"/>
        <w:numPr>
          <w:ilvl w:val="0"/>
          <w:numId w:val="54"/>
        </w:numPr>
        <w:tabs>
          <w:tab w:val="left" w:pos="925"/>
        </w:tabs>
        <w:spacing w:before="68" w:after="0" w:line="304" w:lineRule="auto"/>
        <w:ind w:left="322" w:right="725" w:firstLine="400"/>
        <w:jc w:val="left"/>
        <w:rPr>
          <w:sz w:val="18"/>
        </w:rPr>
      </w:pPr>
      <w:r>
        <w:rPr>
          <w:spacing w:val="-2"/>
          <w:w w:val="95"/>
          <w:sz w:val="20"/>
        </w:rPr>
        <w:t>企业需要针对应收款项</w:t>
      </w:r>
      <w:r>
        <w:rPr>
          <w:b/>
          <w:color w:val="00AFEF"/>
          <w:w w:val="95"/>
          <w:sz w:val="20"/>
          <w:u w:val="single" w:color="00AFEF"/>
        </w:rPr>
        <w:t>（</w:t>
      </w:r>
      <w:r>
        <w:rPr>
          <w:b/>
          <w:color w:val="00AFEF"/>
          <w:spacing w:val="-4"/>
          <w:w w:val="95"/>
          <w:sz w:val="20"/>
          <w:u w:val="single" w:color="00AFEF"/>
        </w:rPr>
        <w:t>应收票据、应收账款和其他应收款</w:t>
      </w:r>
      <w:r>
        <w:rPr>
          <w:b/>
          <w:color w:val="00AFEF"/>
          <w:spacing w:val="-19"/>
          <w:w w:val="95"/>
          <w:sz w:val="20"/>
          <w:u w:val="single" w:color="00AFEF"/>
        </w:rPr>
        <w:t>）</w:t>
      </w:r>
      <w:r>
        <w:rPr>
          <w:b/>
          <w:color w:val="00AFEF"/>
          <w:w w:val="95"/>
          <w:sz w:val="20"/>
          <w:u w:val="single" w:color="00AFEF"/>
        </w:rPr>
        <w:t>和预付款项考虑期末计提减值</w:t>
      </w:r>
      <w:r>
        <w:rPr>
          <w:spacing w:val="-5"/>
          <w:w w:val="95"/>
          <w:sz w:val="20"/>
        </w:rPr>
        <w:t xml:space="preserve">；而不仅仅是   </w:t>
      </w:r>
      <w:r>
        <w:rPr>
          <w:spacing w:val="-5"/>
          <w:sz w:val="20"/>
        </w:rPr>
        <w:t>针对应收账款计提减值。</w:t>
      </w:r>
    </w:p>
    <w:p>
      <w:pPr>
        <w:pStyle w:val="5"/>
        <w:numPr>
          <w:ilvl w:val="0"/>
          <w:numId w:val="54"/>
        </w:numPr>
        <w:tabs>
          <w:tab w:val="left" w:pos="925"/>
        </w:tabs>
        <w:spacing w:before="2" w:after="0" w:line="240" w:lineRule="auto"/>
        <w:ind w:left="924" w:right="0" w:hanging="202"/>
        <w:jc w:val="left"/>
        <w:rPr>
          <w:sz w:val="18"/>
        </w:rPr>
      </w:pPr>
      <w:r>
        <w:rPr>
          <w:color w:val="00AFEF"/>
          <w:u w:val="single" w:color="00AFEF"/>
        </w:rPr>
        <w:t>账面价值=账面原值-备抵账户</w:t>
      </w:r>
    </w:p>
    <w:p>
      <w:pPr>
        <w:pStyle w:val="6"/>
      </w:pPr>
      <w:r>
        <w:t>应收款项账面价值=应收款项账面原值-相关的坏账准备</w:t>
      </w:r>
    </w:p>
    <w:p>
      <w:pPr>
        <w:pStyle w:val="5"/>
        <w:spacing w:line="304" w:lineRule="auto"/>
        <w:ind w:right="6449"/>
      </w:pPr>
      <w:r>
        <w:t>（二）备抵法下计提坏账准备的会计处理1.科目设置</w:t>
      </w:r>
    </w:p>
    <w:p>
      <w:pPr>
        <w:pStyle w:val="6"/>
        <w:spacing w:before="0" w:line="304" w:lineRule="auto"/>
        <w:ind w:left="322" w:right="720" w:firstLine="400"/>
      </w:pPr>
      <w:r>
        <w:drawing>
          <wp:anchor distT="0" distB="0" distL="0" distR="0" simplePos="0" relativeHeight="1024" behindDoc="0" locked="0" layoutInCell="1" allowOverlap="1">
            <wp:simplePos x="0" y="0"/>
            <wp:positionH relativeFrom="page">
              <wp:posOffset>2945130</wp:posOffset>
            </wp:positionH>
            <wp:positionV relativeFrom="paragraph">
              <wp:posOffset>483870</wp:posOffset>
            </wp:positionV>
            <wp:extent cx="1964690" cy="596900"/>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2" cstate="print"/>
                    <a:stretch>
                      <a:fillRect/>
                    </a:stretch>
                  </pic:blipFill>
                  <pic:spPr>
                    <a:xfrm>
                      <a:off x="0" y="0"/>
                      <a:ext cx="1964577" cy="596646"/>
                    </a:xfrm>
                    <a:prstGeom prst="rect">
                      <a:avLst/>
                    </a:prstGeom>
                  </pic:spPr>
                </pic:pic>
              </a:graphicData>
            </a:graphic>
          </wp:anchor>
        </w:drawing>
      </w:r>
      <w:r>
        <w:rPr>
          <w:spacing w:val="-2"/>
          <w:w w:val="95"/>
        </w:rPr>
        <w:t>企业应当设置“</w:t>
      </w:r>
      <w:r>
        <w:rPr>
          <w:color w:val="FF0000"/>
          <w:w w:val="95"/>
          <w:u w:val="double" w:color="FF0000"/>
        </w:rPr>
        <w:t>坏账准备</w:t>
      </w:r>
      <w:r>
        <w:rPr>
          <w:spacing w:val="-7"/>
          <w:w w:val="95"/>
        </w:rPr>
        <w:t xml:space="preserve">”科目，核算应收款项的坏账准备计提、转销等情况。企业当期计提的坏账准备应   </w:t>
      </w:r>
      <w:r>
        <w:rPr>
          <w:spacing w:val="-7"/>
        </w:rPr>
        <w:t>当计入信用减值损失。</w:t>
      </w:r>
    </w:p>
    <w:p>
      <w:pPr>
        <w:pStyle w:val="5"/>
        <w:numPr>
          <w:ilvl w:val="0"/>
          <w:numId w:val="55"/>
        </w:numPr>
        <w:tabs>
          <w:tab w:val="left" w:pos="925"/>
        </w:tabs>
        <w:spacing w:before="169" w:after="0" w:line="240" w:lineRule="auto"/>
        <w:ind w:left="924" w:right="0" w:hanging="202"/>
        <w:jc w:val="left"/>
      </w:pPr>
      <w:r>
        <w:t>会计处理</w:t>
      </w:r>
    </w:p>
    <w:p>
      <w:pPr>
        <w:pStyle w:val="6"/>
        <w:spacing w:before="71"/>
      </w:pPr>
      <w:r>
        <w:t>应收款项减值的处理流程：</w:t>
      </w:r>
    </w:p>
    <w:p>
      <w:pPr>
        <w:pStyle w:val="6"/>
        <w:spacing w:before="0"/>
        <w:ind w:left="0"/>
      </w:pPr>
    </w:p>
    <w:p>
      <w:pPr>
        <w:pStyle w:val="6"/>
        <w:spacing w:before="0"/>
        <w:ind w:left="0"/>
        <w:rPr>
          <w:sz w:val="18"/>
        </w:rPr>
      </w:pPr>
      <w:r>
        <w:drawing>
          <wp:anchor distT="0" distB="0" distL="0" distR="0" simplePos="0" relativeHeight="1024" behindDoc="0" locked="0" layoutInCell="1" allowOverlap="1">
            <wp:simplePos x="0" y="0"/>
            <wp:positionH relativeFrom="page">
              <wp:posOffset>2680335</wp:posOffset>
            </wp:positionH>
            <wp:positionV relativeFrom="paragraph">
              <wp:posOffset>171450</wp:posOffset>
            </wp:positionV>
            <wp:extent cx="2430780" cy="136207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23" cstate="print"/>
                    <a:stretch>
                      <a:fillRect/>
                    </a:stretch>
                  </pic:blipFill>
                  <pic:spPr>
                    <a:xfrm>
                      <a:off x="0" y="0"/>
                      <a:ext cx="2430638" cy="1362075"/>
                    </a:xfrm>
                    <a:prstGeom prst="rect">
                      <a:avLst/>
                    </a:prstGeom>
                  </pic:spPr>
                </pic:pic>
              </a:graphicData>
            </a:graphic>
          </wp:anchor>
        </w:drawing>
      </w:r>
    </w:p>
    <w:p>
      <w:pPr>
        <w:pStyle w:val="6"/>
        <w:spacing w:before="5"/>
        <w:ind w:left="0"/>
        <w:rPr>
          <w:sz w:val="9"/>
        </w:rPr>
      </w:pPr>
    </w:p>
    <w:p>
      <w:pPr>
        <w:pStyle w:val="5"/>
        <w:numPr>
          <w:ilvl w:val="0"/>
          <w:numId w:val="55"/>
        </w:numPr>
        <w:tabs>
          <w:tab w:val="left" w:pos="925"/>
        </w:tabs>
        <w:spacing w:before="71" w:after="0" w:line="240" w:lineRule="auto"/>
        <w:ind w:left="924" w:right="0" w:hanging="202"/>
        <w:jc w:val="left"/>
      </w:pPr>
      <w:r>
        <w:t>当期应计提坏账准备的计算</w:t>
      </w:r>
    </w:p>
    <w:p>
      <w:pPr>
        <w:pStyle w:val="6"/>
        <w:spacing w:before="68" w:line="304" w:lineRule="auto"/>
        <w:ind w:left="322" w:right="621" w:firstLine="400"/>
      </w:pPr>
      <w:r>
        <w:rPr>
          <w:color w:val="FF0000"/>
          <w:spacing w:val="-1"/>
          <w:w w:val="99"/>
          <w:u w:val="double" w:color="FF0000"/>
        </w:rPr>
        <w:t>当期应计提的坏账准备=当期按应收款项计算应提坏账准备金额－</w:t>
      </w:r>
      <w:r>
        <w:rPr>
          <w:color w:val="FF0000"/>
          <w:w w:val="99"/>
          <w:u w:val="double" w:color="FF0000"/>
        </w:rPr>
        <w:t>（或+</w:t>
      </w:r>
      <w:r>
        <w:rPr>
          <w:color w:val="FF0000"/>
          <w:spacing w:val="-115"/>
          <w:w w:val="99"/>
          <w:u w:val="double" w:color="FF0000"/>
        </w:rPr>
        <w:t>）</w:t>
      </w:r>
      <w:r>
        <w:rPr>
          <w:color w:val="FF0000"/>
          <w:spacing w:val="-4"/>
          <w:w w:val="99"/>
          <w:u w:val="double" w:color="FF0000"/>
        </w:rPr>
        <w:t>“坏账准备”科目的贷方</w:t>
      </w:r>
      <w:r>
        <w:rPr>
          <w:color w:val="FF0000"/>
          <w:w w:val="99"/>
          <w:u w:val="double" w:color="FF0000"/>
        </w:rPr>
        <w:t>（或借方）</w:t>
      </w:r>
      <w:r>
        <w:rPr>
          <w:color w:val="FF0000"/>
          <w:spacing w:val="-199"/>
          <w:w w:val="99"/>
          <w:u w:val="double" w:color="FF0000"/>
        </w:rPr>
        <w:t>余</w:t>
      </w:r>
      <w:r>
        <w:rPr>
          <w:color w:val="FF0000"/>
          <w:u w:val="double" w:color="FF0000"/>
        </w:rPr>
        <w:t>额。</w:t>
      </w:r>
    </w:p>
    <w:p>
      <w:pPr>
        <w:spacing w:after="0" w:line="304" w:lineRule="auto"/>
        <w:sectPr>
          <w:pgSz w:w="11910" w:h="16160"/>
          <w:pgMar w:top="1680" w:right="360" w:bottom="860" w:left="760" w:header="0" w:footer="584" w:gutter="0"/>
        </w:sectPr>
      </w:pPr>
    </w:p>
    <w:p>
      <w:pPr>
        <w:pStyle w:val="6"/>
        <w:spacing w:before="6" w:after="1"/>
        <w:ind w:left="0"/>
        <w:rPr>
          <w:sz w:val="17"/>
        </w:rPr>
      </w:pPr>
    </w:p>
    <w:p>
      <w:pPr>
        <w:pStyle w:val="6"/>
        <w:spacing w:before="0"/>
        <w:ind w:left="3299"/>
      </w:pPr>
      <w:r>
        <w:drawing>
          <wp:inline distT="0" distB="0" distL="0" distR="0">
            <wp:extent cx="2700655" cy="1132205"/>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pic:cNvPicPr>
                      <a:picLocks noChangeAspect="1"/>
                    </pic:cNvPicPr>
                  </pic:nvPicPr>
                  <pic:blipFill>
                    <a:blip r:embed="rId24" cstate="print"/>
                    <a:stretch>
                      <a:fillRect/>
                    </a:stretch>
                  </pic:blipFill>
                  <pic:spPr>
                    <a:xfrm>
                      <a:off x="0" y="0"/>
                      <a:ext cx="2701031" cy="1132522"/>
                    </a:xfrm>
                    <a:prstGeom prst="rect">
                      <a:avLst/>
                    </a:prstGeom>
                  </pic:spPr>
                </pic:pic>
              </a:graphicData>
            </a:graphic>
          </wp:inline>
        </w:drawing>
      </w:r>
    </w:p>
    <w:p>
      <w:pPr>
        <w:pStyle w:val="6"/>
        <w:spacing w:before="112"/>
      </w:pPr>
      <w:r>
        <mc:AlternateContent>
          <mc:Choice Requires="wps">
            <w:drawing>
              <wp:anchor distT="0" distB="0" distL="114300" distR="114300" simplePos="0" relativeHeight="15794176" behindDoc="0" locked="0" layoutInCell="1" allowOverlap="1">
                <wp:simplePos x="0" y="0"/>
                <wp:positionH relativeFrom="page">
                  <wp:posOffset>1068705</wp:posOffset>
                </wp:positionH>
                <wp:positionV relativeFrom="paragraph">
                  <wp:posOffset>209550</wp:posOffset>
                </wp:positionV>
                <wp:extent cx="251460" cy="5715"/>
                <wp:effectExtent l="0" t="0" r="0" b="0"/>
                <wp:wrapNone/>
                <wp:docPr id="128" name="任意多边形 14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6" o:spid="_x0000_s1026" o:spt="100" style="position:absolute;left:0pt;margin-left:84.15pt;margin-top:16.5pt;height:0.45pt;width:19.8pt;mso-position-horizontal-relative:page;z-index:15794176;mso-width-relative:page;mso-height-relative:page;" filled="f" stroked="t" coordsize="396,9" o:gfxdata="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NtM&#10;adTZAAAACQEAAA8AAAAAAAAAAQAgAAAAIgAAAGRycy9kb3ducmV2LnhtbFBLAQIUABQAAAAIAIdO&#10;4kDdki1x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】计算结果如为正数，则说明原有坏账准备不足，应计提；如为负数，说明原有坏账准备多了，应冲</w:t>
      </w:r>
    </w:p>
    <w:p>
      <w:pPr>
        <w:pStyle w:val="6"/>
        <w:ind w:left="322"/>
      </w:pPr>
      <w:r>
        <w:t>减。</w:t>
      </w:r>
    </w:p>
    <w:p>
      <w:pPr>
        <w:pStyle w:val="6"/>
        <w:spacing w:before="0"/>
        <w:ind w:left="0"/>
      </w:pPr>
    </w:p>
    <w:p>
      <w:pPr>
        <w:pStyle w:val="3"/>
        <w:tabs>
          <w:tab w:val="left" w:pos="839"/>
        </w:tabs>
        <w:spacing w:before="190"/>
        <w:ind w:left="0" w:right="399"/>
        <w:jc w:val="center"/>
        <w:rPr>
          <w:rFonts w:hint="eastAsia" w:ascii="微软雅黑" w:eastAsia="微软雅黑"/>
        </w:rPr>
      </w:pPr>
      <w:bookmarkStart w:id="47" w:name="第三节  交易性金融资产"/>
      <w:bookmarkEnd w:id="47"/>
      <w:bookmarkStart w:id="48" w:name="_bookmark11"/>
      <w:bookmarkEnd w:id="48"/>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交易性金融资产</w:t>
      </w:r>
    </w:p>
    <w:p>
      <w:pPr>
        <w:spacing w:before="139"/>
        <w:ind w:left="742" w:right="0" w:firstLine="0"/>
        <w:jc w:val="left"/>
        <w:rPr>
          <w:b/>
          <w:sz w:val="21"/>
        </w:rPr>
      </w:pPr>
      <w:bookmarkStart w:id="49" w:name="一、交易性金融资产的内容"/>
      <w:bookmarkEnd w:id="49"/>
      <w:r>
        <w:rPr>
          <w:b/>
          <w:sz w:val="21"/>
          <w:shd w:val="clear" w:color="auto" w:fill="C0C0C0"/>
        </w:rPr>
        <w:t>一、交易性金融资产的内容</w:t>
      </w:r>
    </w:p>
    <w:p>
      <w:pPr>
        <w:pStyle w:val="5"/>
        <w:spacing w:before="91"/>
      </w:pPr>
      <w:r>
        <w:t>（一）金融资产概述</w:t>
      </w:r>
    </w:p>
    <w:p>
      <w:pPr>
        <w:pStyle w:val="13"/>
        <w:numPr>
          <w:ilvl w:val="0"/>
          <w:numId w:val="56"/>
        </w:numPr>
        <w:tabs>
          <w:tab w:val="left" w:pos="925"/>
        </w:tabs>
        <w:spacing w:before="70" w:after="0" w:line="302" w:lineRule="auto"/>
        <w:ind w:left="322" w:right="624" w:firstLine="400"/>
        <w:jc w:val="left"/>
        <w:rPr>
          <w:sz w:val="20"/>
        </w:rPr>
      </w:pPr>
      <w:r>
        <w:rPr>
          <w:b/>
          <w:spacing w:val="-6"/>
          <w:w w:val="95"/>
          <w:sz w:val="20"/>
        </w:rPr>
        <w:t>内容：</w:t>
      </w:r>
      <w:r>
        <w:rPr>
          <w:spacing w:val="-12"/>
          <w:w w:val="95"/>
          <w:sz w:val="20"/>
        </w:rPr>
        <w:t xml:space="preserve">库存现金、银行存款、应收账款、应收票据、贷款、其他应收款、应收利息、债券投资、股票投资、   </w:t>
      </w:r>
      <w:r>
        <w:rPr>
          <w:spacing w:val="-12"/>
          <w:sz w:val="20"/>
        </w:rPr>
        <w:t>基金投资及衍生金融资产等统称为金融资产。</w:t>
      </w:r>
    </w:p>
    <w:p>
      <w:pPr>
        <w:spacing w:after="0" w:line="302" w:lineRule="auto"/>
        <w:jc w:val="left"/>
        <w:rPr>
          <w:sz w:val="20"/>
        </w:rPr>
        <w:sectPr>
          <w:pgSz w:w="11910" w:h="16160"/>
          <w:pgMar w:top="1680" w:right="360" w:bottom="860" w:left="760" w:header="0" w:footer="584" w:gutter="0"/>
        </w:sectPr>
      </w:pPr>
    </w:p>
    <w:p>
      <w:pPr>
        <w:pStyle w:val="6"/>
        <w:spacing w:before="11"/>
        <w:ind w:left="0"/>
        <w:rPr>
          <w:sz w:val="13"/>
        </w:rPr>
      </w:pPr>
    </w:p>
    <w:p>
      <w:pPr>
        <w:pStyle w:val="5"/>
        <w:numPr>
          <w:ilvl w:val="0"/>
          <w:numId w:val="56"/>
        </w:numPr>
        <w:tabs>
          <w:tab w:val="left" w:pos="925"/>
        </w:tabs>
        <w:spacing w:before="71" w:after="0" w:line="240" w:lineRule="auto"/>
        <w:ind w:left="924" w:right="0" w:hanging="202"/>
        <w:jc w:val="left"/>
      </w:pPr>
      <w:r>
        <w:t>分类</w:t>
      </w:r>
    </w:p>
    <w:tbl>
      <w:tblPr>
        <w:tblStyle w:val="10"/>
        <w:tblW w:w="0" w:type="auto"/>
        <w:tblInd w:w="2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9"/>
        <w:gridCol w:w="654"/>
        <w:gridCol w:w="38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339" w:type="dxa"/>
          </w:tcPr>
          <w:p>
            <w:pPr>
              <w:pStyle w:val="14"/>
              <w:spacing w:before="68" w:line="237" w:lineRule="exact"/>
              <w:ind w:left="2648" w:right="2240"/>
              <w:jc w:val="center"/>
              <w:rPr>
                <w:sz w:val="20"/>
              </w:rPr>
            </w:pPr>
            <w:r>
              <w:rPr>
                <w:sz w:val="20"/>
              </w:rPr>
              <w:t>分类</w:t>
            </w:r>
          </w:p>
        </w:tc>
        <w:tc>
          <w:tcPr>
            <w:tcW w:w="654" w:type="dxa"/>
          </w:tcPr>
          <w:p>
            <w:pPr>
              <w:pStyle w:val="14"/>
              <w:spacing w:before="68" w:line="237" w:lineRule="exact"/>
              <w:ind w:left="126"/>
              <w:rPr>
                <w:sz w:val="20"/>
              </w:rPr>
            </w:pPr>
            <w:r>
              <w:rPr>
                <w:sz w:val="20"/>
              </w:rPr>
              <w:t>条件</w:t>
            </w:r>
          </w:p>
        </w:tc>
        <w:tc>
          <w:tcPr>
            <w:tcW w:w="3813" w:type="dxa"/>
          </w:tcPr>
          <w:p>
            <w:pPr>
              <w:pStyle w:val="14"/>
              <w:spacing w:before="68" w:line="237" w:lineRule="exact"/>
              <w:ind w:left="81" w:right="77"/>
              <w:jc w:val="center"/>
              <w:rPr>
                <w:sz w:val="20"/>
              </w:rPr>
            </w:pPr>
            <w:r>
              <w:rPr>
                <w:sz w:val="20"/>
              </w:rPr>
              <w:t>科目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339" w:type="dxa"/>
          </w:tcPr>
          <w:p>
            <w:pPr>
              <w:pStyle w:val="14"/>
              <w:spacing w:before="68" w:line="237" w:lineRule="exact"/>
              <w:ind w:left="106"/>
              <w:rPr>
                <w:sz w:val="20"/>
              </w:rPr>
            </w:pPr>
            <w:r>
              <w:rPr>
                <w:sz w:val="20"/>
              </w:rPr>
              <w:t>1.以摊余成本计量的金融资产</w:t>
            </w:r>
          </w:p>
        </w:tc>
        <w:tc>
          <w:tcPr>
            <w:tcW w:w="654" w:type="dxa"/>
          </w:tcPr>
          <w:p>
            <w:pPr>
              <w:pStyle w:val="14"/>
              <w:spacing w:before="68" w:line="237" w:lineRule="exact"/>
              <w:ind w:left="126"/>
              <w:rPr>
                <w:sz w:val="20"/>
              </w:rPr>
            </w:pPr>
            <w:r>
              <w:rPr>
                <w:sz w:val="20"/>
              </w:rPr>
              <w:t>债权</w:t>
            </w:r>
          </w:p>
        </w:tc>
        <w:tc>
          <w:tcPr>
            <w:tcW w:w="3813" w:type="dxa"/>
          </w:tcPr>
          <w:p>
            <w:pPr>
              <w:pStyle w:val="14"/>
              <w:spacing w:before="68" w:line="237" w:lineRule="exact"/>
              <w:ind w:left="86" w:right="77"/>
              <w:jc w:val="center"/>
              <w:rPr>
                <w:sz w:val="20"/>
              </w:rPr>
            </w:pPr>
            <w:r>
              <w:rPr>
                <w:sz w:val="20"/>
              </w:rPr>
              <w:t>银行存款、贷款、应收账款、债权投资等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5339" w:type="dxa"/>
            <w:vMerge w:val="restart"/>
          </w:tcPr>
          <w:p>
            <w:pPr>
              <w:pStyle w:val="14"/>
              <w:spacing w:before="5"/>
              <w:rPr>
                <w:b/>
                <w:sz w:val="18"/>
              </w:rPr>
            </w:pPr>
          </w:p>
          <w:p>
            <w:pPr>
              <w:pStyle w:val="14"/>
              <w:spacing w:before="1"/>
              <w:ind w:left="106"/>
              <w:rPr>
                <w:sz w:val="20"/>
              </w:rPr>
            </w:pPr>
            <w:r>
              <w:rPr>
                <w:sz w:val="20"/>
              </w:rPr>
              <w:t>2.以公允价值计量且其变动计入其他综合收益的金融资产</w:t>
            </w:r>
          </w:p>
        </w:tc>
        <w:tc>
          <w:tcPr>
            <w:tcW w:w="654" w:type="dxa"/>
          </w:tcPr>
          <w:p>
            <w:pPr>
              <w:pStyle w:val="14"/>
              <w:spacing w:before="68" w:line="237" w:lineRule="exact"/>
              <w:ind w:left="126"/>
              <w:rPr>
                <w:sz w:val="20"/>
              </w:rPr>
            </w:pPr>
            <w:r>
              <w:rPr>
                <w:sz w:val="20"/>
              </w:rPr>
              <w:t>债权</w:t>
            </w:r>
          </w:p>
        </w:tc>
        <w:tc>
          <w:tcPr>
            <w:tcW w:w="3813" w:type="dxa"/>
          </w:tcPr>
          <w:p>
            <w:pPr>
              <w:pStyle w:val="14"/>
              <w:spacing w:before="68" w:line="237" w:lineRule="exact"/>
              <w:ind w:left="86" w:right="77"/>
              <w:jc w:val="center"/>
              <w:rPr>
                <w:sz w:val="20"/>
              </w:rPr>
            </w:pPr>
            <w:r>
              <w:rPr>
                <w:sz w:val="20"/>
              </w:rPr>
              <w:t>其他债权投资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339" w:type="dxa"/>
            <w:vMerge w:val="continue"/>
            <w:tcBorders>
              <w:top w:val="nil"/>
            </w:tcBorders>
          </w:tcPr>
          <w:p>
            <w:pPr>
              <w:rPr>
                <w:sz w:val="2"/>
                <w:szCs w:val="2"/>
              </w:rPr>
            </w:pPr>
          </w:p>
        </w:tc>
        <w:tc>
          <w:tcPr>
            <w:tcW w:w="654" w:type="dxa"/>
          </w:tcPr>
          <w:p>
            <w:pPr>
              <w:pStyle w:val="14"/>
              <w:spacing w:before="68" w:line="237" w:lineRule="exact"/>
              <w:ind w:left="126"/>
              <w:rPr>
                <w:sz w:val="20"/>
              </w:rPr>
            </w:pPr>
            <w:r>
              <w:rPr>
                <w:sz w:val="20"/>
              </w:rPr>
              <w:t>股权</w:t>
            </w:r>
          </w:p>
        </w:tc>
        <w:tc>
          <w:tcPr>
            <w:tcW w:w="3813" w:type="dxa"/>
          </w:tcPr>
          <w:p>
            <w:pPr>
              <w:pStyle w:val="14"/>
              <w:spacing w:before="68" w:line="237" w:lineRule="exact"/>
              <w:ind w:left="81" w:right="77"/>
              <w:jc w:val="center"/>
              <w:rPr>
                <w:sz w:val="20"/>
              </w:rPr>
            </w:pPr>
            <w:r>
              <w:rPr>
                <w:sz w:val="20"/>
              </w:rPr>
              <w:t>其他权益工具投资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5339" w:type="dxa"/>
            <w:vMerge w:val="restart"/>
          </w:tcPr>
          <w:p>
            <w:pPr>
              <w:pStyle w:val="14"/>
              <w:spacing w:before="5"/>
              <w:rPr>
                <w:b/>
                <w:sz w:val="18"/>
              </w:rPr>
            </w:pPr>
          </w:p>
          <w:p>
            <w:pPr>
              <w:pStyle w:val="14"/>
              <w:spacing w:before="1"/>
              <w:ind w:left="106"/>
              <w:rPr>
                <w:sz w:val="20"/>
              </w:rPr>
            </w:pPr>
            <w:r>
              <w:rPr>
                <w:sz w:val="20"/>
              </w:rPr>
              <w:t>3.以公允价值计量且其变动计入当期损益的金融资产</w:t>
            </w:r>
          </w:p>
        </w:tc>
        <w:tc>
          <w:tcPr>
            <w:tcW w:w="654" w:type="dxa"/>
          </w:tcPr>
          <w:p>
            <w:pPr>
              <w:pStyle w:val="14"/>
              <w:spacing w:before="68" w:line="237" w:lineRule="exact"/>
              <w:ind w:left="126"/>
              <w:rPr>
                <w:sz w:val="20"/>
              </w:rPr>
            </w:pPr>
            <w:r>
              <w:rPr>
                <w:sz w:val="20"/>
              </w:rPr>
              <w:t>债权</w:t>
            </w:r>
          </w:p>
        </w:tc>
        <w:tc>
          <w:tcPr>
            <w:tcW w:w="3813" w:type="dxa"/>
            <w:vMerge w:val="restart"/>
          </w:tcPr>
          <w:p>
            <w:pPr>
              <w:pStyle w:val="14"/>
              <w:spacing w:before="5"/>
              <w:rPr>
                <w:b/>
                <w:sz w:val="18"/>
              </w:rPr>
            </w:pPr>
          </w:p>
          <w:p>
            <w:pPr>
              <w:pStyle w:val="14"/>
              <w:spacing w:before="1"/>
              <w:ind w:left="1205"/>
              <w:rPr>
                <w:sz w:val="20"/>
              </w:rPr>
            </w:pPr>
            <w:r>
              <w:rPr>
                <w:sz w:val="20"/>
              </w:rPr>
              <w:t>交易性金融资产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339" w:type="dxa"/>
            <w:vMerge w:val="continue"/>
            <w:tcBorders>
              <w:top w:val="nil"/>
            </w:tcBorders>
          </w:tcPr>
          <w:p>
            <w:pPr>
              <w:rPr>
                <w:sz w:val="2"/>
                <w:szCs w:val="2"/>
              </w:rPr>
            </w:pPr>
          </w:p>
        </w:tc>
        <w:tc>
          <w:tcPr>
            <w:tcW w:w="654" w:type="dxa"/>
          </w:tcPr>
          <w:p>
            <w:pPr>
              <w:pStyle w:val="14"/>
              <w:spacing w:before="68" w:line="237" w:lineRule="exact"/>
              <w:ind w:left="107"/>
              <w:rPr>
                <w:sz w:val="20"/>
              </w:rPr>
            </w:pPr>
            <w:r>
              <w:rPr>
                <w:sz w:val="20"/>
              </w:rPr>
              <w:t>股权</w:t>
            </w:r>
          </w:p>
        </w:tc>
        <w:tc>
          <w:tcPr>
            <w:tcW w:w="3813" w:type="dxa"/>
            <w:vMerge w:val="continue"/>
            <w:tcBorders>
              <w:top w:val="nil"/>
            </w:tcBorders>
          </w:tcPr>
          <w:p>
            <w:pPr>
              <w:rPr>
                <w:sz w:val="2"/>
                <w:szCs w:val="2"/>
              </w:rPr>
            </w:pPr>
          </w:p>
        </w:tc>
      </w:tr>
    </w:tbl>
    <w:p>
      <w:pPr>
        <w:pStyle w:val="5"/>
        <w:spacing w:before="68"/>
      </w:pPr>
      <w:r>
        <w:t>（二）交易性金融资产概述</w:t>
      </w:r>
    </w:p>
    <w:p>
      <w:pPr>
        <w:pStyle w:val="6"/>
        <w:spacing w:before="71" w:line="304" w:lineRule="auto"/>
        <w:ind w:left="322" w:right="722" w:firstLine="400"/>
      </w:pPr>
      <w:r>
        <w:t>交易性金融资产是</w:t>
      </w:r>
      <w:r>
        <w:rPr>
          <w:b/>
          <w:color w:val="00AFEF"/>
          <w:u w:val="single" w:color="00AFEF"/>
        </w:rPr>
        <w:t>企业为了近期内出售而持有的金融资产</w:t>
      </w:r>
      <w:r>
        <w:t>，如企业以赚取差价为目的从二级市场购入的股</w:t>
      </w:r>
      <w:r>
        <w:rPr>
          <w:spacing w:val="-8"/>
          <w:w w:val="95"/>
        </w:rPr>
        <w:t xml:space="preserve">票、债券、基金等；或者是在初始确认时属于集中管理的可辨认金融工具组合的一部分，且有客观证据表明近期    </w:t>
      </w:r>
      <w:r>
        <w:rPr>
          <w:spacing w:val="-8"/>
        </w:rPr>
        <w:t>实际存在短期获利模式的金融资产等，如企业管理的以公允价值进行业绩考核的某项投资组合。</w:t>
      </w:r>
    </w:p>
    <w:p>
      <w:pPr>
        <w:spacing w:before="3" w:line="304" w:lineRule="auto"/>
        <w:ind w:left="322" w:right="722" w:firstLine="400"/>
        <w:jc w:val="both"/>
        <w:rPr>
          <w:sz w:val="20"/>
        </w:rPr>
      </w:pPr>
      <w:r>
        <w:rPr>
          <w:spacing w:val="-3"/>
          <w:w w:val="95"/>
          <w:sz w:val="20"/>
        </w:rPr>
        <w:t>从企业管理金融资产的业务模式看，</w:t>
      </w:r>
      <w:r>
        <w:rPr>
          <w:b/>
          <w:color w:val="00AFEF"/>
          <w:spacing w:val="-2"/>
          <w:w w:val="95"/>
          <w:sz w:val="20"/>
          <w:u w:val="single" w:color="00AFEF"/>
        </w:rPr>
        <w:t xml:space="preserve">企业关键管理人员决定对交易性金融资产进行管理的业务目标是以“交   </w:t>
      </w:r>
      <w:r>
        <w:rPr>
          <w:b/>
          <w:color w:val="00AFEF"/>
          <w:spacing w:val="-7"/>
          <w:w w:val="95"/>
          <w:sz w:val="20"/>
          <w:u w:val="single" w:color="00AFEF"/>
        </w:rPr>
        <w:t>易”为目的，而非为收取合同现金流量而持有</w:t>
      </w:r>
      <w:r>
        <w:rPr>
          <w:spacing w:val="-5"/>
          <w:w w:val="95"/>
          <w:sz w:val="20"/>
        </w:rPr>
        <w:t xml:space="preserve">，也不是为既以收取合同现金流量为目标又以出售该金融资产为目    </w:t>
      </w:r>
      <w:r>
        <w:rPr>
          <w:spacing w:val="-7"/>
          <w:w w:val="95"/>
          <w:sz w:val="20"/>
        </w:rPr>
        <w:t xml:space="preserve">标而持有，仅仅是通过“交易性”活动，即频繁地购买和出售，从市场价格的短期波动中，赚取买卖差价，使企    </w:t>
      </w:r>
      <w:r>
        <w:rPr>
          <w:spacing w:val="-7"/>
          <w:sz w:val="20"/>
        </w:rPr>
        <w:t>业闲置的资金能获得较高的投资回报。</w:t>
      </w:r>
    </w:p>
    <w:p>
      <w:pPr>
        <w:spacing w:before="1" w:line="304" w:lineRule="auto"/>
        <w:ind w:left="322" w:right="720" w:firstLine="400"/>
        <w:jc w:val="left"/>
        <w:rPr>
          <w:sz w:val="20"/>
        </w:rPr>
      </w:pPr>
      <w:r>
        <w:rPr>
          <w:spacing w:val="-2"/>
          <w:w w:val="95"/>
          <w:sz w:val="20"/>
        </w:rPr>
        <w:t>从金融资产的合同现金流量特征看，</w:t>
      </w:r>
      <w:r>
        <w:rPr>
          <w:b/>
          <w:color w:val="00AFEF"/>
          <w:w w:val="95"/>
          <w:sz w:val="20"/>
          <w:u w:val="single" w:color="00AFEF"/>
        </w:rPr>
        <w:t>尽管交易性金融资产仍将收取合同现金流量</w:t>
      </w:r>
      <w:r>
        <w:rPr>
          <w:spacing w:val="-7"/>
          <w:w w:val="95"/>
          <w:sz w:val="20"/>
        </w:rPr>
        <w:t xml:space="preserve">，但至少偶尔为之，并非为   </w:t>
      </w:r>
      <w:r>
        <w:rPr>
          <w:spacing w:val="-7"/>
          <w:sz w:val="20"/>
        </w:rPr>
        <w:t>了实现业务模式目标（收取合同现金流量）而不可或缺。</w:t>
      </w:r>
    </w:p>
    <w:p>
      <w:pPr>
        <w:spacing w:before="0" w:line="223" w:lineRule="exact"/>
        <w:ind w:left="742" w:right="0" w:firstLine="0"/>
        <w:jc w:val="left"/>
        <w:rPr>
          <w:b/>
          <w:sz w:val="21"/>
        </w:rPr>
      </w:pPr>
      <w:bookmarkStart w:id="50" w:name="二、交易性金融资产的账务处理"/>
      <w:bookmarkEnd w:id="50"/>
      <w:r>
        <w:rPr>
          <w:b/>
          <w:sz w:val="21"/>
          <w:shd w:val="clear" w:color="auto" w:fill="C0C0C0"/>
        </w:rPr>
        <w:t>二、交易性金融资产的账务处理</w:t>
      </w:r>
    </w:p>
    <w:p>
      <w:pPr>
        <w:spacing w:before="91" w:line="302" w:lineRule="auto"/>
        <w:ind w:left="723" w:right="8020" w:firstLine="0"/>
        <w:jc w:val="left"/>
        <w:rPr>
          <w:sz w:val="20"/>
        </w:rPr>
      </w:pPr>
      <w:r>
        <w:rPr>
          <w:b/>
          <w:sz w:val="20"/>
        </w:rPr>
        <w:t>（一）会计科目设置</w:t>
      </w:r>
      <w:r>
        <w:rPr>
          <w:sz w:val="20"/>
        </w:rPr>
        <w:t>交易性金融资产—成本</w:t>
      </w:r>
    </w:p>
    <w:p>
      <w:pPr>
        <w:pStyle w:val="6"/>
        <w:spacing w:before="5"/>
        <w:ind w:left="2122"/>
      </w:pPr>
      <w:r>
        <w:t>—公允价值变动</w:t>
      </w:r>
    </w:p>
    <w:p>
      <w:pPr>
        <w:spacing w:before="70" w:line="304" w:lineRule="auto"/>
        <w:ind w:left="723" w:right="3261" w:firstLine="0"/>
        <w:jc w:val="left"/>
        <w:rPr>
          <w:b/>
          <w:sz w:val="20"/>
        </w:rPr>
      </w:pPr>
      <w:r>
        <w:rPr>
          <w:w w:val="95"/>
          <w:sz w:val="20"/>
        </w:rPr>
        <w:t>公允价值变动损益、应收股利（股票投资</w:t>
      </w:r>
      <w:r>
        <w:rPr>
          <w:spacing w:val="-99"/>
          <w:w w:val="95"/>
          <w:sz w:val="20"/>
        </w:rPr>
        <w:t>）</w:t>
      </w:r>
      <w:r>
        <w:rPr>
          <w:w w:val="95"/>
          <w:sz w:val="20"/>
        </w:rPr>
        <w:t>、应收利息（债券投资</w:t>
      </w:r>
      <w:r>
        <w:rPr>
          <w:spacing w:val="-99"/>
          <w:w w:val="95"/>
          <w:sz w:val="20"/>
        </w:rPr>
        <w:t>）</w:t>
      </w:r>
      <w:r>
        <w:rPr>
          <w:w w:val="95"/>
          <w:sz w:val="20"/>
        </w:rPr>
        <w:t xml:space="preserve">、投资收益  </w:t>
      </w:r>
      <w:r>
        <w:rPr>
          <w:b/>
          <w:sz w:val="20"/>
        </w:rPr>
        <w:t>1.公允价值变动损益</w:t>
      </w:r>
    </w:p>
    <w:p>
      <w:pPr>
        <w:pStyle w:val="6"/>
        <w:spacing w:before="2"/>
      </w:pPr>
      <w:r>
        <w:t>核算企业交易性金融资产等的公允价值变动形成的应计入当期损益的利得或损失。</w:t>
      </w:r>
    </w:p>
    <w:p>
      <w:pPr>
        <w:spacing w:before="70" w:line="302" w:lineRule="auto"/>
        <w:ind w:left="322" w:right="722" w:firstLine="400"/>
        <w:jc w:val="left"/>
        <w:rPr>
          <w:sz w:val="20"/>
        </w:rPr>
      </w:pPr>
      <w:r>
        <mc:AlternateContent>
          <mc:Choice Requires="wps">
            <w:drawing>
              <wp:anchor distT="0" distB="0" distL="114300" distR="114300" simplePos="0" relativeHeight="482428928" behindDoc="1" locked="0" layoutInCell="1" allowOverlap="1">
                <wp:simplePos x="0" y="0"/>
                <wp:positionH relativeFrom="page">
                  <wp:posOffset>6744335</wp:posOffset>
                </wp:positionH>
                <wp:positionV relativeFrom="paragraph">
                  <wp:posOffset>180975</wp:posOffset>
                </wp:positionV>
                <wp:extent cx="125730" cy="5715"/>
                <wp:effectExtent l="0" t="0" r="0" b="0"/>
                <wp:wrapNone/>
                <wp:docPr id="272" name="任意多边形 147"/>
                <wp:cNvGraphicFramePr/>
                <a:graphic xmlns:a="http://schemas.openxmlformats.org/drawingml/2006/main">
                  <a:graphicData uri="http://schemas.microsoft.com/office/word/2010/wordprocessingShape">
                    <wps:wsp>
                      <wps:cNvSpPr/>
                      <wps:spPr>
                        <a:xfrm>
                          <a:off x="0" y="0"/>
                          <a:ext cx="125730" cy="5715"/>
                        </a:xfrm>
                        <a:custGeom>
                          <a:avLst/>
                          <a:gdLst/>
                          <a:ahLst/>
                          <a:cxnLst/>
                          <a:pathLst>
                            <a:path w="198"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7" o:spid="_x0000_s1026" o:spt="100" style="position:absolute;left:0pt;margin-left:531.05pt;margin-top:14.25pt;height:0.45pt;width:9.9pt;mso-position-horizontal-relative:page;z-index:-20887552;mso-width-relative:page;mso-height-relative:page;" filled="f" stroked="t" coordsize="198,9" o:gfxdata="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6Y/mjXAAAACwEAAA8AAAAAAAAAAQAgAAAAIgAAAGRycy9kb3ducmV2LnhtbFBLAQIU&#10;ABQAAAAIAIdO4kCrHhKLZgIAALUFAAAOAAAAAAAAAAEAIAAAACYBAABkcnMvZTJvRG9jLnhtbFBL&#10;BQYAAAAABgAGAFkBAAD+BQAAAAA=&#10;" path="m0,0l18,9,36,0,54,9,72,0,90,9,108,0,126,9,144,0,162,9,180,0,198,9e">
                <v:fill on="f" focussize="0,0"/>
                <v:stroke weight="0.28496062992126pt" color="#00AFEF" joinstyle="round"/>
                <v:imagedata o:title=""/>
                <o:lock v:ext="edit" aspectratio="f"/>
              </v:shape>
            </w:pict>
          </mc:Fallback>
        </mc:AlternateContent>
      </w:r>
      <w:r>
        <w:rPr>
          <w:b/>
          <w:w w:val="95"/>
          <w:sz w:val="20"/>
        </w:rPr>
        <w:t>2</w:t>
      </w:r>
      <w:r>
        <w:rPr>
          <w:b/>
          <w:spacing w:val="-13"/>
          <w:w w:val="95"/>
          <w:sz w:val="20"/>
        </w:rPr>
        <w:t>.投资收益：</w:t>
      </w:r>
      <w:r>
        <w:rPr>
          <w:w w:val="95"/>
          <w:sz w:val="20"/>
        </w:rPr>
        <w:t>核算</w:t>
      </w:r>
      <w:r>
        <w:rPr>
          <w:b/>
          <w:color w:val="00AFEF"/>
          <w:w w:val="95"/>
          <w:sz w:val="20"/>
          <w:u w:val="single" w:color="00AFEF"/>
        </w:rPr>
        <w:t>企业持有交易性金融资产等的期间内取得</w:t>
      </w:r>
      <w:r>
        <w:rPr>
          <w:w w:val="95"/>
          <w:sz w:val="20"/>
        </w:rPr>
        <w:t>的投资收益以及出售交易性金融资产等实现的</w:t>
      </w:r>
      <w:r>
        <w:rPr>
          <w:b/>
          <w:color w:val="00AFEF"/>
          <w:w w:val="95"/>
          <w:sz w:val="20"/>
        </w:rPr>
        <w:t xml:space="preserve">投   </w:t>
      </w:r>
      <w:r>
        <w:rPr>
          <w:b/>
          <w:color w:val="00AFEF"/>
          <w:sz w:val="20"/>
          <w:u w:val="single" w:color="00AFEF"/>
        </w:rPr>
        <w:t>资收益或投资损失</w:t>
      </w:r>
      <w:r>
        <w:rPr>
          <w:sz w:val="20"/>
        </w:rPr>
        <w:t>。</w:t>
      </w:r>
    </w:p>
    <w:p>
      <w:pPr>
        <w:pStyle w:val="5"/>
        <w:spacing w:before="5"/>
      </w:pPr>
      <w:r>
        <w:rPr>
          <w:w w:val="95"/>
        </w:rPr>
        <w:t>（二）账务处理</w:t>
      </w:r>
    </w:p>
    <w:p>
      <w:pPr>
        <w:pStyle w:val="5"/>
        <w:numPr>
          <w:ilvl w:val="0"/>
          <w:numId w:val="57"/>
        </w:numPr>
        <w:tabs>
          <w:tab w:val="left" w:pos="925"/>
        </w:tabs>
        <w:spacing w:before="70" w:after="0" w:line="240" w:lineRule="auto"/>
        <w:ind w:left="924" w:right="0" w:hanging="202"/>
        <w:jc w:val="left"/>
      </w:pPr>
      <w:r>
        <w:t>交易性金融资产的取得</w:t>
      </w:r>
    </w:p>
    <w:p>
      <w:pPr>
        <w:pStyle w:val="6"/>
      </w:pPr>
      <w:r>
        <w:t>①企业取得交易性金融资产时，应按取得时的公允价值作为初始入账金额；</w:t>
      </w:r>
    </w:p>
    <w:p>
      <w:pPr>
        <w:pStyle w:val="6"/>
        <w:spacing w:line="304" w:lineRule="auto"/>
        <w:ind w:left="322" w:right="862" w:firstLine="400"/>
      </w:pPr>
      <w:r>
        <w:rPr>
          <w:w w:val="95"/>
        </w:rPr>
        <w:t>②企业取得交易性金融资产支付的价款中，包含</w:t>
      </w:r>
      <w:r>
        <w:rPr>
          <w:color w:val="FF0000"/>
          <w:w w:val="95"/>
          <w:u w:val="double" w:color="FF0000"/>
        </w:rPr>
        <w:t>已宣告但尚未发放的现金股利或已到付息期尚未领取的利</w:t>
      </w:r>
      <w:r>
        <w:rPr>
          <w:color w:val="FF0000"/>
          <w:spacing w:val="-199"/>
          <w:w w:val="95"/>
          <w:u w:val="double" w:color="FF0000"/>
        </w:rPr>
        <w:t>息</w:t>
      </w:r>
      <w:r>
        <w:rPr>
          <w:color w:val="FF0000"/>
          <w:spacing w:val="181"/>
          <w:w w:val="95"/>
          <w:u w:val="double" w:color="FF0000"/>
        </w:rPr>
        <w:t xml:space="preserve"> </w:t>
      </w:r>
      <w:r>
        <w:rPr>
          <w:color w:val="FF0000"/>
          <w:u w:val="double" w:color="FF0000"/>
        </w:rPr>
        <w:t>，应单独确认为应收项目</w:t>
      </w:r>
      <w:r>
        <w:t>。</w:t>
      </w:r>
    </w:p>
    <w:p>
      <w:pPr>
        <w:pStyle w:val="6"/>
        <w:spacing w:before="0" w:line="304" w:lineRule="auto"/>
        <w:ind w:left="322" w:right="761" w:firstLine="400"/>
      </w:pPr>
      <w:r>
        <w:rPr>
          <w:w w:val="99"/>
        </w:rPr>
        <w:t>③企业取得交易性金融资产所发生的相关交易费用应当在发生时计入当期损益</w:t>
      </w:r>
      <w:r>
        <w:rPr>
          <w:color w:val="FF0000"/>
          <w:w w:val="99"/>
          <w:u w:val="double" w:color="FF0000"/>
        </w:rPr>
        <w:t>（投资收益</w:t>
      </w:r>
      <w:r>
        <w:rPr>
          <w:color w:val="FF0000"/>
          <w:spacing w:val="-99"/>
          <w:w w:val="99"/>
          <w:u w:val="double" w:color="FF0000"/>
        </w:rPr>
        <w:t>）</w:t>
      </w:r>
      <w:r>
        <w:rPr>
          <w:color w:val="FF0000"/>
          <w:w w:val="99"/>
          <w:u w:val="double" w:color="FF0000"/>
        </w:rPr>
        <w:t>，发生交易费用</w:t>
      </w:r>
      <w:r>
        <w:rPr>
          <w:color w:val="FF0000"/>
          <w:spacing w:val="-200"/>
          <w:w w:val="99"/>
          <w:u w:val="double" w:color="FF0000"/>
        </w:rPr>
        <w:t>取</w:t>
      </w:r>
      <w:r>
        <w:rPr>
          <w:color w:val="FF0000"/>
          <w:u w:val="double" w:color="FF0000"/>
        </w:rPr>
        <w:t>得增值税专用发票的，进项税额经认证后可以从当月销项税额中扣除</w:t>
      </w:r>
      <w:r>
        <w:t>。</w:t>
      </w:r>
    </w:p>
    <w:p>
      <w:pPr>
        <w:pStyle w:val="6"/>
        <w:spacing w:before="2" w:line="304" w:lineRule="auto"/>
        <w:ind w:left="322" w:right="621" w:firstLine="400"/>
        <w:jc w:val="both"/>
      </w:pPr>
      <w:r>
        <w:rPr>
          <w:spacing w:val="-7"/>
        </w:rPr>
        <w:t>交易费用是指可直接归属于购买、发行或处置金融工具的增量费用；包括支付给代理机构、咨询公司、券商、</w:t>
      </w:r>
      <w:r>
        <w:rPr>
          <w:spacing w:val="-7"/>
          <w:w w:val="95"/>
        </w:rPr>
        <w:t>证券交易所、政府有关部门等的手续费、佣金、相关税费及其他必要支出；</w:t>
      </w:r>
      <w:r>
        <w:rPr>
          <w:color w:val="FF0000"/>
          <w:spacing w:val="-7"/>
          <w:w w:val="95"/>
          <w:u w:val="double" w:color="FF0000"/>
        </w:rPr>
        <w:t>不包括债券溢价、折价、融资费用、</w:t>
      </w:r>
      <w:r>
        <w:rPr>
          <w:color w:val="FF0000"/>
          <w:spacing w:val="-159"/>
          <w:w w:val="95"/>
          <w:u w:val="double" w:color="FF0000"/>
        </w:rPr>
        <w:t>内</w:t>
      </w:r>
      <w:r>
        <w:rPr>
          <w:color w:val="FF0000"/>
          <w:spacing w:val="212"/>
          <w:w w:val="95"/>
          <w:u w:val="double" w:color="FF0000"/>
        </w:rPr>
        <w:t xml:space="preserve"> </w:t>
      </w:r>
      <w:r>
        <w:rPr>
          <w:color w:val="FF0000"/>
          <w:u w:val="double" w:color="FF0000"/>
        </w:rPr>
        <w:t>部管理成本和持有成本等于交易不直接相关的费用</w:t>
      </w:r>
      <w:r>
        <w:t>。</w:t>
      </w:r>
    </w:p>
    <w:p>
      <w:pPr>
        <w:pStyle w:val="6"/>
        <w:spacing w:before="3" w:line="302" w:lineRule="auto"/>
        <w:ind w:left="1123" w:right="6261" w:hanging="401"/>
        <w:jc w:val="both"/>
      </w:pPr>
      <w:r>
        <w:t>借：交易性金融资产—成本 （公允价值） 应收股利/应收利息</w:t>
      </w:r>
    </w:p>
    <w:p>
      <w:pPr>
        <w:spacing w:after="0" w:line="302" w:lineRule="auto"/>
        <w:jc w:val="both"/>
        <w:sectPr>
          <w:pgSz w:w="11910" w:h="16160"/>
          <w:pgMar w:top="1680" w:right="360" w:bottom="860" w:left="760" w:header="0" w:footer="584" w:gutter="0"/>
        </w:sectPr>
      </w:pPr>
    </w:p>
    <w:p>
      <w:pPr>
        <w:pStyle w:val="6"/>
        <w:spacing w:before="11"/>
        <w:ind w:left="0"/>
        <w:rPr>
          <w:sz w:val="13"/>
        </w:rPr>
      </w:pPr>
    </w:p>
    <w:p>
      <w:pPr>
        <w:pStyle w:val="6"/>
        <w:spacing w:before="71"/>
        <w:ind w:left="1124"/>
      </w:pPr>
      <w:r>
        <w:t>投资收益（取得时所发生的相关交易费用）</w:t>
      </w:r>
    </w:p>
    <w:p>
      <w:pPr>
        <w:pStyle w:val="6"/>
        <w:spacing w:line="304" w:lineRule="auto"/>
        <w:ind w:left="1323" w:right="4562" w:hanging="200"/>
      </w:pPr>
      <w:r>
        <w:rPr>
          <w:w w:val="99"/>
        </w:rPr>
        <w:t>应交税费—应交增值税（进项税额</w:t>
      </w:r>
      <w:r>
        <w:rPr>
          <w:spacing w:val="-101"/>
          <w:w w:val="99"/>
        </w:rPr>
        <w:t>）</w:t>
      </w:r>
      <w:r>
        <w:rPr>
          <w:w w:val="99"/>
        </w:rPr>
        <w:t>（交易费用的增值税）</w:t>
      </w:r>
      <w:r>
        <w:t>贷：其他货币资金—存出投资款</w:t>
      </w:r>
    </w:p>
    <w:p>
      <w:pPr>
        <w:pStyle w:val="5"/>
        <w:numPr>
          <w:ilvl w:val="0"/>
          <w:numId w:val="57"/>
        </w:numPr>
        <w:tabs>
          <w:tab w:val="left" w:pos="925"/>
        </w:tabs>
        <w:spacing w:before="2" w:after="0" w:line="240" w:lineRule="auto"/>
        <w:ind w:left="924" w:right="0" w:hanging="202"/>
        <w:jc w:val="left"/>
      </w:pPr>
      <w:r>
        <w:t>交易性金融资产的持有</w:t>
      </w:r>
    </w:p>
    <w:p>
      <w:pPr>
        <w:pStyle w:val="6"/>
        <w:tabs>
          <w:tab w:val="left" w:pos="6922"/>
        </w:tabs>
        <w:spacing w:line="302" w:lineRule="auto"/>
        <w:ind w:right="1061"/>
      </w:pPr>
      <w:r>
        <w:t>①被投资单位宣告发放股利或资产负债表日计算利息</w:t>
      </w:r>
      <w:r>
        <w:tab/>
      </w:r>
      <w:r>
        <w:t>②收到现金股利或债券利息时</w:t>
      </w:r>
      <w:r>
        <w:rPr>
          <w:spacing w:val="-13"/>
        </w:rPr>
        <w:t xml:space="preserve">： </w:t>
      </w:r>
      <w:r>
        <w:t>借：应收股利/应收利息</w:t>
      </w:r>
      <w:r>
        <w:tab/>
      </w:r>
      <w:r>
        <w:t>借：其他货币资金</w:t>
      </w:r>
    </w:p>
    <w:p>
      <w:pPr>
        <w:pStyle w:val="6"/>
        <w:tabs>
          <w:tab w:val="left" w:pos="7323"/>
        </w:tabs>
        <w:spacing w:before="5"/>
        <w:ind w:left="1323"/>
      </w:pPr>
      <w:r>
        <w:t>贷：投资收益</w:t>
      </w:r>
      <w:r>
        <w:tab/>
      </w:r>
      <w:r>
        <w:t>贷：应收股利/应收利息</w:t>
      </w:r>
    </w:p>
    <w:p>
      <w:pPr>
        <w:pStyle w:val="5"/>
        <w:numPr>
          <w:ilvl w:val="0"/>
          <w:numId w:val="57"/>
        </w:numPr>
        <w:tabs>
          <w:tab w:val="left" w:pos="925"/>
        </w:tabs>
        <w:spacing w:before="70" w:after="0" w:line="240" w:lineRule="auto"/>
        <w:ind w:left="924" w:right="0" w:hanging="202"/>
        <w:jc w:val="left"/>
      </w:pPr>
      <w:r>
        <w:t>资产负债表日按照公允价值计量，公允价值与账面余额之间的差额计入当期损益。</w:t>
      </w:r>
    </w:p>
    <w:p>
      <w:pPr>
        <w:pStyle w:val="6"/>
        <w:tabs>
          <w:tab w:val="left" w:pos="5923"/>
        </w:tabs>
      </w:pPr>
      <w:r>
        <w:t>①股价或债券价格</w:t>
      </w:r>
      <w:r>
        <w:rPr>
          <w:b/>
        </w:rPr>
        <w:t>上涨</w:t>
      </w:r>
      <w:r>
        <w:rPr>
          <w:b/>
        </w:rPr>
        <w:tab/>
      </w:r>
      <w:r>
        <w:t>②股价或债券价格</w:t>
      </w:r>
      <w:r>
        <w:rPr>
          <w:b/>
        </w:rPr>
        <w:t>下跌</w:t>
      </w:r>
      <w:r>
        <w:t>做相反分录</w:t>
      </w:r>
    </w:p>
    <w:p>
      <w:pPr>
        <w:pStyle w:val="6"/>
        <w:tabs>
          <w:tab w:val="left" w:pos="6123"/>
        </w:tabs>
      </w:pPr>
      <w:r>
        <w:t>借：交易性金融资产—公允价值变动</w:t>
      </w:r>
      <w:r>
        <w:tab/>
      </w:r>
      <w:r>
        <w:t>借：公允价值变动损益</w:t>
      </w:r>
    </w:p>
    <w:p>
      <w:pPr>
        <w:tabs>
          <w:tab w:val="left" w:pos="6423"/>
        </w:tabs>
        <w:spacing w:before="70" w:line="302" w:lineRule="auto"/>
        <w:ind w:left="723" w:right="1161" w:firstLine="600"/>
        <w:jc w:val="left"/>
        <w:rPr>
          <w:b/>
          <w:sz w:val="20"/>
        </w:rPr>
      </w:pPr>
      <w:r>
        <w:rPr>
          <w:sz w:val="20"/>
        </w:rPr>
        <w:t>贷：公允价值变动损益</w:t>
      </w:r>
      <w:r>
        <w:rPr>
          <w:sz w:val="20"/>
        </w:rPr>
        <w:tab/>
      </w:r>
      <w:r>
        <w:rPr>
          <w:sz w:val="20"/>
        </w:rPr>
        <w:t>贷：交易性金融资产—公允价值变</w:t>
      </w:r>
      <w:r>
        <w:rPr>
          <w:spacing w:val="-12"/>
          <w:sz w:val="20"/>
        </w:rPr>
        <w:t>动</w:t>
      </w:r>
      <w:r>
        <w:rPr>
          <w:b/>
          <w:sz w:val="20"/>
        </w:rPr>
        <w:t>4.交易性金融资产的出售</w:t>
      </w:r>
    </w:p>
    <w:p>
      <w:pPr>
        <w:pStyle w:val="6"/>
        <w:spacing w:before="5"/>
      </w:pPr>
      <w:r>
        <w:rPr>
          <w:color w:val="FF0000"/>
          <w:u w:val="double" w:color="FF0000"/>
        </w:rPr>
        <w:t>企业出售交易性金融资产时，应将该金融资产出售时的公允价值与其账面余额之间的差额作为投资收益处</w:t>
      </w:r>
    </w:p>
    <w:p>
      <w:pPr>
        <w:pStyle w:val="6"/>
        <w:ind w:left="322"/>
      </w:pPr>
      <w:r>
        <w:rPr>
          <w:color w:val="FF0000"/>
          <w:u w:val="double" w:color="FF0000"/>
        </w:rPr>
        <w:t>理。</w:t>
      </w:r>
    </w:p>
    <w:p>
      <w:pPr>
        <w:pStyle w:val="6"/>
      </w:pPr>
      <w:r>
        <w:t>借：其他货币资金</w:t>
      </w:r>
    </w:p>
    <w:p>
      <w:pPr>
        <w:pStyle w:val="6"/>
        <w:spacing w:before="71"/>
        <w:ind w:left="1323"/>
      </w:pPr>
      <w:r>
        <w:t>贷：交易性金融资产—成本</w:t>
      </w:r>
    </w:p>
    <w:p>
      <w:pPr>
        <w:pStyle w:val="6"/>
        <w:spacing w:line="302" w:lineRule="auto"/>
        <w:ind w:left="2023" w:right="5263" w:firstLine="1099"/>
      </w:pPr>
      <w:r>
        <w:t>—公允价值变动（或借方） 投资收益（或借方）</w:t>
      </w:r>
    </w:p>
    <w:p>
      <w:pPr>
        <w:pStyle w:val="5"/>
        <w:spacing w:before="4"/>
      </w:pPr>
      <w:r>
        <w:t>5.转让金融商品应交增值税</w:t>
      </w:r>
    </w:p>
    <w:p>
      <w:pPr>
        <w:pStyle w:val="6"/>
      </w:pPr>
      <w:r>
        <w:t>金融商品转让按照</w:t>
      </w:r>
      <w:r>
        <w:rPr>
          <w:color w:val="FF0000"/>
          <w:u w:val="double" w:color="FF0000"/>
        </w:rPr>
        <w:t>卖出价扣除买入价</w:t>
      </w:r>
      <w:r>
        <w:t>（</w:t>
      </w:r>
      <w:r>
        <w:rPr>
          <w:b/>
          <w:color w:val="00AFEF"/>
          <w:u w:val="single" w:color="00AFEF"/>
        </w:rPr>
        <w:t>不需要扣除</w:t>
      </w:r>
      <w:r>
        <w:t>已宣告未发放现金股利和已到付息期但尚未领取的利息）</w:t>
      </w:r>
    </w:p>
    <w:p>
      <w:pPr>
        <w:pStyle w:val="6"/>
        <w:spacing w:before="71" w:line="304" w:lineRule="auto"/>
        <w:ind w:left="322" w:right="722"/>
      </w:pPr>
      <w:r>
        <w:rPr>
          <w:spacing w:val="-2"/>
          <w:w w:val="95"/>
        </w:rPr>
        <w:t>后的余额作为销售额计算增值税，即转让金融商品按</w:t>
      </w:r>
      <w:r>
        <w:rPr>
          <w:color w:val="FF0000"/>
          <w:w w:val="95"/>
          <w:u w:val="double" w:color="FF0000"/>
        </w:rPr>
        <w:t>盈亏相抵后</w:t>
      </w:r>
      <w:r>
        <w:rPr>
          <w:spacing w:val="-4"/>
          <w:w w:val="95"/>
        </w:rPr>
        <w:t xml:space="preserve">的余额为销售额。若相抵后出现负差，可结转下    </w:t>
      </w:r>
      <w:r>
        <w:rPr>
          <w:spacing w:val="-4"/>
        </w:rPr>
        <w:t>一纳税期与下期金融商品销售额互抵，但年末时仍出现负差，不得转入下一会计年度。</w:t>
      </w:r>
    </w:p>
    <w:p>
      <w:pPr>
        <w:pStyle w:val="13"/>
        <w:numPr>
          <w:ilvl w:val="0"/>
          <w:numId w:val="58"/>
        </w:numPr>
        <w:tabs>
          <w:tab w:val="left" w:pos="925"/>
        </w:tabs>
        <w:spacing w:before="2" w:after="0" w:line="240" w:lineRule="auto"/>
        <w:ind w:left="924" w:right="0" w:hanging="202"/>
        <w:jc w:val="left"/>
        <w:rPr>
          <w:b/>
          <w:sz w:val="20"/>
        </w:rPr>
      </w:pPr>
      <w:r>
        <w:rPr>
          <w:sz w:val="20"/>
        </w:rPr>
        <w:t>转让金融资产</w:t>
      </w:r>
      <w:r>
        <w:rPr>
          <w:b/>
          <w:sz w:val="20"/>
        </w:rPr>
        <w:t>当月月末</w:t>
      </w:r>
    </w:p>
    <w:p>
      <w:pPr>
        <w:pStyle w:val="6"/>
        <w:tabs>
          <w:tab w:val="left" w:pos="6293"/>
        </w:tabs>
        <w:spacing w:before="67"/>
      </w:pPr>
      <w:r>
        <w:t>①如产生转让</w:t>
      </w:r>
      <w:r>
        <w:rPr>
          <w:b/>
        </w:rPr>
        <w:t>收益</w:t>
      </w:r>
      <w:r>
        <w:rPr>
          <w:spacing w:val="-31"/>
        </w:rPr>
        <w:t>，</w:t>
      </w:r>
      <w:r>
        <w:t>按应纳税额</w:t>
      </w:r>
      <w:r>
        <w:tab/>
      </w:r>
      <w:r>
        <w:t>②如产生转让</w:t>
      </w:r>
      <w:r>
        <w:rPr>
          <w:b/>
        </w:rPr>
        <w:t>损失</w:t>
      </w:r>
      <w:r>
        <w:rPr>
          <w:spacing w:val="-31"/>
        </w:rPr>
        <w:t>，</w:t>
      </w:r>
      <w:r>
        <w:t>按可结转下月抵扣税额</w:t>
      </w:r>
    </w:p>
    <w:p>
      <w:pPr>
        <w:pStyle w:val="6"/>
        <w:tabs>
          <w:tab w:val="left" w:pos="6492"/>
          <w:tab w:val="left" w:pos="6922"/>
        </w:tabs>
        <w:spacing w:line="304" w:lineRule="auto"/>
        <w:ind w:left="1123" w:right="722" w:hanging="401"/>
      </w:pPr>
      <w:r>
        <w:t>借</w:t>
      </w:r>
      <w:r>
        <w:rPr>
          <w:spacing w:val="-29"/>
        </w:rPr>
        <w:t>：</w:t>
      </w:r>
      <w:r>
        <w:t>投资收益</w:t>
      </w:r>
      <w:r>
        <w:tab/>
      </w:r>
      <w:r>
        <w:t>借</w:t>
      </w:r>
      <w:r>
        <w:rPr>
          <w:spacing w:val="-29"/>
        </w:rPr>
        <w:t>：</w:t>
      </w:r>
      <w:r>
        <w:t>应交税费—转让金融商品应交增值</w:t>
      </w:r>
      <w:r>
        <w:rPr>
          <w:spacing w:val="-11"/>
        </w:rPr>
        <w:t>税</w:t>
      </w:r>
      <w:r>
        <w:t>贷：应交税费—转让金融商品应交增值税</w:t>
      </w:r>
      <w:r>
        <w:tab/>
      </w:r>
      <w:r>
        <w:tab/>
      </w:r>
      <w:r>
        <w:t>贷：投资收益</w:t>
      </w:r>
    </w:p>
    <w:p>
      <w:pPr>
        <w:pStyle w:val="13"/>
        <w:numPr>
          <w:ilvl w:val="0"/>
          <w:numId w:val="58"/>
        </w:numPr>
        <w:tabs>
          <w:tab w:val="left" w:pos="925"/>
        </w:tabs>
        <w:spacing w:before="2" w:after="0" w:line="304" w:lineRule="auto"/>
        <w:ind w:left="322" w:right="722" w:firstLine="400"/>
        <w:jc w:val="left"/>
        <w:rPr>
          <w:sz w:val="20"/>
        </w:rPr>
      </w:pPr>
      <w:r>
        <w:rPr>
          <w:b/>
          <w:w w:val="95"/>
          <w:sz w:val="20"/>
        </w:rPr>
        <w:t>年末</w:t>
      </w:r>
      <w:r>
        <w:rPr>
          <w:spacing w:val="-7"/>
          <w:w w:val="95"/>
          <w:sz w:val="20"/>
        </w:rPr>
        <w:t xml:space="preserve">，如果“应交税费—转让金融商品应交增值税”科目有借方余额说明本年度金融商品转让损失无法弥   </w:t>
      </w:r>
      <w:r>
        <w:rPr>
          <w:spacing w:val="-7"/>
          <w:sz w:val="20"/>
        </w:rPr>
        <w:t>补，不得转入下年。</w:t>
      </w:r>
    </w:p>
    <w:p>
      <w:pPr>
        <w:pStyle w:val="6"/>
        <w:spacing w:before="2"/>
      </w:pPr>
      <w:r>
        <w:rPr>
          <w:w w:val="95"/>
        </w:rPr>
        <w:t>借：投资收益</w:t>
      </w:r>
    </w:p>
    <w:p>
      <w:pPr>
        <w:pStyle w:val="6"/>
        <w:spacing w:before="68"/>
        <w:ind w:left="1123"/>
      </w:pPr>
      <w:r>
        <w:t>贷：应交税费—转让金融商品应交增值税</w:t>
      </w:r>
    </w:p>
    <w:p>
      <w:pPr>
        <w:pStyle w:val="6"/>
        <w:spacing w:before="0"/>
        <w:ind w:left="0"/>
      </w:pPr>
    </w:p>
    <w:p>
      <w:pPr>
        <w:pStyle w:val="3"/>
        <w:tabs>
          <w:tab w:val="left" w:pos="839"/>
        </w:tabs>
        <w:spacing w:before="190"/>
        <w:ind w:left="0" w:right="399"/>
        <w:jc w:val="center"/>
        <w:rPr>
          <w:rFonts w:hint="eastAsia" w:ascii="微软雅黑" w:eastAsia="微软雅黑"/>
        </w:rPr>
      </w:pPr>
      <w:bookmarkStart w:id="51" w:name="_bookmark12"/>
      <w:bookmarkEnd w:id="51"/>
      <w:bookmarkStart w:id="52" w:name="第四节  存货"/>
      <w:bookmarkEnd w:id="52"/>
      <w:r>
        <w:rPr>
          <w:rFonts w:hint="eastAsia" w:ascii="微软雅黑" w:eastAsia="微软雅黑"/>
          <w:shd w:val="clear" w:color="auto" w:fill="FFFF00"/>
        </w:rPr>
        <w:t>第四节</w:t>
      </w:r>
      <w:r>
        <w:rPr>
          <w:rFonts w:hint="eastAsia" w:ascii="微软雅黑" w:eastAsia="微软雅黑"/>
          <w:shd w:val="clear" w:color="auto" w:fill="FFFF00"/>
        </w:rPr>
        <w:tab/>
      </w:r>
      <w:r>
        <w:rPr>
          <w:rFonts w:hint="eastAsia" w:ascii="微软雅黑" w:eastAsia="微软雅黑"/>
          <w:shd w:val="clear" w:color="auto" w:fill="FFFF00"/>
        </w:rPr>
        <w:t>存货</w:t>
      </w:r>
    </w:p>
    <w:p>
      <w:pPr>
        <w:spacing w:before="139"/>
        <w:ind w:left="742" w:right="0" w:firstLine="0"/>
        <w:jc w:val="left"/>
        <w:rPr>
          <w:b/>
          <w:sz w:val="21"/>
        </w:rPr>
      </w:pPr>
      <w:bookmarkStart w:id="53" w:name="一、存货概述"/>
      <w:bookmarkEnd w:id="53"/>
      <w:r>
        <w:rPr>
          <w:b/>
          <w:sz w:val="21"/>
          <w:shd w:val="clear" w:color="auto" w:fill="C0C0C0"/>
        </w:rPr>
        <w:t>一、存货概述</w:t>
      </w:r>
    </w:p>
    <w:p>
      <w:pPr>
        <w:pStyle w:val="5"/>
        <w:spacing w:before="91"/>
      </w:pPr>
      <w:r>
        <w:t>（一）存货内容</w:t>
      </w:r>
    </w:p>
    <w:p>
      <w:pPr>
        <w:spacing w:before="70" w:line="304" w:lineRule="auto"/>
        <w:ind w:left="322" w:right="720" w:firstLine="400"/>
        <w:jc w:val="left"/>
        <w:rPr>
          <w:sz w:val="20"/>
        </w:rPr>
      </w:pPr>
      <w:r>
        <w:rPr>
          <w:w w:val="95"/>
          <w:sz w:val="20"/>
        </w:rPr>
        <w:t>存货是指</w:t>
      </w:r>
      <w:r>
        <w:rPr>
          <w:b/>
          <w:color w:val="00AFEF"/>
          <w:w w:val="95"/>
          <w:sz w:val="20"/>
          <w:u w:val="single" w:color="00AFEF"/>
        </w:rPr>
        <w:t>企业在日常活动中持有以备出售的产品或商品</w:t>
      </w:r>
      <w:r>
        <w:rPr>
          <w:spacing w:val="-4"/>
          <w:w w:val="95"/>
          <w:sz w:val="20"/>
        </w:rPr>
        <w:t>等，包括各类</w:t>
      </w:r>
      <w:r>
        <w:rPr>
          <w:color w:val="FF0000"/>
          <w:spacing w:val="-8"/>
          <w:w w:val="95"/>
          <w:sz w:val="20"/>
          <w:u w:val="double" w:color="FF0000"/>
        </w:rPr>
        <w:t>材料、在产品、半成品、产成品或库存</w:t>
      </w:r>
      <w:r>
        <w:rPr>
          <w:color w:val="FF0000"/>
          <w:spacing w:val="-198"/>
          <w:w w:val="95"/>
          <w:sz w:val="20"/>
          <w:u w:val="double" w:color="FF0000"/>
        </w:rPr>
        <w:t>商</w:t>
      </w:r>
      <w:r>
        <w:rPr>
          <w:color w:val="FF0000"/>
          <w:spacing w:val="187"/>
          <w:w w:val="95"/>
          <w:sz w:val="20"/>
          <w:u w:val="double" w:color="FF0000"/>
        </w:rPr>
        <w:t xml:space="preserve"> </w:t>
      </w:r>
      <w:r>
        <w:rPr>
          <w:color w:val="FF0000"/>
          <w:sz w:val="20"/>
          <w:u w:val="double" w:color="FF0000"/>
        </w:rPr>
        <w:t>品以及包装物、低值易耗品、委托代销商品</w:t>
      </w:r>
      <w:r>
        <w:rPr>
          <w:sz w:val="20"/>
        </w:rPr>
        <w:t>等。</w:t>
      </w:r>
    </w:p>
    <w:p>
      <w:pPr>
        <w:pStyle w:val="5"/>
        <w:spacing w:before="2"/>
      </w:pPr>
      <w:r>
        <w:t>（二）存货成本的确定</w:t>
      </w:r>
    </w:p>
    <w:p>
      <w:pPr>
        <w:spacing w:after="0"/>
        <w:sectPr>
          <w:pgSz w:w="11910" w:h="16160"/>
          <w:pgMar w:top="1680" w:right="360" w:bottom="860" w:left="760" w:header="0" w:footer="584" w:gutter="0"/>
        </w:sectPr>
      </w:pPr>
    </w:p>
    <w:p>
      <w:pPr>
        <w:pStyle w:val="6"/>
        <w:spacing w:before="11"/>
        <w:ind w:left="0"/>
        <w:rPr>
          <w:b/>
          <w:sz w:val="13"/>
        </w:rPr>
      </w:pPr>
    </w:p>
    <w:p>
      <w:pPr>
        <w:spacing w:before="71" w:line="304" w:lineRule="auto"/>
        <w:ind w:left="723" w:right="2856" w:firstLine="0"/>
        <w:jc w:val="left"/>
        <w:rPr>
          <w:b/>
          <w:sz w:val="20"/>
        </w:rPr>
      </w:pPr>
      <w:r>
        <w:rPr>
          <w:w w:val="95"/>
          <w:sz w:val="20"/>
        </w:rPr>
        <w:t>存货应当按照</w:t>
      </w:r>
      <w:r>
        <w:rPr>
          <w:b/>
          <w:color w:val="00AFEF"/>
          <w:w w:val="95"/>
          <w:sz w:val="20"/>
          <w:u w:val="single" w:color="00AFEF"/>
        </w:rPr>
        <w:t>成本进行初始计量</w:t>
      </w:r>
      <w:r>
        <w:rPr>
          <w:w w:val="95"/>
          <w:sz w:val="20"/>
        </w:rPr>
        <w:t>，存货成本包括</w:t>
      </w:r>
      <w:r>
        <w:rPr>
          <w:color w:val="FF0000"/>
          <w:w w:val="95"/>
          <w:sz w:val="20"/>
          <w:u w:val="double" w:color="FF0000"/>
        </w:rPr>
        <w:t>采购成本、加工成本和其他成本</w:t>
      </w:r>
      <w:r>
        <w:rPr>
          <w:w w:val="95"/>
          <w:sz w:val="20"/>
        </w:rPr>
        <w:t xml:space="preserve">。  </w:t>
      </w:r>
      <w:r>
        <w:rPr>
          <w:b/>
          <w:sz w:val="20"/>
        </w:rPr>
        <w:t>1.存货的采购成本</w:t>
      </w:r>
    </w:p>
    <w:p>
      <w:pPr>
        <w:pStyle w:val="6"/>
        <w:spacing w:before="2"/>
      </w:pPr>
      <w:r>
        <w:t>存货的采购成本，包括购买</w:t>
      </w:r>
      <w:r>
        <w:rPr>
          <w:color w:val="FF0000"/>
          <w:u w:val="double" w:color="FF0000"/>
        </w:rPr>
        <w:t>价款、相关税费、运输费、装卸费、保险费以及其他</w:t>
      </w:r>
      <w:r>
        <w:t>可归属于存货采购成本的费</w:t>
      </w:r>
    </w:p>
    <w:p>
      <w:pPr>
        <w:pStyle w:val="6"/>
        <w:ind w:left="322"/>
      </w:pPr>
      <w:r>
        <w:t>用。</w:t>
      </w:r>
    </w:p>
    <w:p>
      <w:pPr>
        <w:pStyle w:val="13"/>
        <w:numPr>
          <w:ilvl w:val="0"/>
          <w:numId w:val="59"/>
        </w:numPr>
        <w:tabs>
          <w:tab w:val="left" w:pos="1224"/>
        </w:tabs>
        <w:spacing w:before="70" w:after="0" w:line="240" w:lineRule="auto"/>
        <w:ind w:left="1223" w:right="0" w:hanging="501"/>
        <w:jc w:val="left"/>
        <w:rPr>
          <w:sz w:val="20"/>
        </w:rPr>
      </w:pPr>
      <w:r>
        <w:rPr>
          <w:sz w:val="20"/>
        </w:rPr>
        <w:t>购买价款：企业购入的材料或商品的发票账单上列明的价款，</w:t>
      </w:r>
      <w:r>
        <w:rPr>
          <w:color w:val="FF0000"/>
          <w:sz w:val="20"/>
          <w:u w:val="double" w:color="FF0000"/>
        </w:rPr>
        <w:t>不包括按规定可以抵扣的增值税额</w:t>
      </w:r>
      <w:r>
        <w:rPr>
          <w:sz w:val="20"/>
        </w:rPr>
        <w:t>（小</w:t>
      </w:r>
    </w:p>
    <w:p>
      <w:pPr>
        <w:pStyle w:val="6"/>
        <w:spacing w:before="68"/>
        <w:ind w:left="322"/>
      </w:pPr>
      <w:r>
        <w:rPr>
          <w:w w:val="95"/>
        </w:rPr>
        <w:t>规模纳税人的增值税计入采购成本）</w:t>
      </w:r>
    </w:p>
    <w:p>
      <w:pPr>
        <w:pStyle w:val="13"/>
        <w:numPr>
          <w:ilvl w:val="0"/>
          <w:numId w:val="59"/>
        </w:numPr>
        <w:tabs>
          <w:tab w:val="left" w:pos="1224"/>
        </w:tabs>
        <w:spacing w:before="70" w:after="0" w:line="304" w:lineRule="auto"/>
        <w:ind w:left="322" w:right="761" w:firstLine="400"/>
        <w:jc w:val="left"/>
        <w:rPr>
          <w:sz w:val="20"/>
        </w:rPr>
      </w:pPr>
      <w:r>
        <w:rPr>
          <w:w w:val="95"/>
          <w:sz w:val="20"/>
        </w:rPr>
        <w:t>相关税费：企业购买存货发生的</w:t>
      </w:r>
      <w:r>
        <w:rPr>
          <w:color w:val="FF0000"/>
          <w:w w:val="95"/>
          <w:sz w:val="20"/>
          <w:u w:val="double" w:color="FF0000"/>
        </w:rPr>
        <w:t>进口关税、消费税、资源税和不能抵扣的增值税进项税额以及相应的</w:t>
      </w:r>
      <w:r>
        <w:rPr>
          <w:color w:val="FF0000"/>
          <w:spacing w:val="-199"/>
          <w:w w:val="95"/>
          <w:sz w:val="20"/>
          <w:u w:val="double" w:color="FF0000"/>
        </w:rPr>
        <w:t>教</w:t>
      </w:r>
      <w:r>
        <w:rPr>
          <w:color w:val="FF0000"/>
          <w:spacing w:val="161"/>
          <w:w w:val="95"/>
          <w:sz w:val="20"/>
          <w:u w:val="double" w:color="FF0000"/>
        </w:rPr>
        <w:t xml:space="preserve"> </w:t>
      </w:r>
      <w:r>
        <w:rPr>
          <w:color w:val="FF0000"/>
          <w:sz w:val="20"/>
          <w:u w:val="double" w:color="FF0000"/>
        </w:rPr>
        <w:t>育费附加</w:t>
      </w:r>
      <w:r>
        <w:rPr>
          <w:sz w:val="20"/>
        </w:rPr>
        <w:t>等应计入存货采购成本的税费。</w:t>
      </w:r>
    </w:p>
    <w:p>
      <w:pPr>
        <w:pStyle w:val="13"/>
        <w:numPr>
          <w:ilvl w:val="0"/>
          <w:numId w:val="59"/>
        </w:numPr>
        <w:tabs>
          <w:tab w:val="left" w:pos="1224"/>
        </w:tabs>
        <w:spacing w:before="2" w:after="0" w:line="304" w:lineRule="auto"/>
        <w:ind w:left="322" w:right="761" w:firstLine="400"/>
        <w:jc w:val="left"/>
        <w:rPr>
          <w:sz w:val="20"/>
        </w:rPr>
      </w:pPr>
      <w:r>
        <w:rPr>
          <w:w w:val="95"/>
          <w:sz w:val="20"/>
        </w:rPr>
        <w:t xml:space="preserve">其他可归属于存货采购成本的费用：采购成本中除上述各项以外的可归属于存货采购的费用，如在存   </w:t>
      </w:r>
      <w:r>
        <w:rPr>
          <w:sz w:val="20"/>
        </w:rPr>
        <w:t>货采购过程中发生的</w:t>
      </w:r>
      <w:r>
        <w:rPr>
          <w:color w:val="FF0000"/>
          <w:sz w:val="20"/>
          <w:u w:val="double" w:color="FF0000"/>
        </w:rPr>
        <w:t>仓储费、包装费、运输途中的合理损耗、入库前的挑选整理费用</w:t>
      </w:r>
      <w:r>
        <w:rPr>
          <w:sz w:val="20"/>
        </w:rPr>
        <w:t>等。</w:t>
      </w:r>
    </w:p>
    <w:p>
      <w:pPr>
        <w:pStyle w:val="13"/>
        <w:numPr>
          <w:ilvl w:val="0"/>
          <w:numId w:val="59"/>
        </w:numPr>
        <w:tabs>
          <w:tab w:val="left" w:pos="1224"/>
        </w:tabs>
        <w:spacing w:before="2" w:after="0" w:line="302" w:lineRule="auto"/>
        <w:ind w:left="322" w:right="761" w:firstLine="400"/>
        <w:jc w:val="left"/>
        <w:rPr>
          <w:sz w:val="20"/>
        </w:rPr>
      </w:pPr>
      <w:r>
        <w:rPr>
          <w:w w:val="95"/>
          <w:sz w:val="20"/>
        </w:rPr>
        <w:t xml:space="preserve">商品流通企业在采购商品过程中发生的运输费、装卸费、保险费以及其他可归属于存货采购成本的费   </w:t>
      </w:r>
      <w:r>
        <w:rPr>
          <w:sz w:val="20"/>
        </w:rPr>
        <w:t>用等进货费用，应当计入存货采购成本，也可以先进行归集，期末根据所购商品的存销情况进行分摊。</w:t>
      </w:r>
    </w:p>
    <w:p>
      <w:pPr>
        <w:pStyle w:val="6"/>
        <w:spacing w:before="5"/>
      </w:pPr>
      <w:r>
        <w:t>①</w:t>
      </w:r>
      <w:r>
        <w:rPr>
          <w:color w:val="FF0000"/>
          <w:u w:val="double" w:color="FF0000"/>
        </w:rPr>
        <w:t>对于已售商品的进货费用，计入当期损益</w:t>
      </w:r>
      <w:r>
        <w:t>；②</w:t>
      </w:r>
      <w:r>
        <w:rPr>
          <w:color w:val="FF0000"/>
          <w:u w:val="double" w:color="FF0000"/>
        </w:rPr>
        <w:t>对于未售商品的进货费用，计入期末存货成本</w:t>
      </w:r>
      <w:r>
        <w:t>。</w:t>
      </w:r>
    </w:p>
    <w:p>
      <w:pPr>
        <w:pStyle w:val="6"/>
      </w:pPr>
      <w:r>
        <w:t>③企业采购商品的</w:t>
      </w:r>
      <w:r>
        <w:rPr>
          <w:color w:val="FF0000"/>
          <w:u w:val="double" w:color="FF0000"/>
        </w:rPr>
        <w:t>进货费用金额较小</w:t>
      </w:r>
      <w:r>
        <w:t>的，可以在发生时</w:t>
      </w:r>
      <w:r>
        <w:rPr>
          <w:color w:val="FF0000"/>
          <w:u w:val="double" w:color="FF0000"/>
        </w:rPr>
        <w:t>直接计入当期损益</w:t>
      </w:r>
      <w:r>
        <w:t>。</w:t>
      </w:r>
    </w:p>
    <w:p>
      <w:pPr>
        <w:pStyle w:val="13"/>
        <w:numPr>
          <w:ilvl w:val="0"/>
          <w:numId w:val="60"/>
        </w:numPr>
        <w:tabs>
          <w:tab w:val="left" w:pos="925"/>
        </w:tabs>
        <w:spacing w:before="70" w:after="0" w:line="304" w:lineRule="auto"/>
        <w:ind w:left="322" w:right="720" w:firstLine="400"/>
        <w:jc w:val="left"/>
        <w:rPr>
          <w:sz w:val="18"/>
        </w:rPr>
      </w:pPr>
      <w:r>
        <w:rPr>
          <w:b/>
          <w:spacing w:val="-4"/>
          <w:w w:val="95"/>
          <w:sz w:val="20"/>
        </w:rPr>
        <w:t>存货的加工成本：</w:t>
      </w:r>
      <w:r>
        <w:rPr>
          <w:spacing w:val="-2"/>
          <w:w w:val="95"/>
          <w:sz w:val="20"/>
        </w:rPr>
        <w:t xml:space="preserve">存货的加工成本是指在存货的加工过程中发生的追加费用，包括直接人工以及按照一定   </w:t>
      </w:r>
      <w:r>
        <w:rPr>
          <w:spacing w:val="-2"/>
          <w:sz w:val="20"/>
        </w:rPr>
        <w:t>方法分配的制造费用。</w:t>
      </w:r>
    </w:p>
    <w:p>
      <w:pPr>
        <w:pStyle w:val="13"/>
        <w:numPr>
          <w:ilvl w:val="0"/>
          <w:numId w:val="60"/>
        </w:numPr>
        <w:tabs>
          <w:tab w:val="left" w:pos="925"/>
        </w:tabs>
        <w:spacing w:before="2" w:after="0" w:line="302" w:lineRule="auto"/>
        <w:ind w:left="322" w:right="621" w:firstLine="400"/>
        <w:jc w:val="left"/>
        <w:rPr>
          <w:sz w:val="18"/>
        </w:rPr>
      </w:pPr>
      <w:r>
        <w:rPr>
          <w:b/>
          <w:spacing w:val="-11"/>
          <w:w w:val="95"/>
          <w:sz w:val="20"/>
        </w:rPr>
        <w:t>存货的其他成本：</w:t>
      </w:r>
      <w:r>
        <w:rPr>
          <w:spacing w:val="-4"/>
          <w:w w:val="95"/>
          <w:sz w:val="20"/>
        </w:rPr>
        <w:t xml:space="preserve">企业设计产品发生的设计费用通常应计入当期损益，但是为特定客户设计产品所发生的、   </w:t>
      </w:r>
      <w:r>
        <w:rPr>
          <w:spacing w:val="-4"/>
          <w:sz w:val="20"/>
        </w:rPr>
        <w:t>可直接确定的设计费用应计入存货的成本。</w:t>
      </w:r>
    </w:p>
    <w:p>
      <w:pPr>
        <w:pStyle w:val="13"/>
        <w:numPr>
          <w:ilvl w:val="0"/>
          <w:numId w:val="60"/>
        </w:numPr>
        <w:tabs>
          <w:tab w:val="left" w:pos="925"/>
        </w:tabs>
        <w:spacing w:before="4" w:after="0" w:line="240" w:lineRule="auto"/>
        <w:ind w:left="924" w:right="0" w:hanging="202"/>
        <w:jc w:val="left"/>
        <w:rPr>
          <w:sz w:val="18"/>
        </w:rPr>
      </w:pPr>
      <w:r>
        <w:rPr>
          <w:sz w:val="20"/>
        </w:rPr>
        <w:t>存货的成本，实务中具体按以下原则确定：</w:t>
      </w:r>
    </w:p>
    <w:p>
      <w:pPr>
        <w:pStyle w:val="5"/>
        <w:numPr>
          <w:ilvl w:val="0"/>
          <w:numId w:val="61"/>
        </w:numPr>
        <w:tabs>
          <w:tab w:val="left" w:pos="1224"/>
        </w:tabs>
        <w:spacing w:before="71" w:after="0" w:line="304" w:lineRule="auto"/>
        <w:ind w:left="322" w:right="722" w:firstLine="400"/>
        <w:jc w:val="left"/>
        <w:rPr>
          <w:b w:val="0"/>
        </w:rPr>
      </w:pPr>
      <w:r>
        <w:rPr>
          <w:b w:val="0"/>
          <w:spacing w:val="-3"/>
          <w:w w:val="95"/>
        </w:rPr>
        <w:t>购入的存货，其成本包括：</w:t>
      </w:r>
      <w:r>
        <w:rPr>
          <w:color w:val="00AFEF"/>
          <w:spacing w:val="-4"/>
          <w:w w:val="95"/>
          <w:u w:val="single" w:color="00AFEF"/>
        </w:rPr>
        <w:t>买价、运杂费</w:t>
      </w:r>
      <w:r>
        <w:rPr>
          <w:color w:val="00AFEF"/>
          <w:w w:val="95"/>
          <w:u w:val="single" w:color="00AFEF"/>
        </w:rPr>
        <w:t>（</w:t>
      </w:r>
      <w:r>
        <w:rPr>
          <w:color w:val="00AFEF"/>
          <w:spacing w:val="-5"/>
          <w:w w:val="95"/>
          <w:u w:val="single" w:color="00AFEF"/>
        </w:rPr>
        <w:t>包括运输费、装卸费、保险费、包装费、仓储费等</w:t>
      </w:r>
      <w:r>
        <w:rPr>
          <w:color w:val="00AFEF"/>
          <w:spacing w:val="-99"/>
          <w:w w:val="95"/>
          <w:u w:val="single" w:color="00AFEF"/>
        </w:rPr>
        <w:t>）</w:t>
      </w:r>
      <w:r>
        <w:rPr>
          <w:color w:val="00AFEF"/>
          <w:spacing w:val="-3"/>
          <w:w w:val="95"/>
          <w:u w:val="single" w:color="00AFEF"/>
        </w:rPr>
        <w:t xml:space="preserve">、运输   </w:t>
      </w:r>
      <w:r>
        <w:rPr>
          <w:color w:val="00AFEF"/>
          <w:spacing w:val="-3"/>
          <w:u w:val="single" w:color="00AFEF"/>
        </w:rPr>
        <w:t>途中的合理损耗、入库前的挑选整理费用以及按规定应计入成本的税费和其他费用</w:t>
      </w:r>
      <w:r>
        <w:rPr>
          <w:b w:val="0"/>
          <w:spacing w:val="-3"/>
        </w:rPr>
        <w:t>。</w:t>
      </w:r>
    </w:p>
    <w:p>
      <w:pPr>
        <w:pStyle w:val="13"/>
        <w:numPr>
          <w:ilvl w:val="0"/>
          <w:numId w:val="61"/>
        </w:numPr>
        <w:tabs>
          <w:tab w:val="left" w:pos="1224"/>
        </w:tabs>
        <w:spacing w:before="2" w:after="0" w:line="240" w:lineRule="auto"/>
        <w:ind w:left="1223" w:right="0" w:hanging="501"/>
        <w:jc w:val="left"/>
        <w:rPr>
          <w:sz w:val="20"/>
        </w:rPr>
      </w:pPr>
      <w:r>
        <w:rPr>
          <w:sz w:val="20"/>
        </w:rPr>
        <w:t>自制的存货，其成本包括直接材料、直接人工和制造费用等的各项实际支出。</w:t>
      </w:r>
    </w:p>
    <w:p>
      <w:pPr>
        <w:pStyle w:val="13"/>
        <w:numPr>
          <w:ilvl w:val="0"/>
          <w:numId w:val="61"/>
        </w:numPr>
        <w:tabs>
          <w:tab w:val="left" w:pos="1224"/>
        </w:tabs>
        <w:spacing w:before="70" w:after="0" w:line="302" w:lineRule="auto"/>
        <w:ind w:left="322" w:right="761" w:firstLine="400"/>
        <w:jc w:val="left"/>
        <w:rPr>
          <w:sz w:val="20"/>
        </w:rPr>
      </w:pPr>
      <w:r>
        <w:rPr>
          <w:w w:val="95"/>
          <w:sz w:val="20"/>
        </w:rPr>
        <w:t xml:space="preserve">委托外单位加工完成的存货，其成本包括实际耗用的原材料或者半成品、加工费、装卸费、保险费、   </w:t>
      </w:r>
      <w:r>
        <w:rPr>
          <w:sz w:val="20"/>
        </w:rPr>
        <w:t>委托加工的往返运输费等费用以及按规定应计入成本的税费。</w:t>
      </w:r>
    </w:p>
    <w:p>
      <w:pPr>
        <w:pStyle w:val="13"/>
        <w:numPr>
          <w:ilvl w:val="0"/>
          <w:numId w:val="60"/>
        </w:numPr>
        <w:tabs>
          <w:tab w:val="left" w:pos="925"/>
        </w:tabs>
        <w:spacing w:before="4" w:after="0" w:line="240" w:lineRule="auto"/>
        <w:ind w:left="924" w:right="0" w:hanging="202"/>
        <w:jc w:val="left"/>
        <w:rPr>
          <w:sz w:val="18"/>
        </w:rPr>
      </w:pPr>
      <w:r>
        <w:rPr>
          <w:sz w:val="20"/>
        </w:rPr>
        <w:t>下列费用</w:t>
      </w:r>
      <w:r>
        <w:rPr>
          <w:color w:val="FF0000"/>
          <w:sz w:val="20"/>
          <w:u w:val="double" w:color="FF0000"/>
        </w:rPr>
        <w:t>不应计入存货成本</w:t>
      </w:r>
      <w:r>
        <w:rPr>
          <w:sz w:val="20"/>
        </w:rPr>
        <w:t>，应在其</w:t>
      </w:r>
      <w:r>
        <w:rPr>
          <w:color w:val="FF0000"/>
          <w:sz w:val="20"/>
          <w:u w:val="double" w:color="FF0000"/>
        </w:rPr>
        <w:t>发生时计入当期损益</w:t>
      </w:r>
      <w:r>
        <w:rPr>
          <w:sz w:val="20"/>
        </w:rPr>
        <w:t>：</w:t>
      </w:r>
    </w:p>
    <w:p>
      <w:pPr>
        <w:pStyle w:val="13"/>
        <w:numPr>
          <w:ilvl w:val="0"/>
          <w:numId w:val="62"/>
        </w:numPr>
        <w:tabs>
          <w:tab w:val="left" w:pos="1224"/>
        </w:tabs>
        <w:spacing w:before="70" w:after="0" w:line="240" w:lineRule="auto"/>
        <w:ind w:left="1223" w:right="0" w:hanging="501"/>
        <w:jc w:val="left"/>
        <w:rPr>
          <w:sz w:val="20"/>
        </w:rPr>
      </w:pPr>
      <w:r>
        <w:rPr>
          <w:b/>
          <w:color w:val="00AFEF"/>
          <w:sz w:val="20"/>
          <w:u w:val="single" w:color="00AFEF"/>
        </w:rPr>
        <w:t>非正常消耗</w:t>
      </w:r>
      <w:r>
        <w:rPr>
          <w:sz w:val="20"/>
        </w:rPr>
        <w:t>的直接材料、直接人工和制造费用；</w:t>
      </w:r>
    </w:p>
    <w:p>
      <w:pPr>
        <w:pStyle w:val="13"/>
        <w:numPr>
          <w:ilvl w:val="0"/>
          <w:numId w:val="62"/>
        </w:numPr>
        <w:tabs>
          <w:tab w:val="left" w:pos="1224"/>
        </w:tabs>
        <w:spacing w:before="71" w:after="0" w:line="240" w:lineRule="auto"/>
        <w:ind w:left="1223" w:right="0" w:hanging="501"/>
        <w:jc w:val="left"/>
        <w:rPr>
          <w:sz w:val="20"/>
        </w:rPr>
      </w:pPr>
      <w:r>
        <w:rPr>
          <w:sz w:val="20"/>
        </w:rPr>
        <w:t>仓储费用，指企业在</w:t>
      </w:r>
      <w:r>
        <w:rPr>
          <w:b/>
          <w:color w:val="00AFEF"/>
          <w:sz w:val="20"/>
          <w:u w:val="single" w:color="00AFEF"/>
        </w:rPr>
        <w:t>存货采购入库后</w:t>
      </w:r>
      <w:r>
        <w:rPr>
          <w:sz w:val="20"/>
        </w:rPr>
        <w:t>发生的储存费用；</w:t>
      </w:r>
    </w:p>
    <w:p>
      <w:pPr>
        <w:pStyle w:val="13"/>
        <w:numPr>
          <w:ilvl w:val="0"/>
          <w:numId w:val="62"/>
        </w:numPr>
        <w:tabs>
          <w:tab w:val="left" w:pos="1224"/>
        </w:tabs>
        <w:spacing w:before="70" w:after="0" w:line="240" w:lineRule="auto"/>
        <w:ind w:left="1223" w:right="0" w:hanging="501"/>
        <w:jc w:val="left"/>
        <w:rPr>
          <w:sz w:val="20"/>
        </w:rPr>
      </w:pPr>
      <w:r>
        <w:rPr>
          <w:b/>
          <w:color w:val="00AFEF"/>
          <w:sz w:val="20"/>
          <w:u w:val="single" w:color="00AFEF"/>
        </w:rPr>
        <w:t>不能归属于</w:t>
      </w:r>
      <w:r>
        <w:rPr>
          <w:sz w:val="20"/>
        </w:rPr>
        <w:t>使存货达到目前场所和状态的其他支出；</w:t>
      </w:r>
    </w:p>
    <w:p>
      <w:pPr>
        <w:pStyle w:val="6"/>
        <w:spacing w:line="304" w:lineRule="auto"/>
        <w:ind w:left="322" w:right="722" w:firstLine="400"/>
        <w:jc w:val="both"/>
      </w:pPr>
      <w:r>
        <mc:AlternateContent>
          <mc:Choice Requires="wps">
            <w:drawing>
              <wp:anchor distT="0" distB="0" distL="114300" distR="114300" simplePos="0" relativeHeight="482429952" behindDoc="1" locked="0" layoutInCell="1" allowOverlap="1">
                <wp:simplePos x="0" y="0"/>
                <wp:positionH relativeFrom="page">
                  <wp:posOffset>1683385</wp:posOffset>
                </wp:positionH>
                <wp:positionV relativeFrom="paragraph">
                  <wp:posOffset>180975</wp:posOffset>
                </wp:positionV>
                <wp:extent cx="502920" cy="5715"/>
                <wp:effectExtent l="0" t="0" r="0" b="0"/>
                <wp:wrapNone/>
                <wp:docPr id="273" name="任意多边形 14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8" o:spid="_x0000_s1026" o:spt="100" style="position:absolute;left:0pt;margin-left:132.55pt;margin-top:14.25pt;height:0.45pt;width:39.6pt;mso-position-horizontal-relative:page;z-index:-20886528;mso-width-relative:page;mso-height-relative:page;" filled="f" stroked="t" coordsize="792,9" o:gfxdata="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DOZHF51gAAAAkBAAAPAAAAAAAAAAEAIAAAACIA&#10;AABkcnMvZG93bnJldi54bWxQSwECFAAUAAAACACHTuJA5Rw4/e8CAACbCgAADgAAAAAAAAABACAA&#10;AAAl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29952" behindDoc="1" locked="0" layoutInCell="1" allowOverlap="1">
                <wp:simplePos x="0" y="0"/>
                <wp:positionH relativeFrom="page">
                  <wp:posOffset>3578225</wp:posOffset>
                </wp:positionH>
                <wp:positionV relativeFrom="paragraph">
                  <wp:posOffset>387985</wp:posOffset>
                </wp:positionV>
                <wp:extent cx="377190" cy="5715"/>
                <wp:effectExtent l="0" t="0" r="0" b="0"/>
                <wp:wrapNone/>
                <wp:docPr id="274" name="任意多边形 149"/>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49" o:spid="_x0000_s1026" o:spt="100" style="position:absolute;left:0pt;margin-left:281.75pt;margin-top:30.55pt;height:0.45pt;width:29.7pt;mso-position-horizontal-relative:page;z-index:-20886528;mso-width-relative:page;mso-height-relative:page;" filled="f" stroked="t" coordsize="594,9" o:gfxdata="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cjqEL9UAAAAJAQAADwAAAAAAAAABACAA&#10;AAAiAAAAZHJzL2Rvd25yZXYueG1sUEsBAhQAFAAAAAgAh07iQFyYkrO7AgAA+QgAAA4AAAAAAAAA&#10;AQAgAAAAJAEAAGRycy9lMm9Eb2MueG1sUEsFBgAAAAAGAAYAWQEAAFEGA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15796224" behindDoc="0" locked="0" layoutInCell="1" allowOverlap="1">
                <wp:simplePos x="0" y="0"/>
                <wp:positionH relativeFrom="page">
                  <wp:posOffset>1071245</wp:posOffset>
                </wp:positionH>
                <wp:positionV relativeFrom="paragraph">
                  <wp:posOffset>620395</wp:posOffset>
                </wp:positionV>
                <wp:extent cx="5420995" cy="1493520"/>
                <wp:effectExtent l="0" t="0" r="0" b="0"/>
                <wp:wrapNone/>
                <wp:docPr id="129" name="文本框 150"/>
                <wp:cNvGraphicFramePr/>
                <a:graphic xmlns:a="http://schemas.openxmlformats.org/drawingml/2006/main">
                  <a:graphicData uri="http://schemas.microsoft.com/office/word/2010/wordprocessingShape">
                    <wps:wsp>
                      <wps:cNvSpPr txBox="1"/>
                      <wps:spPr>
                        <a:xfrm>
                          <a:off x="0" y="0"/>
                          <a:ext cx="5420995" cy="149352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22"/>
                              <w:gridCol w:w="3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622" w:type="dxa"/>
                                </w:tcPr>
                                <w:p>
                                  <w:pPr>
                                    <w:pStyle w:val="14"/>
                                    <w:spacing w:before="68" w:line="237" w:lineRule="exact"/>
                                    <w:ind w:left="2290" w:right="1882"/>
                                    <w:jc w:val="center"/>
                                    <w:rPr>
                                      <w:sz w:val="20"/>
                                    </w:rPr>
                                  </w:pPr>
                                  <w:r>
                                    <w:rPr>
                                      <w:sz w:val="20"/>
                                    </w:rPr>
                                    <w:t>计入</w:t>
                                  </w:r>
                                </w:p>
                              </w:tc>
                              <w:tc>
                                <w:tcPr>
                                  <w:tcW w:w="3900" w:type="dxa"/>
                                </w:tcPr>
                                <w:p>
                                  <w:pPr>
                                    <w:pStyle w:val="14"/>
                                    <w:spacing w:before="68" w:line="237" w:lineRule="exact"/>
                                    <w:ind w:left="1830" w:right="1420"/>
                                    <w:jc w:val="center"/>
                                    <w:rPr>
                                      <w:sz w:val="20"/>
                                    </w:rPr>
                                  </w:pPr>
                                  <w:r>
                                    <w:rPr>
                                      <w:sz w:val="20"/>
                                    </w:rPr>
                                    <w:t>不计入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622" w:type="dxa"/>
                                </w:tcPr>
                                <w:p>
                                  <w:pPr>
                                    <w:pStyle w:val="14"/>
                                    <w:spacing w:before="7" w:line="326" w:lineRule="exact"/>
                                    <w:ind w:left="107" w:right="103"/>
                                    <w:rPr>
                                      <w:sz w:val="20"/>
                                    </w:rPr>
                                  </w:pPr>
                                  <w:r>
                                    <w:rPr>
                                      <w:w w:val="95"/>
                                      <w:sz w:val="20"/>
                                    </w:rPr>
                                    <w:t xml:space="preserve">购买价款；采购过程运输费、装卸费、保险费；入 </w:t>
                                  </w:r>
                                  <w:r>
                                    <w:rPr>
                                      <w:sz w:val="20"/>
                                    </w:rPr>
                                    <w:t>库前的挑选整理费用；运输途中合理损耗</w:t>
                                  </w:r>
                                </w:p>
                              </w:tc>
                              <w:tc>
                                <w:tcPr>
                                  <w:tcW w:w="3900" w:type="dxa"/>
                                </w:tcPr>
                                <w:p>
                                  <w:pPr>
                                    <w:pStyle w:val="14"/>
                                    <w:spacing w:before="7" w:line="326" w:lineRule="exact"/>
                                    <w:ind w:left="108" w:right="180"/>
                                    <w:rPr>
                                      <w:sz w:val="20"/>
                                    </w:rPr>
                                  </w:pPr>
                                  <w:r>
                                    <w:rPr>
                                      <w:sz w:val="20"/>
                                    </w:rPr>
                                    <w:t>销售相关的运输费、装卸费等计入销售费用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4622" w:type="dxa"/>
                                </w:tcPr>
                                <w:p>
                                  <w:pPr>
                                    <w:pStyle w:val="14"/>
                                    <w:spacing w:before="62" w:line="237" w:lineRule="exact"/>
                                    <w:ind w:left="107"/>
                                    <w:rPr>
                                      <w:sz w:val="20"/>
                                    </w:rPr>
                                  </w:pPr>
                                  <w:r>
                                    <w:rPr>
                                      <w:sz w:val="20"/>
                                    </w:rPr>
                                    <w:t>进口关税、消费税、资源税、不可抵扣的进项税</w:t>
                                  </w:r>
                                </w:p>
                              </w:tc>
                              <w:tc>
                                <w:tcPr>
                                  <w:tcW w:w="3900" w:type="dxa"/>
                                </w:tcPr>
                                <w:p>
                                  <w:pPr>
                                    <w:pStyle w:val="14"/>
                                    <w:spacing w:before="62" w:line="237" w:lineRule="exact"/>
                                    <w:ind w:left="108"/>
                                    <w:rPr>
                                      <w:sz w:val="20"/>
                                    </w:rPr>
                                  </w:pPr>
                                  <w:r>
                                    <w:rPr>
                                      <w:sz w:val="20"/>
                                    </w:rPr>
                                    <w:t>可抵扣的进项税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622" w:type="dxa"/>
                                </w:tcPr>
                                <w:p>
                                  <w:pPr>
                                    <w:pStyle w:val="14"/>
                                    <w:spacing w:before="69" w:line="237" w:lineRule="exact"/>
                                    <w:ind w:left="107"/>
                                    <w:rPr>
                                      <w:sz w:val="20"/>
                                    </w:rPr>
                                  </w:pPr>
                                  <w:r>
                                    <w:rPr>
                                      <w:sz w:val="20"/>
                                    </w:rPr>
                                    <w:t>特定客户的设计费用</w:t>
                                  </w:r>
                                </w:p>
                              </w:tc>
                              <w:tc>
                                <w:tcPr>
                                  <w:tcW w:w="3900" w:type="dxa"/>
                                </w:tcPr>
                                <w:p>
                                  <w:pPr>
                                    <w:pStyle w:val="14"/>
                                    <w:spacing w:before="69" w:line="237" w:lineRule="exact"/>
                                    <w:ind w:left="108"/>
                                    <w:rPr>
                                      <w:sz w:val="20"/>
                                    </w:rPr>
                                  </w:pPr>
                                  <w:r>
                                    <w:rPr>
                                      <w:sz w:val="20"/>
                                    </w:rPr>
                                    <w:t>正常产品设计费计入管理费用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622" w:type="dxa"/>
                                </w:tcPr>
                                <w:p>
                                  <w:pPr>
                                    <w:pStyle w:val="14"/>
                                    <w:spacing w:before="69" w:line="237" w:lineRule="exact"/>
                                    <w:ind w:left="107"/>
                                    <w:rPr>
                                      <w:sz w:val="20"/>
                                    </w:rPr>
                                  </w:pPr>
                                  <w:r>
                                    <w:rPr>
                                      <w:sz w:val="20"/>
                                    </w:rPr>
                                    <w:t>生产过程发生的料、工、费</w:t>
                                  </w:r>
                                </w:p>
                              </w:tc>
                              <w:tc>
                                <w:tcPr>
                                  <w:tcW w:w="3900" w:type="dxa"/>
                                </w:tcPr>
                                <w:p>
                                  <w:pPr>
                                    <w:pStyle w:val="14"/>
                                    <w:spacing w:before="69" w:line="237" w:lineRule="exact"/>
                                    <w:ind w:left="108"/>
                                    <w:rPr>
                                      <w:sz w:val="20"/>
                                    </w:rPr>
                                  </w:pPr>
                                  <w:r>
                                    <w:rPr>
                                      <w:sz w:val="20"/>
                                    </w:rPr>
                                    <w:t>非正常消耗的料、工、费计入营业外支出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622" w:type="dxa"/>
                                </w:tcPr>
                                <w:p>
                                  <w:pPr>
                                    <w:pStyle w:val="14"/>
                                    <w:spacing w:before="69" w:line="237" w:lineRule="exact"/>
                                    <w:ind w:left="107"/>
                                    <w:rPr>
                                      <w:sz w:val="20"/>
                                    </w:rPr>
                                  </w:pPr>
                                  <w:r>
                                    <w:rPr>
                                      <w:sz w:val="20"/>
                                    </w:rPr>
                                    <w:t>在生产过程中为达到下一个阶段所必需的存储费用</w:t>
                                  </w:r>
                                </w:p>
                              </w:tc>
                              <w:tc>
                                <w:tcPr>
                                  <w:tcW w:w="3900" w:type="dxa"/>
                                </w:tcPr>
                                <w:p>
                                  <w:pPr>
                                    <w:pStyle w:val="14"/>
                                    <w:spacing w:before="69" w:line="237" w:lineRule="exact"/>
                                    <w:ind w:left="108"/>
                                    <w:rPr>
                                      <w:sz w:val="20"/>
                                    </w:rPr>
                                  </w:pPr>
                                  <w:r>
                                    <w:rPr>
                                      <w:sz w:val="20"/>
                                    </w:rPr>
                                    <w:t>存货入库后发生的储存费用计入管理费用</w:t>
                                  </w:r>
                                </w:p>
                              </w:tc>
                            </w:tr>
                          </w:tbl>
                          <w:p>
                            <w:pPr>
                              <w:pStyle w:val="6"/>
                              <w:spacing w:before="0"/>
                              <w:ind w:left="0"/>
                            </w:pPr>
                          </w:p>
                        </w:txbxContent>
                      </wps:txbx>
                      <wps:bodyPr lIns="0" tIns="0" rIns="0" bIns="0" upright="1"/>
                    </wps:wsp>
                  </a:graphicData>
                </a:graphic>
              </wp:anchor>
            </w:drawing>
          </mc:Choice>
          <mc:Fallback>
            <w:pict>
              <v:shape id="文本框 150" o:spid="_x0000_s1026" o:spt="202" type="#_x0000_t202" style="position:absolute;left:0pt;margin-left:84.35pt;margin-top:48.85pt;height:117.6pt;width:426.85pt;mso-position-horizontal-relative:page;z-index:15796224;mso-width-relative:page;mso-height-relative:page;" filled="f" stroked="f" coordsize="21600,21600" o:gfxdata="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ICSLYDaAAAACwEAAA8A&#10;AAAAAAAAAQAgAAAAIgAAAGRycy9kb3ducmV2LnhtbFBLAQIUABQAAAAIAIdO4kD8uT36owEAACkD&#10;AAAOAAAAAAAAAAEAIAAAACk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22"/>
                        <w:gridCol w:w="3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622" w:type="dxa"/>
                          </w:tcPr>
                          <w:p>
                            <w:pPr>
                              <w:pStyle w:val="14"/>
                              <w:spacing w:before="68" w:line="237" w:lineRule="exact"/>
                              <w:ind w:left="2290" w:right="1882"/>
                              <w:jc w:val="center"/>
                              <w:rPr>
                                <w:sz w:val="20"/>
                              </w:rPr>
                            </w:pPr>
                            <w:r>
                              <w:rPr>
                                <w:sz w:val="20"/>
                              </w:rPr>
                              <w:t>计入</w:t>
                            </w:r>
                          </w:p>
                        </w:tc>
                        <w:tc>
                          <w:tcPr>
                            <w:tcW w:w="3900" w:type="dxa"/>
                          </w:tcPr>
                          <w:p>
                            <w:pPr>
                              <w:pStyle w:val="14"/>
                              <w:spacing w:before="68" w:line="237" w:lineRule="exact"/>
                              <w:ind w:left="1830" w:right="1420"/>
                              <w:jc w:val="center"/>
                              <w:rPr>
                                <w:sz w:val="20"/>
                              </w:rPr>
                            </w:pPr>
                            <w:r>
                              <w:rPr>
                                <w:sz w:val="20"/>
                              </w:rPr>
                              <w:t>不计入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622" w:type="dxa"/>
                          </w:tcPr>
                          <w:p>
                            <w:pPr>
                              <w:pStyle w:val="14"/>
                              <w:spacing w:before="7" w:line="326" w:lineRule="exact"/>
                              <w:ind w:left="107" w:right="103"/>
                              <w:rPr>
                                <w:sz w:val="20"/>
                              </w:rPr>
                            </w:pPr>
                            <w:r>
                              <w:rPr>
                                <w:w w:val="95"/>
                                <w:sz w:val="20"/>
                              </w:rPr>
                              <w:t xml:space="preserve">购买价款；采购过程运输费、装卸费、保险费；入 </w:t>
                            </w:r>
                            <w:r>
                              <w:rPr>
                                <w:sz w:val="20"/>
                              </w:rPr>
                              <w:t>库前的挑选整理费用；运输途中合理损耗</w:t>
                            </w:r>
                          </w:p>
                        </w:tc>
                        <w:tc>
                          <w:tcPr>
                            <w:tcW w:w="3900" w:type="dxa"/>
                          </w:tcPr>
                          <w:p>
                            <w:pPr>
                              <w:pStyle w:val="14"/>
                              <w:spacing w:before="7" w:line="326" w:lineRule="exact"/>
                              <w:ind w:left="108" w:right="180"/>
                              <w:rPr>
                                <w:sz w:val="20"/>
                              </w:rPr>
                            </w:pPr>
                            <w:r>
                              <w:rPr>
                                <w:sz w:val="20"/>
                              </w:rPr>
                              <w:t>销售相关的运输费、装卸费等计入销售费用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4622" w:type="dxa"/>
                          </w:tcPr>
                          <w:p>
                            <w:pPr>
                              <w:pStyle w:val="14"/>
                              <w:spacing w:before="62" w:line="237" w:lineRule="exact"/>
                              <w:ind w:left="107"/>
                              <w:rPr>
                                <w:sz w:val="20"/>
                              </w:rPr>
                            </w:pPr>
                            <w:r>
                              <w:rPr>
                                <w:sz w:val="20"/>
                              </w:rPr>
                              <w:t>进口关税、消费税、资源税、不可抵扣的进项税</w:t>
                            </w:r>
                          </w:p>
                        </w:tc>
                        <w:tc>
                          <w:tcPr>
                            <w:tcW w:w="3900" w:type="dxa"/>
                          </w:tcPr>
                          <w:p>
                            <w:pPr>
                              <w:pStyle w:val="14"/>
                              <w:spacing w:before="62" w:line="237" w:lineRule="exact"/>
                              <w:ind w:left="108"/>
                              <w:rPr>
                                <w:sz w:val="20"/>
                              </w:rPr>
                            </w:pPr>
                            <w:r>
                              <w:rPr>
                                <w:sz w:val="20"/>
                              </w:rPr>
                              <w:t>可抵扣的进项税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622" w:type="dxa"/>
                          </w:tcPr>
                          <w:p>
                            <w:pPr>
                              <w:pStyle w:val="14"/>
                              <w:spacing w:before="69" w:line="237" w:lineRule="exact"/>
                              <w:ind w:left="107"/>
                              <w:rPr>
                                <w:sz w:val="20"/>
                              </w:rPr>
                            </w:pPr>
                            <w:r>
                              <w:rPr>
                                <w:sz w:val="20"/>
                              </w:rPr>
                              <w:t>特定客户的设计费用</w:t>
                            </w:r>
                          </w:p>
                        </w:tc>
                        <w:tc>
                          <w:tcPr>
                            <w:tcW w:w="3900" w:type="dxa"/>
                          </w:tcPr>
                          <w:p>
                            <w:pPr>
                              <w:pStyle w:val="14"/>
                              <w:spacing w:before="69" w:line="237" w:lineRule="exact"/>
                              <w:ind w:left="108"/>
                              <w:rPr>
                                <w:sz w:val="20"/>
                              </w:rPr>
                            </w:pPr>
                            <w:r>
                              <w:rPr>
                                <w:sz w:val="20"/>
                              </w:rPr>
                              <w:t>正常产品设计费计入管理费用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622" w:type="dxa"/>
                          </w:tcPr>
                          <w:p>
                            <w:pPr>
                              <w:pStyle w:val="14"/>
                              <w:spacing w:before="69" w:line="237" w:lineRule="exact"/>
                              <w:ind w:left="107"/>
                              <w:rPr>
                                <w:sz w:val="20"/>
                              </w:rPr>
                            </w:pPr>
                            <w:r>
                              <w:rPr>
                                <w:sz w:val="20"/>
                              </w:rPr>
                              <w:t>生产过程发生的料、工、费</w:t>
                            </w:r>
                          </w:p>
                        </w:tc>
                        <w:tc>
                          <w:tcPr>
                            <w:tcW w:w="3900" w:type="dxa"/>
                          </w:tcPr>
                          <w:p>
                            <w:pPr>
                              <w:pStyle w:val="14"/>
                              <w:spacing w:before="69" w:line="237" w:lineRule="exact"/>
                              <w:ind w:left="108"/>
                              <w:rPr>
                                <w:sz w:val="20"/>
                              </w:rPr>
                            </w:pPr>
                            <w:r>
                              <w:rPr>
                                <w:sz w:val="20"/>
                              </w:rPr>
                              <w:t>非正常消耗的料、工、费计入营业外支出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622" w:type="dxa"/>
                          </w:tcPr>
                          <w:p>
                            <w:pPr>
                              <w:pStyle w:val="14"/>
                              <w:spacing w:before="69" w:line="237" w:lineRule="exact"/>
                              <w:ind w:left="107"/>
                              <w:rPr>
                                <w:sz w:val="20"/>
                              </w:rPr>
                            </w:pPr>
                            <w:r>
                              <w:rPr>
                                <w:sz w:val="20"/>
                              </w:rPr>
                              <w:t>在生产过程中为达到下一个阶段所必需的存储费用</w:t>
                            </w:r>
                          </w:p>
                        </w:tc>
                        <w:tc>
                          <w:tcPr>
                            <w:tcW w:w="3900" w:type="dxa"/>
                          </w:tcPr>
                          <w:p>
                            <w:pPr>
                              <w:pStyle w:val="14"/>
                              <w:spacing w:before="69" w:line="237" w:lineRule="exact"/>
                              <w:ind w:left="108"/>
                              <w:rPr>
                                <w:sz w:val="20"/>
                              </w:rPr>
                            </w:pPr>
                            <w:r>
                              <w:rPr>
                                <w:sz w:val="20"/>
                              </w:rPr>
                              <w:t>存货入库后发生的储存费用计入管理费用</w:t>
                            </w:r>
                          </w:p>
                        </w:tc>
                      </w:tr>
                    </w:tbl>
                    <w:p>
                      <w:pPr>
                        <w:pStyle w:val="6"/>
                        <w:spacing w:before="0"/>
                        <w:ind w:left="0"/>
                      </w:pPr>
                    </w:p>
                  </w:txbxContent>
                </v:textbox>
              </v:shape>
            </w:pict>
          </mc:Fallback>
        </mc:AlternateContent>
      </w:r>
      <w:r>
        <w:rPr>
          <w:w w:val="95"/>
        </w:rPr>
        <w:t>【</w:t>
      </w:r>
      <w:r>
        <w:rPr>
          <w:color w:val="FF0000"/>
          <w:w w:val="95"/>
          <w:u w:val="double" w:color="FF0000"/>
        </w:rPr>
        <w:t>提示</w:t>
      </w:r>
      <w:r>
        <w:rPr>
          <w:spacing w:val="-115"/>
          <w:w w:val="95"/>
        </w:rPr>
        <w:t>】</w:t>
      </w:r>
      <w:r>
        <w:rPr>
          <w:spacing w:val="-5"/>
          <w:w w:val="95"/>
        </w:rPr>
        <w:t>（1）</w:t>
      </w:r>
      <w:r>
        <w:rPr>
          <w:b/>
          <w:color w:val="00AFEF"/>
          <w:w w:val="95"/>
        </w:rPr>
        <w:t>设计费用</w:t>
      </w:r>
      <w:r>
        <w:rPr>
          <w:spacing w:val="-5"/>
          <w:w w:val="95"/>
        </w:rPr>
        <w:t>：企业设计产品发生的设计费用通常应计入当期损益，但是为</w:t>
      </w:r>
      <w:r>
        <w:rPr>
          <w:color w:val="FF0000"/>
          <w:w w:val="95"/>
          <w:u w:val="double" w:color="FF0000"/>
        </w:rPr>
        <w:t>特定客户设计产品</w:t>
      </w:r>
      <w:r>
        <w:rPr>
          <w:w w:val="95"/>
        </w:rPr>
        <w:t xml:space="preserve">所发    </w:t>
      </w:r>
      <w:r>
        <w:rPr>
          <w:spacing w:val="-4"/>
          <w:w w:val="95"/>
        </w:rPr>
        <w:t>生的、可直接确定的设计费用</w:t>
      </w:r>
      <w:r>
        <w:rPr>
          <w:color w:val="FF0000"/>
          <w:w w:val="95"/>
          <w:u w:val="double" w:color="FF0000"/>
        </w:rPr>
        <w:t>应计入</w:t>
      </w:r>
      <w:r>
        <w:rPr>
          <w:spacing w:val="-23"/>
          <w:w w:val="95"/>
        </w:rPr>
        <w:t>存货成本。</w:t>
      </w:r>
      <w:r>
        <w:rPr>
          <w:spacing w:val="-6"/>
          <w:w w:val="95"/>
        </w:rPr>
        <w:t>（2）</w:t>
      </w:r>
      <w:r>
        <w:rPr>
          <w:b/>
          <w:color w:val="00AFEF"/>
          <w:w w:val="95"/>
        </w:rPr>
        <w:t>仓储费</w:t>
      </w:r>
      <w:r>
        <w:rPr>
          <w:spacing w:val="-4"/>
          <w:w w:val="95"/>
        </w:rPr>
        <w:t>：在生产过程中</w:t>
      </w:r>
      <w:r>
        <w:rPr>
          <w:color w:val="FF0000"/>
          <w:w w:val="95"/>
          <w:u w:val="double" w:color="FF0000"/>
        </w:rPr>
        <w:t>为达到下一个生产阶段所必需的</w:t>
      </w:r>
      <w:r>
        <w:rPr>
          <w:w w:val="95"/>
        </w:rPr>
        <w:t xml:space="preserve">仓储    </w:t>
      </w:r>
      <w:r>
        <w:t>费用应计入存货成本。</w:t>
      </w:r>
    </w:p>
    <w:p>
      <w:pPr>
        <w:spacing w:after="0" w:line="304" w:lineRule="auto"/>
        <w:jc w:val="both"/>
        <w:sectPr>
          <w:pgSz w:w="11910" w:h="16160"/>
          <w:pgMar w:top="1680" w:right="360" w:bottom="860" w:left="760" w:header="0" w:footer="584" w:gutter="0"/>
        </w:sectPr>
      </w:pPr>
    </w:p>
    <w:p>
      <w:pPr>
        <w:pStyle w:val="6"/>
        <w:spacing w:before="11"/>
        <w:ind w:left="0"/>
        <w:rPr>
          <w:sz w:val="13"/>
        </w:rPr>
      </w:pPr>
    </w:p>
    <w:p>
      <w:pPr>
        <w:pStyle w:val="5"/>
        <w:spacing w:before="71"/>
      </w:pPr>
      <w:r>
        <w:t>（三）发出存货的计价方法</w:t>
      </w:r>
    </w:p>
    <w:p>
      <w:pPr>
        <w:pStyle w:val="6"/>
      </w:pPr>
      <w:r>
        <w:t>企业发出的存货，</w:t>
      </w:r>
      <w:r>
        <w:rPr>
          <w:color w:val="FF0000"/>
          <w:u w:val="double" w:color="FF0000"/>
        </w:rPr>
        <w:t>可以按实际成本核算，也可以按计划成本核算</w:t>
      </w:r>
      <w:r>
        <w:t>。</w:t>
      </w:r>
    </w:p>
    <w:p>
      <w:pPr>
        <w:pStyle w:val="13"/>
        <w:numPr>
          <w:ilvl w:val="0"/>
          <w:numId w:val="63"/>
        </w:numPr>
        <w:tabs>
          <w:tab w:val="left" w:pos="925"/>
        </w:tabs>
        <w:spacing w:before="70" w:after="0" w:line="240" w:lineRule="auto"/>
        <w:ind w:left="924" w:right="0" w:hanging="202"/>
        <w:jc w:val="left"/>
        <w:rPr>
          <w:color w:val="FF0000"/>
          <w:sz w:val="18"/>
        </w:rPr>
      </w:pPr>
      <w:r>
        <w:rPr>
          <w:b/>
          <w:color w:val="FF0000"/>
          <w:sz w:val="20"/>
          <w:u w:val="double" w:color="FF0000"/>
        </w:rPr>
        <w:t>个别计价法</w:t>
      </w:r>
      <w:r>
        <w:rPr>
          <w:sz w:val="20"/>
        </w:rPr>
        <w:t>：按照各种存货逐一辨认各批发出存货和期末存货所属的购进批别或生产批别。</w:t>
      </w:r>
    </w:p>
    <w:p>
      <w:pPr>
        <w:pStyle w:val="6"/>
        <w:spacing w:line="304" w:lineRule="auto"/>
        <w:ind w:left="322" w:right="722" w:firstLine="400"/>
      </w:pPr>
      <w:r>
        <mc:AlternateContent>
          <mc:Choice Requires="wps">
            <w:drawing>
              <wp:anchor distT="0" distB="0" distL="114300" distR="114300" simplePos="0" relativeHeight="482432000" behindDoc="1" locked="0" layoutInCell="1" allowOverlap="1">
                <wp:simplePos x="0" y="0"/>
                <wp:positionH relativeFrom="page">
                  <wp:posOffset>1957070</wp:posOffset>
                </wp:positionH>
                <wp:positionV relativeFrom="paragraph">
                  <wp:posOffset>182880</wp:posOffset>
                </wp:positionV>
                <wp:extent cx="502920" cy="5715"/>
                <wp:effectExtent l="0" t="0" r="0" b="0"/>
                <wp:wrapNone/>
                <wp:docPr id="276" name="任意多边形 151"/>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1" o:spid="_x0000_s1026" o:spt="100" style="position:absolute;left:0pt;margin-left:154.1pt;margin-top:14.4pt;height:0.45pt;width:39.6pt;mso-position-horizontal-relative:page;z-index:-20884480;mso-width-relative:page;mso-height-relative:page;" filled="f" stroked="t" coordsize="792,9" o:gfxdata="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p92C+1wAAAAkBAAAPAAAAAAAAAAEAIAAAACIA&#10;AABkcnMvZG93bnJldi54bWxQSwECFAAUAAAACACHTuJAwAu/ze4CAACbCgAADgAAAAAAAAABACAA&#10;AAAm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个别计价法的成本</w:t>
      </w:r>
      <w:r>
        <w:rPr>
          <w:b/>
          <w:color w:val="00AFEF"/>
          <w:w w:val="95"/>
        </w:rPr>
        <w:t>计算准确</w:t>
      </w:r>
      <w:r>
        <w:rPr>
          <w:spacing w:val="-9"/>
          <w:w w:val="95"/>
        </w:rPr>
        <w:t>，但</w:t>
      </w:r>
      <w:r>
        <w:rPr>
          <w:b/>
          <w:color w:val="00AFEF"/>
          <w:w w:val="95"/>
          <w:u w:val="single" w:color="00AFEF"/>
        </w:rPr>
        <w:t>工作量较大</w:t>
      </w:r>
      <w:r>
        <w:rPr>
          <w:spacing w:val="-7"/>
          <w:w w:val="95"/>
        </w:rPr>
        <w:t xml:space="preserve">。因此，这种方法适用于一般不能替代使用的存货、为特定项目   </w:t>
      </w:r>
      <w:r>
        <w:rPr>
          <w:spacing w:val="-7"/>
        </w:rPr>
        <w:t>专门购入或制造的存货以及提供的劳务，如</w:t>
      </w:r>
      <w:r>
        <w:rPr>
          <w:color w:val="FF0000"/>
          <w:spacing w:val="-7"/>
          <w:u w:val="double" w:color="FF0000"/>
        </w:rPr>
        <w:t>珠宝、名画</w:t>
      </w:r>
      <w:r>
        <w:rPr>
          <w:spacing w:val="-7"/>
        </w:rPr>
        <w:t>等贵重物品。</w:t>
      </w:r>
    </w:p>
    <w:p>
      <w:pPr>
        <w:pStyle w:val="5"/>
        <w:numPr>
          <w:ilvl w:val="0"/>
          <w:numId w:val="63"/>
        </w:numPr>
        <w:tabs>
          <w:tab w:val="left" w:pos="925"/>
        </w:tabs>
        <w:spacing w:before="0" w:after="0" w:line="256" w:lineRule="exact"/>
        <w:ind w:left="924" w:right="0" w:hanging="202"/>
        <w:jc w:val="left"/>
        <w:rPr>
          <w:color w:val="FF0000"/>
          <w:sz w:val="18"/>
        </w:rPr>
      </w:pPr>
      <w:r>
        <w:rPr>
          <w:color w:val="FF0000"/>
          <w:u w:val="double" w:color="FF0000"/>
        </w:rPr>
        <w:t>先进先出法</w:t>
      </w:r>
    </w:p>
    <w:p>
      <w:pPr>
        <w:pStyle w:val="6"/>
        <w:spacing w:before="71" w:line="304" w:lineRule="auto"/>
        <w:ind w:left="322" w:right="646" w:firstLine="400"/>
      </w:pPr>
      <w:r>
        <w:rPr>
          <w:w w:val="95"/>
        </w:rPr>
        <w:t xml:space="preserve">先进先出法是指以先购入的存货应先发出（销售或耗用）这样一种存货实物流动假设为前提，对发出存货进   </w:t>
      </w:r>
      <w:r>
        <w:t>行计价的一种方法。</w:t>
      </w:r>
    </w:p>
    <w:p>
      <w:pPr>
        <w:spacing w:before="1" w:line="304" w:lineRule="auto"/>
        <w:ind w:left="322" w:right="720" w:firstLine="400"/>
        <w:jc w:val="left"/>
        <w:rPr>
          <w:sz w:val="20"/>
        </w:rPr>
      </w:pPr>
      <w:r>
        <w:rPr>
          <w:w w:val="95"/>
          <w:sz w:val="20"/>
        </w:rPr>
        <w:t>先进先出法</w:t>
      </w:r>
      <w:r>
        <w:rPr>
          <w:b/>
          <w:color w:val="00AFEF"/>
          <w:spacing w:val="-2"/>
          <w:w w:val="95"/>
          <w:sz w:val="20"/>
          <w:u w:val="single" w:color="00AFEF"/>
        </w:rPr>
        <w:t>可以随时结转存货发出成本，但较繁琐</w:t>
      </w:r>
      <w:r>
        <w:rPr>
          <w:spacing w:val="-7"/>
          <w:w w:val="95"/>
          <w:sz w:val="20"/>
        </w:rPr>
        <w:t xml:space="preserve">；如果存货收发业务较多、且存货单价不稳定时，其工作   </w:t>
      </w:r>
      <w:r>
        <w:rPr>
          <w:spacing w:val="-7"/>
          <w:sz w:val="20"/>
        </w:rPr>
        <w:t>量较大。</w:t>
      </w:r>
    </w:p>
    <w:p>
      <w:pPr>
        <w:spacing w:before="2" w:line="302" w:lineRule="auto"/>
        <w:ind w:left="322" w:right="722" w:firstLine="400"/>
        <w:jc w:val="left"/>
        <w:rPr>
          <w:sz w:val="20"/>
        </w:rPr>
      </w:pPr>
      <w:r>
        <mc:AlternateContent>
          <mc:Choice Requires="wps">
            <w:drawing>
              <wp:anchor distT="0" distB="0" distL="114300" distR="114300" simplePos="0" relativeHeight="482432000" behindDoc="1" locked="0" layoutInCell="1" allowOverlap="1">
                <wp:simplePos x="0" y="0"/>
                <wp:positionH relativeFrom="page">
                  <wp:posOffset>1068705</wp:posOffset>
                </wp:positionH>
                <wp:positionV relativeFrom="paragraph">
                  <wp:posOffset>137795</wp:posOffset>
                </wp:positionV>
                <wp:extent cx="251460" cy="5715"/>
                <wp:effectExtent l="0" t="0" r="0" b="0"/>
                <wp:wrapNone/>
                <wp:docPr id="275" name="任意多边形 15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2" o:spid="_x0000_s1026" o:spt="100" style="position:absolute;left:0pt;margin-left:84.15pt;margin-top:10.85pt;height:0.45pt;width:19.8pt;mso-position-horizontal-relative:page;z-index:-20884480;mso-width-relative:page;mso-height-relative:page;" filled="f" stroked="t" coordsize="396,9" o:gfxdata="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mU4mbZAAAACQEAAA8AAAAAAAAAAQAgAAAAIgAAAGRycy9kb3ducmV2LnhtbFBLAQIUABQAAAAI&#10;AIdO4kBNwABElwIAAFcHAAAOAAAAAAAAAAEAIAAAACgBAABkcnMvZTJvRG9jLnhtbFBLBQYAAAAA&#10;BgAGAFkBAAAx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sz w:val="20"/>
        </w:rPr>
        <w:t>【</w:t>
      </w:r>
      <w:r>
        <w:rPr>
          <w:b/>
          <w:color w:val="00AFEF"/>
          <w:w w:val="95"/>
          <w:sz w:val="20"/>
        </w:rPr>
        <w:t>提示</w:t>
      </w:r>
      <w:r>
        <w:rPr>
          <w:spacing w:val="-8"/>
          <w:w w:val="95"/>
          <w:sz w:val="20"/>
        </w:rPr>
        <w:t>】在物价持续上升时，期末存货成本接近于市价，而发出成本偏低，会</w:t>
      </w:r>
      <w:r>
        <w:rPr>
          <w:b/>
          <w:color w:val="FF0000"/>
          <w:w w:val="95"/>
          <w:sz w:val="20"/>
          <w:u w:val="double" w:color="FF0000"/>
        </w:rPr>
        <w:t xml:space="preserve">高估企业当期利润和库存存货   </w:t>
      </w:r>
      <w:r>
        <w:rPr>
          <w:b/>
          <w:color w:val="FF0000"/>
          <w:sz w:val="20"/>
          <w:u w:val="double" w:color="FF0000"/>
        </w:rPr>
        <w:t>价值；反之，会低估企业存货价值和当期利润</w:t>
      </w:r>
      <w:r>
        <w:rPr>
          <w:sz w:val="20"/>
        </w:rPr>
        <w:t>。</w:t>
      </w:r>
    </w:p>
    <w:p>
      <w:pPr>
        <w:pStyle w:val="5"/>
        <w:numPr>
          <w:ilvl w:val="0"/>
          <w:numId w:val="63"/>
        </w:numPr>
        <w:tabs>
          <w:tab w:val="left" w:pos="925"/>
        </w:tabs>
        <w:spacing w:before="5" w:after="0" w:line="240" w:lineRule="auto"/>
        <w:ind w:left="924" w:right="0" w:hanging="202"/>
        <w:jc w:val="left"/>
        <w:rPr>
          <w:color w:val="FF0000"/>
          <w:sz w:val="18"/>
        </w:rPr>
      </w:pPr>
      <w:r>
        <w:rPr>
          <w:color w:val="FF0000"/>
          <w:u w:val="double" w:color="FF0000"/>
        </w:rPr>
        <w:t>月末一次加权平均法</w:t>
      </w:r>
    </w:p>
    <w:p>
      <w:pPr>
        <w:pStyle w:val="6"/>
        <w:spacing w:before="1"/>
        <w:ind w:left="0"/>
        <w:rPr>
          <w:b/>
          <w:sz w:val="12"/>
        </w:rPr>
      </w:pPr>
      <w:r>
        <w:drawing>
          <wp:anchor distT="0" distB="0" distL="0" distR="0" simplePos="0" relativeHeight="1024" behindDoc="0" locked="0" layoutInCell="1" allowOverlap="1">
            <wp:simplePos x="0" y="0"/>
            <wp:positionH relativeFrom="page">
              <wp:posOffset>2505075</wp:posOffset>
            </wp:positionH>
            <wp:positionV relativeFrom="paragraph">
              <wp:posOffset>123190</wp:posOffset>
            </wp:positionV>
            <wp:extent cx="2812415" cy="354965"/>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a:picLocks noChangeAspect="1"/>
                    </pic:cNvPicPr>
                  </pic:nvPicPr>
                  <pic:blipFill>
                    <a:blip r:embed="rId25" cstate="print"/>
                    <a:stretch>
                      <a:fillRect/>
                    </a:stretch>
                  </pic:blipFill>
                  <pic:spPr>
                    <a:xfrm>
                      <a:off x="0" y="0"/>
                      <a:ext cx="2812637" cy="354901"/>
                    </a:xfrm>
                    <a:prstGeom prst="rect">
                      <a:avLst/>
                    </a:prstGeom>
                  </pic:spPr>
                </pic:pic>
              </a:graphicData>
            </a:graphic>
          </wp:anchor>
        </w:drawing>
      </w:r>
    </w:p>
    <w:p>
      <w:pPr>
        <w:pStyle w:val="6"/>
        <w:spacing w:before="6"/>
        <w:ind w:left="0"/>
        <w:rPr>
          <w:b/>
          <w:sz w:val="17"/>
        </w:rPr>
      </w:pPr>
    </w:p>
    <w:p>
      <w:pPr>
        <w:pStyle w:val="6"/>
        <w:spacing w:before="0" w:line="304" w:lineRule="auto"/>
        <w:ind w:right="4963"/>
      </w:pPr>
      <w:r>
        <w:rPr>
          <w:w w:val="95"/>
        </w:rPr>
        <w:t>本月发出存货成本=本月发出存货数量×加权平均单位成本 本月结存存货成本=本月结存存货数量×加权平均单位成本</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5"/>
        <w:numPr>
          <w:ilvl w:val="0"/>
          <w:numId w:val="63"/>
        </w:numPr>
        <w:tabs>
          <w:tab w:val="left" w:pos="925"/>
        </w:tabs>
        <w:spacing w:before="71" w:after="0" w:line="240" w:lineRule="auto"/>
        <w:ind w:left="924" w:right="0" w:hanging="202"/>
        <w:jc w:val="left"/>
        <w:rPr>
          <w:sz w:val="18"/>
        </w:rPr>
      </w:pPr>
      <w:r>
        <w:drawing>
          <wp:anchor distT="0" distB="0" distL="0" distR="0" simplePos="0" relativeHeight="1024" behindDoc="0" locked="0" layoutInCell="1" allowOverlap="1">
            <wp:simplePos x="0" y="0"/>
            <wp:positionH relativeFrom="page">
              <wp:posOffset>2400300</wp:posOffset>
            </wp:positionH>
            <wp:positionV relativeFrom="paragraph">
              <wp:posOffset>269240</wp:posOffset>
            </wp:positionV>
            <wp:extent cx="3014980" cy="29210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a:picLocks noChangeAspect="1"/>
                    </pic:cNvPicPr>
                  </pic:nvPicPr>
                  <pic:blipFill>
                    <a:blip r:embed="rId26" cstate="print"/>
                    <a:stretch>
                      <a:fillRect/>
                    </a:stretch>
                  </pic:blipFill>
                  <pic:spPr>
                    <a:xfrm>
                      <a:off x="0" y="0"/>
                      <a:ext cx="3014937" cy="292226"/>
                    </a:xfrm>
                    <a:prstGeom prst="rect">
                      <a:avLst/>
                    </a:prstGeom>
                  </pic:spPr>
                </pic:pic>
              </a:graphicData>
            </a:graphic>
          </wp:anchor>
        </w:drawing>
      </w:r>
      <w:r>
        <w:t>移动加权平均法</w:t>
      </w:r>
    </w:p>
    <w:p>
      <w:pPr>
        <w:pStyle w:val="6"/>
        <w:spacing w:before="108" w:line="304" w:lineRule="auto"/>
        <w:ind w:right="3763"/>
      </w:pPr>
      <w:r>
        <w:rPr>
          <w:w w:val="95"/>
        </w:rPr>
        <w:t>本次发出存货成本=本次发出存货数量×本次发货前的加权平均单位成本  月末库存存货成本=本月月末存货数量×本月月末材料加权平均单位成本</w:t>
      </w:r>
    </w:p>
    <w:p>
      <w:pPr>
        <w:pStyle w:val="6"/>
        <w:spacing w:before="1"/>
      </w:pPr>
      <w:r>
        <w:t>或月末库存存货成本=月初结存存货成本+本月收入存货成本—本月发出存货成本</w:t>
      </w:r>
    </w:p>
    <w:p>
      <w:pPr>
        <w:spacing w:before="22"/>
        <w:ind w:left="742" w:right="0" w:firstLine="0"/>
        <w:jc w:val="left"/>
        <w:rPr>
          <w:b/>
          <w:sz w:val="21"/>
        </w:rPr>
      </w:pPr>
      <w:bookmarkStart w:id="54" w:name="二、原材料"/>
      <w:bookmarkEnd w:id="54"/>
      <w:r>
        <w:rPr>
          <w:b/>
          <w:sz w:val="21"/>
          <w:shd w:val="clear" w:color="auto" w:fill="C0C0C0"/>
        </w:rPr>
        <w:t>二、原材料</w:t>
      </w:r>
    </w:p>
    <w:p>
      <w:pPr>
        <w:pStyle w:val="6"/>
        <w:spacing w:before="92" w:line="302" w:lineRule="auto"/>
        <w:ind w:left="322" w:right="722" w:firstLine="400"/>
      </w:pPr>
      <w:r>
        <w:rPr>
          <w:w w:val="95"/>
        </w:rPr>
        <w:t>原材料是指企业在生产过程中经过加工改变其形态或性质并构成产品主要实体的各种</w:t>
      </w:r>
      <w:r>
        <w:rPr>
          <w:color w:val="FF0000"/>
          <w:spacing w:val="-8"/>
          <w:w w:val="95"/>
          <w:u w:val="double" w:color="FF0000"/>
        </w:rPr>
        <w:t>原料、主要材料和外购</w:t>
      </w:r>
      <w:r>
        <w:rPr>
          <w:color w:val="FF0000"/>
          <w:spacing w:val="-199"/>
          <w:w w:val="95"/>
          <w:u w:val="double" w:color="FF0000"/>
        </w:rPr>
        <w:t>半</w:t>
      </w:r>
      <w:r>
        <w:rPr>
          <w:color w:val="FF0000"/>
          <w:spacing w:val="191"/>
          <w:w w:val="95"/>
          <w:u w:val="double" w:color="FF0000"/>
        </w:rPr>
        <w:t xml:space="preserve"> </w:t>
      </w:r>
      <w:r>
        <w:rPr>
          <w:color w:val="FF0000"/>
          <w:u w:val="double" w:color="FF0000"/>
        </w:rPr>
        <w:t>成品</w:t>
      </w:r>
      <w:r>
        <w:t>，以及不构成产品实体但有助于产品形成的</w:t>
      </w:r>
      <w:r>
        <w:rPr>
          <w:color w:val="FF0000"/>
          <w:u w:val="double" w:color="FF0000"/>
        </w:rPr>
        <w:t>辅助材料</w:t>
      </w:r>
      <w:r>
        <w:t>。</w:t>
      </w:r>
    </w:p>
    <w:p>
      <w:pPr>
        <w:spacing w:before="4"/>
        <w:ind w:left="723" w:right="0" w:firstLine="0"/>
        <w:jc w:val="left"/>
        <w:rPr>
          <w:b/>
          <w:sz w:val="20"/>
        </w:rPr>
      </w:pPr>
      <w:r>
        <w:rPr>
          <w:sz w:val="20"/>
        </w:rPr>
        <w:t>原材料的日常收发及结存</w:t>
      </w:r>
      <w:r>
        <w:rPr>
          <w:b/>
          <w:color w:val="00AFEF"/>
          <w:sz w:val="20"/>
          <w:u w:val="single" w:color="00AFEF"/>
        </w:rPr>
        <w:t>可以采用实际成本核算，也可以采用计划成本核算。</w:t>
      </w:r>
    </w:p>
    <w:p>
      <w:pPr>
        <w:pStyle w:val="5"/>
        <w:spacing w:line="304" w:lineRule="auto"/>
        <w:ind w:right="8455"/>
      </w:pPr>
      <w:r>
        <w:t>（一）实际成本法1.会计科目设置</w:t>
      </w:r>
    </w:p>
    <w:p>
      <w:pPr>
        <w:pStyle w:val="6"/>
        <w:spacing w:before="2" w:line="304" w:lineRule="auto"/>
        <w:ind w:left="322" w:right="722" w:firstLine="400"/>
      </w:pPr>
      <w:r>
        <w:rPr>
          <w:spacing w:val="-3"/>
        </w:rPr>
        <w:t>①原材料：企业库存的各种材料，包括</w:t>
      </w:r>
      <w:r>
        <w:rPr>
          <w:color w:val="FF0000"/>
          <w:spacing w:val="-6"/>
          <w:u w:val="double" w:color="FF0000"/>
        </w:rPr>
        <w:t>原料及主要材料、辅助 材料、外购半成品(外购件)、修理用备件(备</w:t>
      </w:r>
      <w:r>
        <w:rPr>
          <w:color w:val="FF0000"/>
          <w:spacing w:val="-199"/>
          <w:u w:val="double" w:color="FF0000"/>
        </w:rPr>
        <w:t>品</w:t>
      </w:r>
      <w:r>
        <w:rPr>
          <w:color w:val="FF0000"/>
          <w:u w:val="double" w:color="FF0000"/>
        </w:rPr>
        <w:t>备件)、包装材料、燃料</w:t>
      </w:r>
      <w:r>
        <w:t>等的计划成本或实际成本。</w:t>
      </w:r>
    </w:p>
    <w:p>
      <w:pPr>
        <w:pStyle w:val="6"/>
        <w:spacing w:before="0" w:line="304" w:lineRule="auto"/>
        <w:ind w:left="322" w:right="647" w:firstLine="400"/>
      </w:pPr>
      <w:r>
        <w:rPr>
          <w:w w:val="95"/>
        </w:rPr>
        <w:t>②在途物资：企业采用实际成本（或进价）进行材料、商品等物资的日常核算、</w:t>
      </w:r>
      <w:r>
        <w:rPr>
          <w:color w:val="FF0000"/>
          <w:w w:val="95"/>
          <w:u w:val="double" w:color="FF0000"/>
        </w:rPr>
        <w:t>货款已付尚未验收入库</w:t>
      </w:r>
      <w:r>
        <w:rPr>
          <w:w w:val="95"/>
        </w:rPr>
        <w:t xml:space="preserve">的在   </w:t>
      </w:r>
      <w:r>
        <w:t>途物资的采购成本。</w:t>
      </w:r>
    </w:p>
    <w:p>
      <w:pPr>
        <w:pStyle w:val="5"/>
        <w:numPr>
          <w:ilvl w:val="0"/>
          <w:numId w:val="64"/>
        </w:numPr>
        <w:tabs>
          <w:tab w:val="left" w:pos="925"/>
        </w:tabs>
        <w:spacing w:before="2" w:after="0" w:line="240" w:lineRule="auto"/>
        <w:ind w:left="924" w:right="0" w:hanging="202"/>
        <w:jc w:val="left"/>
      </w:pPr>
      <w:r>
        <w:t>购入原材料的账务处理</w:t>
      </w:r>
    </w:p>
    <w:p>
      <w:pPr>
        <w:pStyle w:val="6"/>
        <w:tabs>
          <w:tab w:val="left" w:pos="6223"/>
          <w:tab w:val="left" w:pos="6622"/>
        </w:tabs>
        <w:spacing w:line="304" w:lineRule="auto"/>
        <w:ind w:right="1260"/>
      </w:pPr>
      <w:r>
        <w:t>（1）材料验收入库，发票账单已到</w:t>
      </w:r>
      <w:r>
        <w:tab/>
      </w:r>
      <w:r>
        <w:t>（2）材料已验收入库，发票账单未</w:t>
      </w:r>
      <w:r>
        <w:rPr>
          <w:spacing w:val="-12"/>
        </w:rPr>
        <w:t>到</w:t>
      </w:r>
      <w:r>
        <w:t>借：原材料</w:t>
      </w:r>
      <w:r>
        <w:tab/>
      </w:r>
      <w:r>
        <w:tab/>
      </w:r>
      <w:r>
        <w:t>①月末暂估入账</w:t>
      </w:r>
    </w:p>
    <w:p>
      <w:pPr>
        <w:pStyle w:val="6"/>
        <w:tabs>
          <w:tab w:val="left" w:pos="6823"/>
        </w:tabs>
        <w:spacing w:before="2"/>
        <w:ind w:left="1123"/>
      </w:pPr>
      <w:r>
        <w:t>应交税费—应交增值税（进项税额）</w:t>
      </w:r>
      <w:r>
        <w:tab/>
      </w:r>
      <w:r>
        <w:t>借：原材料</w:t>
      </w:r>
    </w:p>
    <w:p>
      <w:pPr>
        <w:pStyle w:val="6"/>
        <w:tabs>
          <w:tab w:val="left" w:pos="7222"/>
        </w:tabs>
        <w:spacing w:before="68"/>
        <w:ind w:left="1123"/>
      </w:pPr>
      <w:r>
        <w:t>贷：银行存款/应付账款等</w:t>
      </w:r>
      <w:r>
        <w:tab/>
      </w:r>
      <w:r>
        <w:t>贷：应付账款—暂估应付账款</w:t>
      </w:r>
    </w:p>
    <w:p>
      <w:pPr>
        <w:pStyle w:val="6"/>
        <w:ind w:left="6622"/>
      </w:pPr>
      <w:r>
        <w:t>②下月初冲回</w:t>
      </w:r>
    </w:p>
    <w:p>
      <w:pPr>
        <w:pStyle w:val="6"/>
        <w:spacing w:line="304" w:lineRule="auto"/>
        <w:ind w:left="7222" w:right="1361" w:hanging="399"/>
      </w:pPr>
      <w:r>
        <w:t>借：应付账款—暂估应付账款贷：原材料</w:t>
      </w:r>
    </w:p>
    <w:p>
      <w:pPr>
        <w:pStyle w:val="6"/>
        <w:spacing w:before="2" w:line="304" w:lineRule="auto"/>
        <w:ind w:left="6823" w:right="2760" w:hanging="202"/>
      </w:pPr>
      <w:r>
        <w:t>③收到发票账单借：原材料</w:t>
      </w:r>
    </w:p>
    <w:p>
      <w:pPr>
        <w:pStyle w:val="6"/>
        <w:spacing w:before="0" w:line="256" w:lineRule="exact"/>
        <w:ind w:left="7222"/>
      </w:pPr>
      <w:r>
        <w:t>应交税费—应交增值税（进项税</w:t>
      </w:r>
    </w:p>
    <w:p>
      <w:pPr>
        <w:pStyle w:val="6"/>
        <w:ind w:left="322"/>
      </w:pPr>
      <w:r>
        <w:t>额）</w:t>
      </w:r>
    </w:p>
    <w:p>
      <w:pPr>
        <w:pStyle w:val="13"/>
        <w:numPr>
          <w:ilvl w:val="0"/>
          <w:numId w:val="64"/>
        </w:numPr>
        <w:tabs>
          <w:tab w:val="left" w:pos="925"/>
          <w:tab w:val="left" w:pos="7234"/>
        </w:tabs>
        <w:spacing w:before="70" w:after="0" w:line="240" w:lineRule="auto"/>
        <w:ind w:left="924" w:right="0" w:hanging="202"/>
        <w:jc w:val="left"/>
        <w:rPr>
          <w:sz w:val="20"/>
        </w:rPr>
      </w:pPr>
      <w:r>
        <w:rPr>
          <w:b/>
          <w:sz w:val="20"/>
        </w:rPr>
        <w:t>发出原材料的账务处理</w:t>
      </w:r>
      <w:r>
        <w:rPr>
          <w:b/>
          <w:sz w:val="20"/>
        </w:rPr>
        <w:tab/>
      </w:r>
      <w:r>
        <w:rPr>
          <w:sz w:val="20"/>
        </w:rPr>
        <w:t>贷：银行存款/应付账款等</w:t>
      </w:r>
    </w:p>
    <w:p>
      <w:pPr>
        <w:pStyle w:val="6"/>
      </w:pPr>
      <w:r>
        <w:t>（1）生产经营领用原材料</w:t>
      </w:r>
    </w:p>
    <w:p>
      <w:pPr>
        <w:pStyle w:val="6"/>
        <w:tabs>
          <w:tab w:val="left" w:pos="6223"/>
          <w:tab w:val="left" w:pos="6823"/>
        </w:tabs>
        <w:spacing w:line="304" w:lineRule="auto"/>
        <w:ind w:left="1123" w:right="2361" w:hanging="401"/>
      </w:pPr>
      <w:r>
        <w:t>借：生产成本/制造费用/销售费用等</w:t>
      </w:r>
      <w:r>
        <w:tab/>
      </w:r>
      <w:r>
        <w:t>（2）出售材料结转成本贷：原材料</w:t>
      </w:r>
      <w:r>
        <w:tab/>
      </w:r>
      <w:r>
        <w:tab/>
      </w:r>
      <w:r>
        <w:t>借：其他业务成</w:t>
      </w:r>
      <w:r>
        <w:rPr>
          <w:spacing w:val="-14"/>
        </w:rPr>
        <w:t>本</w:t>
      </w:r>
    </w:p>
    <w:p>
      <w:pPr>
        <w:pStyle w:val="6"/>
        <w:tabs>
          <w:tab w:val="left" w:pos="7222"/>
        </w:tabs>
        <w:spacing w:before="0" w:line="304" w:lineRule="auto"/>
        <w:ind w:right="2563"/>
      </w:pPr>
      <w:r>
        <w:t>（3）发出委托外单位加工的材料</w:t>
      </w:r>
      <w:r>
        <w:tab/>
      </w:r>
      <w:r>
        <w:t>贷：原材</w:t>
      </w:r>
      <w:r>
        <w:rPr>
          <w:spacing w:val="-16"/>
        </w:rPr>
        <w:t>料</w:t>
      </w:r>
      <w:r>
        <w:t>借：委托加工物资</w:t>
      </w:r>
    </w:p>
    <w:p>
      <w:pPr>
        <w:pStyle w:val="6"/>
        <w:spacing w:before="2"/>
        <w:ind w:left="1123"/>
      </w:pPr>
      <w:r>
        <w:rPr>
          <w:w w:val="95"/>
        </w:rPr>
        <w:t>贷：原材料</w:t>
      </w:r>
    </w:p>
    <w:p>
      <w:pPr>
        <w:pStyle w:val="5"/>
        <w:spacing w:line="304" w:lineRule="auto"/>
        <w:ind w:right="8455"/>
      </w:pPr>
      <w:r>
        <w:t>（二）</w:t>
      </w:r>
      <w:r>
        <w:rPr>
          <w:spacing w:val="-3"/>
        </w:rPr>
        <w:t>计划成本法</w:t>
      </w:r>
      <w:r>
        <w:t>1.会计科目设置</w:t>
      </w:r>
    </w:p>
    <w:p>
      <w:pPr>
        <w:pStyle w:val="6"/>
        <w:spacing w:before="2"/>
      </w:pPr>
      <w:r>
        <w:t>计划成本法下，一般通过</w:t>
      </w:r>
      <w:r>
        <w:rPr>
          <w:color w:val="FF0000"/>
          <w:u w:val="double" w:color="FF0000"/>
        </w:rPr>
        <w:t>“材料采购”、“原材料”、“材料成本差异”</w:t>
      </w:r>
      <w:r>
        <w:t>等科目进行核算。</w:t>
      </w:r>
    </w:p>
    <w:p>
      <w:pPr>
        <w:spacing w:after="0"/>
        <w:sectPr>
          <w:pgSz w:w="11910" w:h="16160"/>
          <w:pgMar w:top="1680" w:right="360" w:bottom="860" w:left="760" w:header="0" w:footer="584" w:gutter="0"/>
        </w:sectPr>
      </w:pPr>
    </w:p>
    <w:p>
      <w:pPr>
        <w:pStyle w:val="6"/>
        <w:spacing w:before="3"/>
        <w:ind w:left="0"/>
        <w:rPr>
          <w:sz w:val="21"/>
        </w:rPr>
      </w:pPr>
    </w:p>
    <w:p>
      <w:pPr>
        <w:pStyle w:val="6"/>
        <w:tabs>
          <w:tab w:val="left" w:pos="5302"/>
        </w:tabs>
        <w:spacing w:before="0"/>
        <w:ind w:left="843"/>
      </w:pPr>
      <w:r>
        <w:rPr>
          <w:position w:val="69"/>
        </w:rPr>
        <w:drawing>
          <wp:inline distT="0" distB="0" distL="0" distR="0">
            <wp:extent cx="2628265" cy="698500"/>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a:picLocks noChangeAspect="1"/>
                    </pic:cNvPicPr>
                  </pic:nvPicPr>
                  <pic:blipFill>
                    <a:blip r:embed="rId27" cstate="print"/>
                    <a:stretch>
                      <a:fillRect/>
                    </a:stretch>
                  </pic:blipFill>
                  <pic:spPr>
                    <a:xfrm>
                      <a:off x="0" y="0"/>
                      <a:ext cx="2628640" cy="698753"/>
                    </a:xfrm>
                    <a:prstGeom prst="rect">
                      <a:avLst/>
                    </a:prstGeom>
                  </pic:spPr>
                </pic:pic>
              </a:graphicData>
            </a:graphic>
          </wp:inline>
        </w:drawing>
      </w:r>
      <w:r>
        <w:rPr>
          <w:position w:val="69"/>
        </w:rPr>
        <w:tab/>
      </w:r>
      <w:r>
        <w:drawing>
          <wp:inline distT="0" distB="0" distL="0" distR="0">
            <wp:extent cx="2687320" cy="1115060"/>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pic:cNvPicPr>
                      <a:picLocks noChangeAspect="1"/>
                    </pic:cNvPicPr>
                  </pic:nvPicPr>
                  <pic:blipFill>
                    <a:blip r:embed="rId28" cstate="print"/>
                    <a:stretch>
                      <a:fillRect/>
                    </a:stretch>
                  </pic:blipFill>
                  <pic:spPr>
                    <a:xfrm>
                      <a:off x="0" y="0"/>
                      <a:ext cx="2687467" cy="1115568"/>
                    </a:xfrm>
                    <a:prstGeom prst="rect">
                      <a:avLst/>
                    </a:prstGeom>
                  </pic:spPr>
                </pic:pic>
              </a:graphicData>
            </a:graphic>
          </wp:inline>
        </w:drawing>
      </w:r>
    </w:p>
    <w:p>
      <w:pPr>
        <w:spacing w:after="0"/>
        <w:sectPr>
          <w:pgSz w:w="11910" w:h="16160"/>
          <w:pgMar w:top="1680" w:right="360" w:bottom="780" w:left="760" w:header="0" w:footer="584" w:gutter="0"/>
        </w:sectPr>
      </w:pPr>
    </w:p>
    <w:p>
      <w:pPr>
        <w:pStyle w:val="6"/>
        <w:spacing w:before="11"/>
        <w:ind w:left="0"/>
        <w:rPr>
          <w:sz w:val="13"/>
        </w:rPr>
      </w:pPr>
    </w:p>
    <w:p>
      <w:pPr>
        <w:pStyle w:val="6"/>
        <w:spacing w:before="71"/>
      </w:pPr>
      <w:r>
        <w:rPr>
          <w:w w:val="95"/>
        </w:rPr>
        <w:t>计划成本法处理流程：</w:t>
      </w:r>
    </w:p>
    <w:p>
      <w:pPr>
        <w:pStyle w:val="6"/>
        <w:spacing w:before="10"/>
        <w:ind w:left="0"/>
        <w:rPr>
          <w:sz w:val="9"/>
        </w:rPr>
      </w:pPr>
      <w:r>
        <w:drawing>
          <wp:anchor distT="0" distB="0" distL="0" distR="0" simplePos="0" relativeHeight="1024" behindDoc="0" locked="0" layoutInCell="1" allowOverlap="1">
            <wp:simplePos x="0" y="0"/>
            <wp:positionH relativeFrom="page">
              <wp:posOffset>2571115</wp:posOffset>
            </wp:positionH>
            <wp:positionV relativeFrom="paragraph">
              <wp:posOffset>104140</wp:posOffset>
            </wp:positionV>
            <wp:extent cx="2697480" cy="1188720"/>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pic:cNvPicPr>
                      <a:picLocks noChangeAspect="1"/>
                    </pic:cNvPicPr>
                  </pic:nvPicPr>
                  <pic:blipFill>
                    <a:blip r:embed="rId29" cstate="print"/>
                    <a:stretch>
                      <a:fillRect/>
                    </a:stretch>
                  </pic:blipFill>
                  <pic:spPr>
                    <a:xfrm>
                      <a:off x="0" y="0"/>
                      <a:ext cx="2697301" cy="1188720"/>
                    </a:xfrm>
                    <a:prstGeom prst="rect">
                      <a:avLst/>
                    </a:prstGeom>
                  </pic:spPr>
                </pic:pic>
              </a:graphicData>
            </a:graphic>
          </wp:anchor>
        </w:drawing>
      </w:r>
    </w:p>
    <w:p>
      <w:pPr>
        <w:pStyle w:val="6"/>
        <w:spacing w:before="9"/>
        <w:ind w:left="0"/>
        <w:rPr>
          <w:sz w:val="14"/>
        </w:rPr>
      </w:pPr>
    </w:p>
    <w:p>
      <w:pPr>
        <w:pStyle w:val="5"/>
        <w:spacing w:before="0"/>
      </w:pPr>
      <w:r>
        <w:rPr>
          <w:w w:val="95"/>
        </w:rPr>
        <w:t>2.购入原材料账务处理</w:t>
      </w:r>
    </w:p>
    <w:p>
      <w:pPr>
        <w:pStyle w:val="13"/>
        <w:numPr>
          <w:ilvl w:val="0"/>
          <w:numId w:val="65"/>
        </w:numPr>
        <w:tabs>
          <w:tab w:val="left" w:pos="1224"/>
        </w:tabs>
        <w:spacing w:before="70" w:after="0" w:line="240" w:lineRule="auto"/>
        <w:ind w:left="1223" w:right="0" w:hanging="501"/>
        <w:jc w:val="left"/>
        <w:rPr>
          <w:sz w:val="20"/>
        </w:rPr>
      </w:pPr>
      <w:r>
        <w:drawing>
          <wp:anchor distT="0" distB="0" distL="0" distR="0" simplePos="0" relativeHeight="1024" behindDoc="0" locked="0" layoutInCell="1" allowOverlap="1">
            <wp:simplePos x="0" y="0"/>
            <wp:positionH relativeFrom="page">
              <wp:posOffset>2662555</wp:posOffset>
            </wp:positionH>
            <wp:positionV relativeFrom="paragraph">
              <wp:posOffset>287020</wp:posOffset>
            </wp:positionV>
            <wp:extent cx="2508885" cy="1254125"/>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pic:cNvPicPr>
                      <a:picLocks noChangeAspect="1"/>
                    </pic:cNvPicPr>
                  </pic:nvPicPr>
                  <pic:blipFill>
                    <a:blip r:embed="rId30" cstate="print"/>
                    <a:stretch>
                      <a:fillRect/>
                    </a:stretch>
                  </pic:blipFill>
                  <pic:spPr>
                    <a:xfrm>
                      <a:off x="0" y="0"/>
                      <a:ext cx="2508651" cy="1254156"/>
                    </a:xfrm>
                    <a:prstGeom prst="rect">
                      <a:avLst/>
                    </a:prstGeom>
                  </pic:spPr>
                </pic:pic>
              </a:graphicData>
            </a:graphic>
          </wp:anchor>
        </w:drawing>
      </w:r>
      <w:r>
        <w:rPr>
          <w:sz w:val="20"/>
        </w:rPr>
        <w:t>发票账单已到（不管是否入库）</w:t>
      </w:r>
    </w:p>
    <w:p>
      <w:pPr>
        <w:pStyle w:val="13"/>
        <w:numPr>
          <w:ilvl w:val="0"/>
          <w:numId w:val="65"/>
        </w:numPr>
        <w:tabs>
          <w:tab w:val="left" w:pos="1224"/>
        </w:tabs>
        <w:spacing w:before="124" w:after="0" w:line="240" w:lineRule="auto"/>
        <w:ind w:left="1223" w:right="0" w:hanging="501"/>
        <w:jc w:val="left"/>
        <w:rPr>
          <w:sz w:val="20"/>
        </w:rPr>
      </w:pPr>
      <w:r>
        <w:rPr>
          <w:sz w:val="20"/>
        </w:rPr>
        <w:t>材料已入库，发票账单未到</w:t>
      </w:r>
    </w:p>
    <w:p>
      <w:pPr>
        <w:spacing w:before="70"/>
        <w:ind w:left="723" w:right="0" w:firstLine="0"/>
        <w:jc w:val="left"/>
        <w:rPr>
          <w:sz w:val="20"/>
        </w:rPr>
      </w:pPr>
      <w:r>
        <w:rPr>
          <w:b/>
          <w:sz w:val="20"/>
        </w:rPr>
        <w:t>同实际成本法：</w:t>
      </w:r>
      <w:r>
        <w:rPr>
          <w:sz w:val="20"/>
        </w:rPr>
        <w:t>①月末暂估入账②下月初做相反分录③收到发票账单正常处理</w:t>
      </w:r>
    </w:p>
    <w:p>
      <w:pPr>
        <w:pStyle w:val="6"/>
        <w:spacing w:before="68" w:line="304" w:lineRule="auto"/>
        <w:ind w:left="322" w:right="720" w:firstLine="400"/>
      </w:pPr>
      <w:r>
        <mc:AlternateContent>
          <mc:Choice Requires="wps">
            <w:drawing>
              <wp:anchor distT="0" distB="0" distL="114300" distR="114300" simplePos="0" relativeHeight="482434048" behindDoc="1" locked="0" layoutInCell="1" allowOverlap="1">
                <wp:simplePos x="0" y="0"/>
                <wp:positionH relativeFrom="page">
                  <wp:posOffset>1068705</wp:posOffset>
                </wp:positionH>
                <wp:positionV relativeFrom="paragraph">
                  <wp:posOffset>181610</wp:posOffset>
                </wp:positionV>
                <wp:extent cx="251460" cy="5715"/>
                <wp:effectExtent l="0" t="0" r="0" b="0"/>
                <wp:wrapNone/>
                <wp:docPr id="277" name="任意多边形 15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3" o:spid="_x0000_s1026" o:spt="100" style="position:absolute;left:0pt;margin-left:84.15pt;margin-top:14.3pt;height:0.45pt;width:19.8pt;mso-position-horizontal-relative:page;z-index:-20882432;mso-width-relative:page;mso-height-relative:page;" filled="f" stroked="t" coordsize="396,9" o:gfxdata="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c&#10;5+A+2QAAAAkBAAAPAAAAAAAAAAEAIAAAACIAAABkcnMvZG93bnJldi54bWxQSwECFAAUAAAACACH&#10;TuJAw8P8H5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7"/>
          <w:w w:val="95"/>
        </w:rPr>
        <w:t xml:space="preserve">】在计划成本法下，购入的材料无论是否验收入库，都要先通过“材料采购”科目进行核算，以反映   </w:t>
      </w:r>
      <w:r>
        <w:rPr>
          <w:spacing w:val="-7"/>
        </w:rPr>
        <w:t>企业所购材料的实际成本，从而与“原材料”科目相比较，计算确定材料成本差异成本。</w:t>
      </w:r>
    </w:p>
    <w:p>
      <w:pPr>
        <w:pStyle w:val="13"/>
        <w:numPr>
          <w:ilvl w:val="0"/>
          <w:numId w:val="66"/>
        </w:numPr>
        <w:tabs>
          <w:tab w:val="left" w:pos="925"/>
        </w:tabs>
        <w:spacing w:before="2" w:after="0" w:line="304" w:lineRule="auto"/>
        <w:ind w:left="322" w:right="722" w:firstLine="400"/>
        <w:jc w:val="left"/>
        <w:rPr>
          <w:sz w:val="20"/>
        </w:rPr>
      </w:pPr>
      <w:r>
        <w:rPr>
          <w:spacing w:val="-3"/>
          <w:sz w:val="20"/>
        </w:rPr>
        <w:t xml:space="preserve">甲公司采用商业承兑汇票支付方式购入 </w:t>
      </w:r>
      <w:r>
        <w:rPr>
          <w:sz w:val="20"/>
        </w:rPr>
        <w:t>M2</w:t>
      </w:r>
      <w:r>
        <w:rPr>
          <w:spacing w:val="-13"/>
          <w:sz w:val="20"/>
        </w:rPr>
        <w:t xml:space="preserve"> 材料一批，专用发票上记载的货款为 </w:t>
      </w:r>
      <w:r>
        <w:rPr>
          <w:sz w:val="20"/>
        </w:rPr>
        <w:t>50</w:t>
      </w:r>
      <w:r>
        <w:rPr>
          <w:spacing w:val="-17"/>
          <w:sz w:val="20"/>
        </w:rPr>
        <w:t xml:space="preserve"> 万元，增值税额 </w:t>
      </w:r>
      <w:r>
        <w:rPr>
          <w:sz w:val="20"/>
        </w:rPr>
        <w:t>6.5</w:t>
      </w:r>
      <w:r>
        <w:rPr>
          <w:spacing w:val="-27"/>
          <w:sz w:val="20"/>
        </w:rPr>
        <w:t xml:space="preserve"> 万</w:t>
      </w:r>
      <w:r>
        <w:rPr>
          <w:spacing w:val="-29"/>
          <w:sz w:val="20"/>
        </w:rPr>
        <w:t xml:space="preserve">元，发票账单已收到，计划成本 </w:t>
      </w:r>
      <w:r>
        <w:rPr>
          <w:sz w:val="20"/>
        </w:rPr>
        <w:t>48</w:t>
      </w:r>
      <w:r>
        <w:rPr>
          <w:spacing w:val="-8"/>
          <w:sz w:val="20"/>
        </w:rPr>
        <w:t xml:space="preserve"> 万元，材料尚未验收入库。</w:t>
      </w:r>
    </w:p>
    <w:p>
      <w:pPr>
        <w:pStyle w:val="13"/>
        <w:numPr>
          <w:ilvl w:val="0"/>
          <w:numId w:val="66"/>
        </w:numPr>
        <w:tabs>
          <w:tab w:val="left" w:pos="925"/>
        </w:tabs>
        <w:spacing w:before="2" w:after="0" w:line="304" w:lineRule="auto"/>
        <w:ind w:left="322" w:right="761" w:firstLine="400"/>
        <w:jc w:val="left"/>
        <w:rPr>
          <w:sz w:val="20"/>
        </w:rPr>
      </w:pPr>
      <w:r>
        <w:rPr>
          <w:spacing w:val="-9"/>
          <w:sz w:val="20"/>
        </w:rPr>
        <w:t xml:space="preserve">甲公司购入 </w:t>
      </w:r>
      <w:r>
        <w:rPr>
          <w:sz w:val="20"/>
        </w:rPr>
        <w:t>L</w:t>
      </w:r>
      <w:r>
        <w:rPr>
          <w:spacing w:val="-11"/>
          <w:sz w:val="20"/>
        </w:rPr>
        <w:t xml:space="preserve"> 材料一批，增值税专用发票说明的价款为 </w:t>
      </w:r>
      <w:r>
        <w:rPr>
          <w:sz w:val="20"/>
        </w:rPr>
        <w:t>300</w:t>
      </w:r>
      <w:r>
        <w:rPr>
          <w:spacing w:val="-15"/>
          <w:sz w:val="20"/>
        </w:rPr>
        <w:t xml:space="preserve"> 万，增值税额 </w:t>
      </w:r>
      <w:r>
        <w:rPr>
          <w:sz w:val="20"/>
        </w:rPr>
        <w:t>39</w:t>
      </w:r>
      <w:r>
        <w:rPr>
          <w:spacing w:val="-8"/>
          <w:sz w:val="20"/>
        </w:rPr>
        <w:t xml:space="preserve"> 万，发票账单已到，计划成</w:t>
      </w:r>
      <w:r>
        <w:rPr>
          <w:spacing w:val="-30"/>
          <w:sz w:val="20"/>
        </w:rPr>
        <w:t xml:space="preserve">本 </w:t>
      </w:r>
      <w:r>
        <w:rPr>
          <w:sz w:val="20"/>
        </w:rPr>
        <w:t>320</w:t>
      </w:r>
      <w:r>
        <w:rPr>
          <w:spacing w:val="-8"/>
          <w:sz w:val="20"/>
        </w:rPr>
        <w:t xml:space="preserve"> 万，已验收入库，全部款项已银行存款支付。</w:t>
      </w:r>
    </w:p>
    <w:p>
      <w:pPr>
        <w:pStyle w:val="13"/>
        <w:numPr>
          <w:ilvl w:val="0"/>
          <w:numId w:val="66"/>
        </w:numPr>
        <w:tabs>
          <w:tab w:val="left" w:pos="925"/>
        </w:tabs>
        <w:spacing w:before="0" w:after="0" w:line="256" w:lineRule="exact"/>
        <w:ind w:left="924" w:right="0" w:hanging="202"/>
        <w:jc w:val="left"/>
        <w:rPr>
          <w:sz w:val="20"/>
        </w:rPr>
      </w:pPr>
      <w:r>
        <w:rPr>
          <w:sz w:val="20"/>
        </w:rPr>
        <w:t>M2</w:t>
      </w:r>
      <w:r>
        <w:rPr>
          <w:spacing w:val="-12"/>
          <w:sz w:val="20"/>
        </w:rPr>
        <w:t xml:space="preserve"> 材料验收入库，结转 </w:t>
      </w:r>
      <w:r>
        <w:rPr>
          <w:sz w:val="20"/>
        </w:rPr>
        <w:t>L</w:t>
      </w:r>
      <w:r>
        <w:rPr>
          <w:spacing w:val="-21"/>
          <w:sz w:val="20"/>
        </w:rPr>
        <w:t xml:space="preserve"> 材料和 </w:t>
      </w:r>
      <w:r>
        <w:rPr>
          <w:sz w:val="20"/>
        </w:rPr>
        <w:t>M2</w:t>
      </w:r>
      <w:r>
        <w:rPr>
          <w:spacing w:val="-8"/>
          <w:sz w:val="20"/>
        </w:rPr>
        <w:t xml:space="preserve"> 材料采购成本。</w:t>
      </w:r>
    </w:p>
    <w:p>
      <w:pPr>
        <w:spacing w:before="21"/>
        <w:ind w:left="742" w:right="0" w:firstLine="0"/>
        <w:jc w:val="left"/>
        <w:rPr>
          <w:b/>
          <w:sz w:val="21"/>
        </w:rPr>
      </w:pPr>
      <w:bookmarkStart w:id="55" w:name="三、周转材料"/>
      <w:bookmarkEnd w:id="55"/>
      <w:r>
        <w:rPr>
          <w:b/>
          <w:sz w:val="21"/>
          <w:shd w:val="clear" w:color="auto" w:fill="C0C0C0"/>
        </w:rPr>
        <w:t>三、周转材料</w:t>
      </w:r>
    </w:p>
    <w:p>
      <w:pPr>
        <w:pStyle w:val="6"/>
        <w:spacing w:before="92" w:line="304" w:lineRule="auto"/>
        <w:ind w:left="322" w:right="720" w:firstLine="400"/>
      </w:pPr>
      <w:r>
        <w:rPr>
          <w:w w:val="95"/>
        </w:rPr>
        <w:t>周转材料是</w:t>
      </w:r>
      <w:r>
        <w:rPr>
          <w:color w:val="FF0000"/>
          <w:spacing w:val="-4"/>
          <w:w w:val="95"/>
          <w:u w:val="double" w:color="FF0000"/>
        </w:rPr>
        <w:t>指企业能够多次使用，不符合固定资产定义，逐渐转移其价值但仍保持原有形态，不确认为固定</w:t>
      </w:r>
      <w:r>
        <w:rPr>
          <w:color w:val="FF0000"/>
          <w:spacing w:val="-199"/>
          <w:w w:val="95"/>
          <w:u w:val="double" w:color="FF0000"/>
        </w:rPr>
        <w:t>资</w:t>
      </w:r>
      <w:r>
        <w:rPr>
          <w:color w:val="FF0000"/>
          <w:spacing w:val="190"/>
          <w:w w:val="95"/>
          <w:u w:val="double" w:color="FF0000"/>
        </w:rPr>
        <w:t xml:space="preserve"> </w:t>
      </w:r>
      <w:r>
        <w:rPr>
          <w:color w:val="FF0000"/>
          <w:u w:val="double" w:color="FF0000"/>
        </w:rPr>
        <w:t>产的材料</w:t>
      </w:r>
      <w:r>
        <w:t>。企业的周转材料包括</w:t>
      </w:r>
      <w:r>
        <w:rPr>
          <w:b/>
          <w:color w:val="00AFEF"/>
          <w:u w:val="single" w:color="00AFEF"/>
        </w:rPr>
        <w:t>包装物和低值易耗品</w:t>
      </w:r>
      <w:r>
        <w:t>。</w:t>
      </w:r>
    </w:p>
    <w:p>
      <w:pPr>
        <w:pStyle w:val="5"/>
        <w:spacing w:before="2"/>
      </w:pPr>
      <w:r>
        <w:t>（一）包装物的内容</w:t>
      </w:r>
    </w:p>
    <w:p>
      <w:pPr>
        <w:pStyle w:val="6"/>
        <w:spacing w:line="304" w:lineRule="auto"/>
        <w:ind w:right="2464"/>
        <w:rPr>
          <w:b/>
        </w:rPr>
      </w:pPr>
      <w:r>
        <mc:AlternateContent>
          <mc:Choice Requires="wps">
            <w:drawing>
              <wp:anchor distT="0" distB="0" distL="114300" distR="114300" simplePos="0" relativeHeight="482435072" behindDoc="1" locked="0" layoutInCell="1" allowOverlap="1">
                <wp:simplePos x="0" y="0"/>
                <wp:positionH relativeFrom="page">
                  <wp:posOffset>3989070</wp:posOffset>
                </wp:positionH>
                <wp:positionV relativeFrom="paragraph">
                  <wp:posOffset>388620</wp:posOffset>
                </wp:positionV>
                <wp:extent cx="502920" cy="5715"/>
                <wp:effectExtent l="0" t="0" r="0" b="0"/>
                <wp:wrapNone/>
                <wp:docPr id="278" name="任意多边形 154"/>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4" o:spid="_x0000_s1026" o:spt="100" style="position:absolute;left:0pt;margin-left:314.1pt;margin-top:30.6pt;height:0.45pt;width:39.6pt;mso-position-horizontal-relative:page;z-index:-20881408;mso-width-relative:page;mso-height-relative:page;" filled="f" stroked="t" coordsize="792,9" o:gfxdata="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wmTBMtcAAAAJAQAADwAAAAAAAAABACAAAAAi&#10;AAAAZHJzL2Rvd25yZXYueG1sUEsBAhQAFAAAAAgAh07iQK/QQaXvAgAAmwoAAA4AAAAAAAAAAQAg&#10;AAAAJg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 xml:space="preserve">包装物，是指为了包装本企业商品而储备的各种包装容器，如桶、箱、瓶、坛、袋等。  </w:t>
      </w:r>
      <w:r>
        <w:t>1.生产过程用于包装产品作为产品组成部分的包装物：</w:t>
      </w:r>
      <w:r>
        <w:rPr>
          <w:b/>
          <w:color w:val="00AFEF"/>
        </w:rPr>
        <w:t>生产成本</w:t>
      </w:r>
    </w:p>
    <w:p>
      <w:pPr>
        <w:pStyle w:val="13"/>
        <w:numPr>
          <w:ilvl w:val="0"/>
          <w:numId w:val="67"/>
        </w:numPr>
        <w:tabs>
          <w:tab w:val="left" w:pos="925"/>
        </w:tabs>
        <w:spacing w:before="0" w:after="0" w:line="256" w:lineRule="exact"/>
        <w:ind w:left="924" w:right="0" w:hanging="202"/>
        <w:jc w:val="left"/>
        <w:rPr>
          <w:b/>
          <w:sz w:val="20"/>
        </w:rPr>
      </w:pPr>
      <w:r>
        <mc:AlternateContent>
          <mc:Choice Requires="wps">
            <w:drawing>
              <wp:anchor distT="0" distB="0" distL="114300" distR="114300" simplePos="0" relativeHeight="15801344" behindDoc="0" locked="0" layoutInCell="1" allowOverlap="1">
                <wp:simplePos x="0" y="0"/>
                <wp:positionH relativeFrom="page">
                  <wp:posOffset>3227070</wp:posOffset>
                </wp:positionH>
                <wp:positionV relativeFrom="paragraph">
                  <wp:posOffset>137795</wp:posOffset>
                </wp:positionV>
                <wp:extent cx="502920" cy="5715"/>
                <wp:effectExtent l="0" t="0" r="0" b="0"/>
                <wp:wrapNone/>
                <wp:docPr id="131" name="任意多边形 155"/>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5" o:spid="_x0000_s1026" o:spt="100" style="position:absolute;left:0pt;margin-left:254.1pt;margin-top:10.85pt;height:0.45pt;width:39.6pt;mso-position-horizontal-relative:page;z-index:15801344;mso-width-relative:page;mso-height-relative:page;" filled="f" stroked="t" coordsize="792,9" o:gfxdata="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BAs5MO1wAAAAkBAAAPAAAAAAAAAAEAIAAAACIAAABkcnMv&#10;ZG93bnJldi54bWxQSwECFAAUAAAACACHTuJArBwUtOgCAACbCgAADgAAAAAAAAABACAAAAAmAQAA&#10;ZHJzL2Uyb0RvYy54bWxQSwUGAAAAAAYABgBZAQAAgA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sz w:val="20"/>
        </w:rPr>
        <w:t>随同商品出售而不单独计价的包装物：</w:t>
      </w:r>
      <w:r>
        <w:rPr>
          <w:b/>
          <w:color w:val="00AFEF"/>
          <w:w w:val="95"/>
          <w:sz w:val="20"/>
        </w:rPr>
        <w:t>销售费用</w:t>
      </w:r>
    </w:p>
    <w:p>
      <w:pPr>
        <w:pStyle w:val="13"/>
        <w:numPr>
          <w:ilvl w:val="0"/>
          <w:numId w:val="67"/>
        </w:numPr>
        <w:tabs>
          <w:tab w:val="left" w:pos="925"/>
        </w:tabs>
        <w:spacing w:before="70" w:after="0" w:line="240" w:lineRule="auto"/>
        <w:ind w:left="924" w:right="0" w:hanging="202"/>
        <w:jc w:val="left"/>
        <w:rPr>
          <w:b/>
          <w:sz w:val="20"/>
        </w:rPr>
      </w:pPr>
      <w:r>
        <w:rPr>
          <w:w w:val="95"/>
          <w:sz w:val="20"/>
        </w:rPr>
        <w:t>随同商品出售单独计价的包装物：</w:t>
      </w:r>
      <w:r>
        <w:rPr>
          <w:b/>
          <w:color w:val="00AFEF"/>
          <w:w w:val="95"/>
          <w:sz w:val="20"/>
          <w:u w:val="single" w:color="00AFEF"/>
        </w:rPr>
        <w:t>其他业务成本</w:t>
      </w:r>
    </w:p>
    <w:p>
      <w:pPr>
        <w:pStyle w:val="13"/>
        <w:numPr>
          <w:ilvl w:val="0"/>
          <w:numId w:val="67"/>
        </w:numPr>
        <w:tabs>
          <w:tab w:val="left" w:pos="925"/>
        </w:tabs>
        <w:spacing w:before="70" w:after="0" w:line="240" w:lineRule="auto"/>
        <w:ind w:left="924" w:right="0" w:hanging="202"/>
        <w:jc w:val="left"/>
        <w:rPr>
          <w:b/>
          <w:sz w:val="20"/>
        </w:rPr>
      </w:pPr>
      <w:r>
        <w:rPr>
          <w:sz w:val="20"/>
        </w:rPr>
        <w:t>出租给购买单位使用的包装物：</w:t>
      </w:r>
      <w:r>
        <w:rPr>
          <w:b/>
          <w:color w:val="00AFEF"/>
          <w:sz w:val="20"/>
          <w:u w:val="single" w:color="00AFEF"/>
        </w:rPr>
        <w:t>其他业务成本</w:t>
      </w:r>
    </w:p>
    <w:p>
      <w:pPr>
        <w:pStyle w:val="13"/>
        <w:numPr>
          <w:ilvl w:val="0"/>
          <w:numId w:val="67"/>
        </w:numPr>
        <w:tabs>
          <w:tab w:val="left" w:pos="925"/>
        </w:tabs>
        <w:spacing w:before="70" w:after="0" w:line="240" w:lineRule="auto"/>
        <w:ind w:left="924" w:right="0" w:hanging="202"/>
        <w:jc w:val="left"/>
        <w:rPr>
          <w:b/>
          <w:sz w:val="20"/>
        </w:rPr>
      </w:pPr>
      <w:r>
        <mc:AlternateContent>
          <mc:Choice Requires="wps">
            <w:drawing>
              <wp:anchor distT="0" distB="0" distL="114300" distR="114300" simplePos="0" relativeHeight="15801344" behindDoc="0" locked="0" layoutInCell="1" allowOverlap="1">
                <wp:simplePos x="0" y="0"/>
                <wp:positionH relativeFrom="page">
                  <wp:posOffset>2846070</wp:posOffset>
                </wp:positionH>
                <wp:positionV relativeFrom="paragraph">
                  <wp:posOffset>182245</wp:posOffset>
                </wp:positionV>
                <wp:extent cx="502920" cy="5715"/>
                <wp:effectExtent l="0" t="0" r="0" b="0"/>
                <wp:wrapNone/>
                <wp:docPr id="130" name="任意多边形 15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6" o:spid="_x0000_s1026" o:spt="100" style="position:absolute;left:0pt;margin-left:224.1pt;margin-top:14.35pt;height:0.45pt;width:39.6pt;mso-position-horizontal-relative:page;z-index:15801344;mso-width-relative:page;mso-height-relative:page;" filled="f" stroked="t" coordsize="792,9" o:gfxdata="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NuGSkXYAAAACQEAAA8AAAAAAAAAAQAgAAAA&#10;IgAAAGRycy9kb3ducmV2LnhtbFBLAQIUABQAAAAIAIdO4kAoSds07wIAAJsKAAAOAAAAAAAAAAEA&#10;IAAAACcBAABkcnMvZTJvRG9jLnhtbFBLBQYAAAAABgAGAFkBAACI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sz w:val="20"/>
        </w:rPr>
        <w:t>出借给购买单位使用的包装物：</w:t>
      </w:r>
      <w:r>
        <w:rPr>
          <w:b/>
          <w:color w:val="00AFEF"/>
          <w:sz w:val="20"/>
        </w:rPr>
        <w:t>销售费用</w:t>
      </w:r>
    </w:p>
    <w:p>
      <w:pPr>
        <w:pStyle w:val="5"/>
        <w:spacing w:line="304" w:lineRule="auto"/>
        <w:ind w:right="7853"/>
      </w:pPr>
      <w:r>
        <w:t>（二）包装物的账务处理1.生产领用包装物</w:t>
      </w:r>
    </w:p>
    <w:p>
      <w:pPr>
        <w:pStyle w:val="6"/>
        <w:spacing w:before="0" w:line="256" w:lineRule="exact"/>
      </w:pPr>
      <w:r>
        <w:t>借：生产成本等</w:t>
      </w:r>
    </w:p>
    <w:p>
      <w:pPr>
        <w:spacing w:after="0" w:line="256" w:lineRule="exact"/>
        <w:sectPr>
          <w:pgSz w:w="11910" w:h="16160"/>
          <w:pgMar w:top="1680" w:right="360" w:bottom="780" w:left="760" w:header="0" w:footer="584" w:gutter="0"/>
        </w:sectPr>
      </w:pPr>
    </w:p>
    <w:p>
      <w:pPr>
        <w:pStyle w:val="6"/>
        <w:spacing w:before="11"/>
        <w:ind w:left="0"/>
        <w:rPr>
          <w:sz w:val="13"/>
        </w:rPr>
      </w:pPr>
    </w:p>
    <w:p>
      <w:pPr>
        <w:pStyle w:val="6"/>
        <w:spacing w:before="71"/>
        <w:ind w:left="1323"/>
      </w:pPr>
      <w:r>
        <w:t>贷：周转材料—包装物</w:t>
      </w:r>
    </w:p>
    <w:p>
      <w:pPr>
        <w:spacing w:before="70" w:line="304" w:lineRule="auto"/>
        <w:ind w:left="723" w:right="6261" w:firstLine="1399"/>
        <w:jc w:val="left"/>
        <w:rPr>
          <w:b/>
          <w:sz w:val="20"/>
        </w:rPr>
      </w:pPr>
      <w:r>
        <w:rPr>
          <w:sz w:val="20"/>
        </w:rPr>
        <w:t xml:space="preserve">材料成本差异等（或借方） </w:t>
      </w:r>
      <w:r>
        <w:rPr>
          <w:b/>
          <w:sz w:val="20"/>
        </w:rPr>
        <w:t>2.随同商品出售单独计价的包装物</w:t>
      </w:r>
    </w:p>
    <w:p>
      <w:pPr>
        <w:pStyle w:val="6"/>
        <w:spacing w:before="2" w:line="304" w:lineRule="auto"/>
        <w:ind w:left="322" w:right="691" w:firstLine="400"/>
      </w:pPr>
      <w:r>
        <w:t>【例题</w:t>
      </w:r>
      <w:r>
        <w:rPr>
          <w:rFonts w:ascii="Arial" w:hAnsi="Arial" w:eastAsia="Arial"/>
        </w:rPr>
        <w:t>▪</w:t>
      </w:r>
      <w:r>
        <w:rPr>
          <w:spacing w:val="-2"/>
        </w:rPr>
        <w:t xml:space="preserve">计算题】甲公司某月销售商品领用单独计价包装物的计划成本为 </w:t>
      </w:r>
      <w:r>
        <w:t>80000</w:t>
      </w:r>
      <w:r>
        <w:rPr>
          <w:spacing w:val="-13"/>
        </w:rPr>
        <w:t xml:space="preserve"> 元。销售收入为 </w:t>
      </w:r>
      <w:r>
        <w:t>100000</w:t>
      </w:r>
      <w:r>
        <w:rPr>
          <w:spacing w:val="-19"/>
        </w:rPr>
        <w:t xml:space="preserve"> 元， </w:t>
      </w:r>
      <w:r>
        <w:rPr>
          <w:spacing w:val="-24"/>
        </w:rPr>
        <w:t xml:space="preserve">增值税额为 </w:t>
      </w:r>
      <w:r>
        <w:t>13000</w:t>
      </w:r>
      <w:r>
        <w:rPr>
          <w:spacing w:val="-11"/>
        </w:rPr>
        <w:t xml:space="preserve"> 元，该包装物材料成本差异率为 </w:t>
      </w:r>
      <w:r>
        <w:t>3%。</w:t>
      </w:r>
    </w:p>
    <w:p>
      <w:pPr>
        <w:pStyle w:val="6"/>
        <w:tabs>
          <w:tab w:val="left" w:pos="5623"/>
        </w:tabs>
        <w:spacing w:before="0" w:line="256" w:lineRule="exact"/>
      </w:pPr>
      <w:r>
        <w:t>款项已存入银行</w:t>
      </w:r>
      <w:r>
        <w:tab/>
      </w:r>
      <w:r>
        <w:t>销售包装物负担的实际成本</w:t>
      </w:r>
      <w:r>
        <w:rPr>
          <w:spacing w:val="-9"/>
        </w:rPr>
        <w:t>=80000×（1+3%）=82400</w:t>
      </w:r>
    </w:p>
    <w:p>
      <w:pPr>
        <w:pStyle w:val="6"/>
        <w:tabs>
          <w:tab w:val="left" w:pos="5823"/>
          <w:tab w:val="left" w:pos="7623"/>
        </w:tabs>
      </w:pPr>
      <w:r>
        <w:t>借：银行存款</w:t>
      </w:r>
      <w:r>
        <w:rPr>
          <w:spacing w:val="97"/>
        </w:rPr>
        <w:t xml:space="preserve"> </w:t>
      </w:r>
      <w:r>
        <w:t>113000</w:t>
      </w:r>
      <w:r>
        <w:tab/>
      </w:r>
      <w:r>
        <w:t>借：其他业务成本</w:t>
      </w:r>
      <w:r>
        <w:tab/>
      </w:r>
      <w:r>
        <w:t>82400（实际成本）</w:t>
      </w:r>
    </w:p>
    <w:p>
      <w:pPr>
        <w:pStyle w:val="6"/>
        <w:tabs>
          <w:tab w:val="left" w:pos="5223"/>
          <w:tab w:val="left" w:pos="6303"/>
          <w:tab w:val="left" w:pos="6723"/>
        </w:tabs>
        <w:spacing w:line="304" w:lineRule="auto"/>
        <w:ind w:left="1822" w:right="621" w:hanging="699"/>
      </w:pPr>
      <w:r>
        <w:t>贷</w:t>
      </w:r>
      <w:r>
        <w:rPr>
          <w:spacing w:val="-19"/>
        </w:rPr>
        <w:t>：</w:t>
      </w:r>
      <w:r>
        <w:t>其他业务收入</w:t>
      </w:r>
      <w:r>
        <w:rPr>
          <w:spacing w:val="95"/>
        </w:rPr>
        <w:t xml:space="preserve"> </w:t>
      </w:r>
      <w:r>
        <w:t>100000</w:t>
      </w:r>
      <w:r>
        <w:tab/>
      </w:r>
      <w:r>
        <w:tab/>
      </w:r>
      <w:r>
        <w:t>贷</w:t>
      </w:r>
      <w:r>
        <w:rPr>
          <w:spacing w:val="-19"/>
        </w:rPr>
        <w:t>：</w:t>
      </w:r>
      <w:r>
        <w:t>周转材料—包装物</w:t>
      </w:r>
      <w:r>
        <w:rPr>
          <w:spacing w:val="90"/>
        </w:rPr>
        <w:t xml:space="preserve"> </w:t>
      </w:r>
      <w:r>
        <w:rPr>
          <w:spacing w:val="-3"/>
        </w:rPr>
        <w:t>80000（</w:t>
      </w:r>
      <w:r>
        <w:t>计划成本） 应交税费—应交增值税（销项税额）</w:t>
      </w:r>
      <w:r>
        <w:tab/>
      </w:r>
      <w:r>
        <w:t>13000</w:t>
      </w:r>
      <w:r>
        <w:tab/>
      </w:r>
      <w:r>
        <w:tab/>
      </w:r>
      <w:r>
        <w:t>材料成本差异</w:t>
      </w:r>
      <w:r>
        <w:rPr>
          <w:spacing w:val="98"/>
        </w:rPr>
        <w:t xml:space="preserve"> </w:t>
      </w:r>
      <w:r>
        <w:t>2400</w:t>
      </w:r>
    </w:p>
    <w:p>
      <w:pPr>
        <w:pStyle w:val="5"/>
        <w:spacing w:before="2"/>
      </w:pPr>
      <w:r>
        <w:t>3.随同商品出售不单独计价的包装物</w:t>
      </w:r>
    </w:p>
    <w:p>
      <w:pPr>
        <w:pStyle w:val="6"/>
      </w:pPr>
      <w:r>
        <w:t>【例题</w:t>
      </w:r>
      <w:r>
        <w:rPr>
          <w:rFonts w:ascii="Arial" w:hAnsi="Arial" w:eastAsia="Arial"/>
        </w:rPr>
        <w:t>▪</w:t>
      </w:r>
      <w:r>
        <w:t>计算题】甲公司某月销售商品领用不单独计价包装物的成本为 50000 元。</w:t>
      </w:r>
    </w:p>
    <w:p>
      <w:pPr>
        <w:pStyle w:val="6"/>
        <w:spacing w:before="68"/>
      </w:pPr>
      <w:r>
        <w:t>借：销售费用 50000</w:t>
      </w:r>
    </w:p>
    <w:p>
      <w:pPr>
        <w:tabs>
          <w:tab w:val="left" w:pos="3523"/>
        </w:tabs>
        <w:spacing w:before="70" w:line="304" w:lineRule="auto"/>
        <w:ind w:left="723" w:right="6759" w:firstLine="600"/>
        <w:jc w:val="left"/>
        <w:rPr>
          <w:b/>
          <w:sz w:val="20"/>
        </w:rPr>
      </w:pPr>
      <w:r>
        <w:rPr>
          <w:sz w:val="20"/>
        </w:rPr>
        <w:t>贷：周转材料—包装物</w:t>
      </w:r>
      <w:r>
        <w:rPr>
          <w:sz w:val="20"/>
        </w:rPr>
        <w:tab/>
      </w:r>
      <w:r>
        <w:rPr>
          <w:spacing w:val="-3"/>
          <w:sz w:val="20"/>
        </w:rPr>
        <w:t xml:space="preserve">50000 </w:t>
      </w:r>
      <w:r>
        <w:rPr>
          <w:b/>
          <w:sz w:val="20"/>
        </w:rPr>
        <w:t>4.出租或出借包装物</w:t>
      </w:r>
    </w:p>
    <w:p>
      <w:pPr>
        <w:pStyle w:val="6"/>
        <w:tabs>
          <w:tab w:val="left" w:pos="6022"/>
        </w:tabs>
        <w:spacing w:before="2"/>
      </w:pPr>
      <w:r>
        <w:t>①出租或出借时</w:t>
      </w:r>
      <w:r>
        <w:tab/>
      </w:r>
      <w:r>
        <w:t>②</w:t>
      </w:r>
      <w:r>
        <w:rPr>
          <w:b/>
        </w:rPr>
        <w:t>出借</w:t>
      </w:r>
      <w:r>
        <w:t>包装物的押金</w:t>
      </w:r>
    </w:p>
    <w:p>
      <w:pPr>
        <w:pStyle w:val="6"/>
        <w:tabs>
          <w:tab w:val="left" w:pos="6123"/>
        </w:tabs>
      </w:pPr>
      <w:r>
        <w:t>借：周转材料—包装物—出租包装物/出借包装物</w:t>
      </w:r>
      <w:r>
        <w:tab/>
      </w:r>
      <w:r>
        <w:t>借：银行存款等</w:t>
      </w:r>
    </w:p>
    <w:p>
      <w:pPr>
        <w:pStyle w:val="6"/>
        <w:tabs>
          <w:tab w:val="left" w:pos="6123"/>
          <w:tab w:val="left" w:pos="6322"/>
        </w:tabs>
        <w:spacing w:before="71" w:line="302" w:lineRule="auto"/>
        <w:ind w:right="1862" w:firstLine="400"/>
      </w:pPr>
      <w:r>
        <w:t>贷：周转材料—包装物—库存包装物</w:t>
      </w:r>
      <w:r>
        <w:tab/>
      </w:r>
      <w:r>
        <w:tab/>
      </w:r>
      <w:r>
        <w:t>贷：其他应付款—存入保证</w:t>
      </w:r>
      <w:r>
        <w:rPr>
          <w:spacing w:val="-13"/>
        </w:rPr>
        <w:t>金</w:t>
      </w:r>
      <w:r>
        <w:t>材料成本差异（或借方）</w:t>
      </w:r>
      <w:r>
        <w:tab/>
      </w:r>
      <w:r>
        <w:rPr>
          <w:b/>
        </w:rPr>
        <w:t>退还</w:t>
      </w:r>
      <w:r>
        <w:t>押金时做相反分录</w:t>
      </w:r>
    </w:p>
    <w:p>
      <w:pPr>
        <w:pStyle w:val="6"/>
        <w:tabs>
          <w:tab w:val="left" w:pos="5923"/>
        </w:tabs>
        <w:spacing w:before="4"/>
      </w:pPr>
      <w:r>
        <w:t>③出租包装物的租金</w:t>
      </w:r>
      <w:r>
        <w:tab/>
      </w:r>
      <w:r>
        <w:t>④出租或出借包装物的摊销费用</w:t>
      </w:r>
    </w:p>
    <w:p>
      <w:pPr>
        <w:pStyle w:val="6"/>
        <w:tabs>
          <w:tab w:val="left" w:pos="6022"/>
          <w:tab w:val="left" w:pos="6423"/>
        </w:tabs>
        <w:spacing w:line="304" w:lineRule="auto"/>
        <w:ind w:right="1761"/>
      </w:pPr>
      <w:r>
        <w:t>借：银行存款等</w:t>
      </w:r>
      <w:r>
        <w:tab/>
      </w:r>
      <w:r>
        <w:t>借：其他业务成本（出租包装物</w:t>
      </w:r>
      <w:r>
        <w:rPr>
          <w:spacing w:val="-12"/>
        </w:rPr>
        <w:t xml:space="preserve">） </w:t>
      </w:r>
      <w:r>
        <w:t>贷：其他业务收入等</w:t>
      </w:r>
      <w:r>
        <w:tab/>
      </w:r>
      <w:r>
        <w:tab/>
      </w:r>
      <w:r>
        <w:t>销售费用（出借包装物）</w:t>
      </w:r>
    </w:p>
    <w:p>
      <w:pPr>
        <w:pStyle w:val="6"/>
        <w:tabs>
          <w:tab w:val="left" w:pos="6223"/>
        </w:tabs>
        <w:spacing w:before="2" w:line="304" w:lineRule="auto"/>
        <w:ind w:right="1363"/>
      </w:pPr>
      <w:r>
        <w:t>⑤出租或出借包装物修理费用等支出</w:t>
      </w:r>
      <w:r>
        <w:tab/>
      </w:r>
      <w:r>
        <w:t>贷：周转材料—包装物—包装物摊</w:t>
      </w:r>
      <w:r>
        <w:rPr>
          <w:spacing w:val="-12"/>
        </w:rPr>
        <w:t>销</w:t>
      </w:r>
      <w:r>
        <w:t>借：其他业务成本（出租包装物）</w:t>
      </w:r>
    </w:p>
    <w:p>
      <w:pPr>
        <w:pStyle w:val="6"/>
        <w:spacing w:before="0" w:line="256" w:lineRule="exact"/>
        <w:ind w:left="1123"/>
      </w:pPr>
      <w:r>
        <w:t>销售费用（出借包装物）</w:t>
      </w:r>
    </w:p>
    <w:p>
      <w:pPr>
        <w:pStyle w:val="6"/>
        <w:ind w:left="1123"/>
      </w:pPr>
      <w:r>
        <w:t>贷：库存现金/银行存款/原材料/应付职工薪酬等</w:t>
      </w:r>
    </w:p>
    <w:p>
      <w:pPr>
        <w:pStyle w:val="5"/>
        <w:spacing w:before="71" w:line="304" w:lineRule="auto"/>
        <w:ind w:right="8253"/>
      </w:pPr>
      <w:r>
        <w:t>（三）低值易耗品 1.</w:t>
      </w:r>
      <w:r>
        <w:rPr>
          <w:spacing w:val="-2"/>
        </w:rPr>
        <w:t>低值易耗品的内容</w:t>
      </w:r>
    </w:p>
    <w:p>
      <w:pPr>
        <w:pStyle w:val="6"/>
        <w:spacing w:before="1" w:line="304" w:lineRule="auto"/>
        <w:ind w:left="322" w:right="662" w:firstLine="400"/>
      </w:pPr>
      <w:r>
        <w:rPr>
          <w:w w:val="95"/>
        </w:rPr>
        <w:t xml:space="preserve">作为存货核算和管理的低值易耗品一般划分为一般工具、专用工具、替换设备、管理用具、劳动保护用品、   </w:t>
      </w:r>
      <w:r>
        <w:t>其他用具等。</w:t>
      </w:r>
    </w:p>
    <w:p>
      <w:pPr>
        <w:pStyle w:val="5"/>
        <w:spacing w:before="0" w:line="256" w:lineRule="exact"/>
      </w:pPr>
      <w:r>
        <w:t>2.低值易耗品的账务处理</w:t>
      </w:r>
    </w:p>
    <w:p>
      <w:pPr>
        <w:pStyle w:val="6"/>
        <w:spacing w:before="71" w:line="304" w:lineRule="auto"/>
        <w:ind w:right="1661"/>
      </w:pPr>
      <w:r>
        <w:rPr>
          <w:w w:val="95"/>
        </w:rPr>
        <w:t xml:space="preserve">低值易耗品的核算与原材料核算相似，企业应该设置“周转材料—低值易耗品”科目进行核算。   </w:t>
      </w:r>
      <w:r>
        <w:t>低值易耗品可采用</w:t>
      </w:r>
      <w:r>
        <w:rPr>
          <w:color w:val="FF0000"/>
          <w:u w:val="double" w:color="FF0000"/>
        </w:rPr>
        <w:t>一次摊销法或分次摊销法</w:t>
      </w:r>
      <w:r>
        <w:t>；摊销时，记入</w:t>
      </w:r>
      <w:r>
        <w:rPr>
          <w:color w:val="FF0000"/>
          <w:u w:val="double" w:color="FF0000"/>
        </w:rPr>
        <w:t>制造费用</w:t>
      </w:r>
      <w:r>
        <w:t>等科目。</w:t>
      </w:r>
    </w:p>
    <w:p>
      <w:pPr>
        <w:pStyle w:val="5"/>
        <w:numPr>
          <w:ilvl w:val="0"/>
          <w:numId w:val="68"/>
        </w:numPr>
        <w:tabs>
          <w:tab w:val="left" w:pos="925"/>
        </w:tabs>
        <w:spacing w:before="2" w:after="0" w:line="240" w:lineRule="auto"/>
        <w:ind w:left="924" w:right="0" w:hanging="202"/>
        <w:jc w:val="left"/>
      </w:pPr>
      <w:r>
        <w:rPr>
          <w:color w:val="00AFEF"/>
          <w:u w:val="single" w:color="00AFEF"/>
        </w:rPr>
        <w:t>一次摊销法：</w:t>
      </w:r>
    </w:p>
    <w:p>
      <w:pPr>
        <w:pStyle w:val="6"/>
      </w:pPr>
      <w:r>
        <w:t>金额较小的，可在领用时（一次）计入成本费用，以简化核算，但为加强实物管理，应当在备查簿上进行登</w:t>
      </w:r>
    </w:p>
    <w:p>
      <w:pPr>
        <w:pStyle w:val="6"/>
        <w:ind w:left="322"/>
      </w:pPr>
      <w:r>
        <w:t>记。</w:t>
      </w:r>
    </w:p>
    <w:p>
      <w:pPr>
        <w:pStyle w:val="5"/>
        <w:numPr>
          <w:ilvl w:val="0"/>
          <w:numId w:val="68"/>
        </w:numPr>
        <w:tabs>
          <w:tab w:val="left" w:pos="925"/>
        </w:tabs>
        <w:spacing w:before="68" w:after="0" w:line="240" w:lineRule="auto"/>
        <w:ind w:left="924" w:right="0" w:hanging="202"/>
        <w:jc w:val="left"/>
      </w:pPr>
      <w:r>
        <w:rPr>
          <w:color w:val="00AFEF"/>
          <w:u w:val="single" w:color="00AFEF"/>
        </w:rPr>
        <w:t>分次摊销法</w:t>
      </w:r>
    </w:p>
    <w:p>
      <w:pPr>
        <w:pStyle w:val="13"/>
        <w:numPr>
          <w:ilvl w:val="0"/>
          <w:numId w:val="69"/>
        </w:numPr>
        <w:tabs>
          <w:tab w:val="left" w:pos="1224"/>
        </w:tabs>
        <w:spacing w:before="70" w:after="0" w:line="240" w:lineRule="auto"/>
        <w:ind w:left="1223" w:right="0" w:hanging="501"/>
        <w:jc w:val="left"/>
        <w:rPr>
          <w:sz w:val="20"/>
        </w:rPr>
      </w:pPr>
      <w:r>
        <w:rPr>
          <w:sz w:val="20"/>
        </w:rPr>
        <w:t>科目设置</w:t>
      </w:r>
    </w:p>
    <w:p>
      <w:pPr>
        <w:pStyle w:val="6"/>
      </w:pPr>
      <w:r>
        <w:t>周转材料—低值易耗品—在用</w:t>
      </w:r>
    </w:p>
    <w:p>
      <w:pPr>
        <w:spacing w:after="0"/>
        <w:sectPr>
          <w:pgSz w:w="11910" w:h="16160"/>
          <w:pgMar w:top="1680" w:right="360" w:bottom="860" w:left="760" w:header="0" w:footer="584" w:gutter="0"/>
        </w:sectPr>
      </w:pPr>
    </w:p>
    <w:p>
      <w:pPr>
        <w:pStyle w:val="6"/>
        <w:spacing w:before="11"/>
        <w:ind w:left="0"/>
        <w:rPr>
          <w:sz w:val="13"/>
        </w:rPr>
      </w:pPr>
    </w:p>
    <w:p>
      <w:pPr>
        <w:pStyle w:val="6"/>
        <w:spacing w:before="71" w:line="304" w:lineRule="auto"/>
        <w:ind w:left="742" w:right="7442" w:hanging="20"/>
      </w:pPr>
      <w:r>
        <w:t>周转材料—低值易耗品—在库</w:t>
      </w:r>
      <w:r>
        <w:rPr>
          <w:spacing w:val="-1"/>
          <w:w w:val="95"/>
        </w:rPr>
        <w:t>周转材料—低值易耗品—摊销</w:t>
      </w:r>
    </w:p>
    <w:p>
      <w:pPr>
        <w:pStyle w:val="13"/>
        <w:numPr>
          <w:ilvl w:val="0"/>
          <w:numId w:val="69"/>
        </w:numPr>
        <w:tabs>
          <w:tab w:val="left" w:pos="1224"/>
        </w:tabs>
        <w:spacing w:before="2" w:after="0" w:line="240" w:lineRule="auto"/>
        <w:ind w:left="1223" w:right="0" w:hanging="501"/>
        <w:jc w:val="left"/>
        <w:rPr>
          <w:sz w:val="20"/>
        </w:rPr>
      </w:pPr>
      <w:r>
        <w:drawing>
          <wp:anchor distT="0" distB="0" distL="0" distR="0" simplePos="0" relativeHeight="15802368" behindDoc="0" locked="0" layoutInCell="1" allowOverlap="1">
            <wp:simplePos x="0" y="0"/>
            <wp:positionH relativeFrom="page">
              <wp:posOffset>2537460</wp:posOffset>
            </wp:positionH>
            <wp:positionV relativeFrom="paragraph">
              <wp:posOffset>14605</wp:posOffset>
            </wp:positionV>
            <wp:extent cx="3052445" cy="449580"/>
            <wp:effectExtent l="0" t="0" r="0" b="0"/>
            <wp:wrapNone/>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pic:cNvPicPr>
                      <a:picLocks noChangeAspect="1"/>
                    </pic:cNvPicPr>
                  </pic:nvPicPr>
                  <pic:blipFill>
                    <a:blip r:embed="rId31" cstate="print"/>
                    <a:stretch>
                      <a:fillRect/>
                    </a:stretch>
                  </pic:blipFill>
                  <pic:spPr>
                    <a:xfrm>
                      <a:off x="0" y="0"/>
                      <a:ext cx="3052305" cy="449506"/>
                    </a:xfrm>
                    <a:prstGeom prst="rect">
                      <a:avLst/>
                    </a:prstGeom>
                  </pic:spPr>
                </pic:pic>
              </a:graphicData>
            </a:graphic>
          </wp:anchor>
        </w:drawing>
      </w:r>
      <w:r>
        <w:rPr>
          <w:w w:val="95"/>
          <w:sz w:val="20"/>
        </w:rPr>
        <w:t>账务处理</w:t>
      </w:r>
    </w:p>
    <w:p>
      <w:pPr>
        <w:pStyle w:val="6"/>
        <w:spacing w:before="2"/>
        <w:ind w:left="0"/>
        <w:rPr>
          <w:sz w:val="27"/>
        </w:rPr>
      </w:pPr>
    </w:p>
    <w:p>
      <w:pPr>
        <w:spacing w:before="0"/>
        <w:ind w:left="742" w:right="0" w:firstLine="0"/>
        <w:jc w:val="left"/>
        <w:rPr>
          <w:b/>
          <w:sz w:val="21"/>
        </w:rPr>
      </w:pPr>
      <w:bookmarkStart w:id="56" w:name="四、委托加工物资"/>
      <w:bookmarkEnd w:id="56"/>
      <w:r>
        <w:rPr>
          <w:b/>
          <w:sz w:val="21"/>
          <w:shd w:val="clear" w:color="auto" w:fill="C0C0C0"/>
        </w:rPr>
        <w:t>四、委托加工物资</w:t>
      </w:r>
    </w:p>
    <w:p>
      <w:pPr>
        <w:pStyle w:val="6"/>
        <w:spacing w:before="91"/>
      </w:pPr>
      <w:r>
        <w:t>（一）委托加工物资的内容和成本</w:t>
      </w:r>
    </w:p>
    <w:p>
      <w:pPr>
        <w:pStyle w:val="6"/>
        <w:spacing w:before="68" w:line="304" w:lineRule="auto"/>
        <w:ind w:right="4262"/>
      </w:pPr>
      <w:r>
        <w:rPr>
          <w:w w:val="95"/>
        </w:rPr>
        <w:t xml:space="preserve">委托加工物资是指企业委托外单位加工的各种材料、商品等物资。  </w:t>
      </w:r>
      <w:r>
        <w:t>企业委托外单位加工物资的成本包括：</w:t>
      </w:r>
    </w:p>
    <w:p>
      <w:pPr>
        <w:pStyle w:val="13"/>
        <w:numPr>
          <w:ilvl w:val="0"/>
          <w:numId w:val="70"/>
        </w:numPr>
        <w:tabs>
          <w:tab w:val="left" w:pos="925"/>
        </w:tabs>
        <w:spacing w:before="2" w:after="0" w:line="240" w:lineRule="auto"/>
        <w:ind w:left="924" w:right="0" w:hanging="202"/>
        <w:jc w:val="left"/>
        <w:rPr>
          <w:sz w:val="20"/>
        </w:rPr>
      </w:pPr>
      <w:r>
        <w:rPr>
          <w:sz w:val="20"/>
        </w:rPr>
        <w:t>加工中实际</w:t>
      </w:r>
      <w:r>
        <w:rPr>
          <w:color w:val="FF0000"/>
          <w:sz w:val="20"/>
          <w:u w:val="double" w:color="FF0000"/>
        </w:rPr>
        <w:t>耗用物资的成本</w:t>
      </w:r>
      <w:r>
        <w:rPr>
          <w:sz w:val="20"/>
        </w:rPr>
        <w:t>；</w:t>
      </w:r>
    </w:p>
    <w:p>
      <w:pPr>
        <w:pStyle w:val="13"/>
        <w:numPr>
          <w:ilvl w:val="0"/>
          <w:numId w:val="70"/>
        </w:numPr>
        <w:tabs>
          <w:tab w:val="left" w:pos="925"/>
        </w:tabs>
        <w:spacing w:before="70" w:after="0" w:line="240" w:lineRule="auto"/>
        <w:ind w:left="924" w:right="0" w:hanging="202"/>
        <w:jc w:val="left"/>
        <w:rPr>
          <w:sz w:val="20"/>
        </w:rPr>
      </w:pPr>
      <w:r>
        <w:rPr>
          <w:sz w:val="20"/>
        </w:rPr>
        <w:t>支付的</w:t>
      </w:r>
      <w:r>
        <w:rPr>
          <w:color w:val="FF0000"/>
          <w:sz w:val="20"/>
          <w:u w:val="double" w:color="FF0000"/>
        </w:rPr>
        <w:t>加工费用</w:t>
      </w:r>
      <w:r>
        <w:rPr>
          <w:sz w:val="20"/>
        </w:rPr>
        <w:t>及应负担的</w:t>
      </w:r>
      <w:r>
        <w:rPr>
          <w:color w:val="FF0000"/>
          <w:sz w:val="20"/>
          <w:u w:val="double" w:color="FF0000"/>
        </w:rPr>
        <w:t>运杂费</w:t>
      </w:r>
      <w:r>
        <w:rPr>
          <w:sz w:val="20"/>
        </w:rPr>
        <w:t>等；</w:t>
      </w:r>
    </w:p>
    <w:p>
      <w:pPr>
        <w:pStyle w:val="13"/>
        <w:numPr>
          <w:ilvl w:val="0"/>
          <w:numId w:val="70"/>
        </w:numPr>
        <w:tabs>
          <w:tab w:val="left" w:pos="925"/>
        </w:tabs>
        <w:spacing w:before="70" w:after="0" w:line="240" w:lineRule="auto"/>
        <w:ind w:left="924" w:right="0" w:hanging="202"/>
        <w:jc w:val="left"/>
        <w:rPr>
          <w:sz w:val="20"/>
        </w:rPr>
      </w:pPr>
      <w:r>
        <w:rPr>
          <w:sz w:val="20"/>
        </w:rPr>
        <w:t>支付的</w:t>
      </w:r>
      <w:r>
        <w:rPr>
          <w:color w:val="FF0000"/>
          <w:sz w:val="20"/>
          <w:u w:val="double" w:color="FF0000"/>
        </w:rPr>
        <w:t>税费</w:t>
      </w:r>
      <w:r>
        <w:rPr>
          <w:sz w:val="20"/>
        </w:rPr>
        <w:t>。</w:t>
      </w:r>
    </w:p>
    <w:p>
      <w:pPr>
        <w:spacing w:after="0" w:line="240" w:lineRule="auto"/>
        <w:jc w:val="left"/>
        <w:rPr>
          <w:sz w:val="20"/>
        </w:rPr>
        <w:sectPr>
          <w:pgSz w:w="11910" w:h="16160"/>
          <w:pgMar w:top="1680" w:right="360" w:bottom="860" w:left="760" w:header="0" w:footer="584" w:gutter="0"/>
        </w:sectPr>
      </w:pPr>
    </w:p>
    <w:p>
      <w:pPr>
        <w:pStyle w:val="6"/>
        <w:spacing w:before="11"/>
        <w:ind w:left="0"/>
        <w:rPr>
          <w:sz w:val="13"/>
        </w:rPr>
      </w:pPr>
    </w:p>
    <w:p>
      <w:pPr>
        <w:pStyle w:val="6"/>
        <w:spacing w:before="71"/>
      </w:pPr>
      <w:r>
        <w:rPr>
          <w:w w:val="95"/>
        </w:rPr>
        <w:t>委托加工物资涉及的税费的处理</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2"/>
        <w:gridCol w:w="3435"/>
        <w:gridCol w:w="3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5" w:hRule="atLeast"/>
        </w:trPr>
        <w:tc>
          <w:tcPr>
            <w:tcW w:w="1532" w:type="dxa"/>
            <w:vMerge w:val="restart"/>
          </w:tcPr>
          <w:p>
            <w:pPr>
              <w:pStyle w:val="14"/>
              <w:rPr>
                <w:sz w:val="19"/>
              </w:rPr>
            </w:pPr>
          </w:p>
          <w:p>
            <w:pPr>
              <w:pStyle w:val="14"/>
              <w:ind w:left="465"/>
              <w:rPr>
                <w:sz w:val="20"/>
              </w:rPr>
            </w:pPr>
            <w:r>
              <w:rPr>
                <w:sz w:val="20"/>
              </w:rPr>
              <w:t>增值税</w:t>
            </w:r>
          </w:p>
        </w:tc>
        <w:tc>
          <w:tcPr>
            <w:tcW w:w="3435" w:type="dxa"/>
          </w:tcPr>
          <w:p>
            <w:pPr>
              <w:pStyle w:val="14"/>
              <w:spacing w:before="68" w:line="237" w:lineRule="exact"/>
              <w:ind w:left="106"/>
              <w:rPr>
                <w:sz w:val="20"/>
              </w:rPr>
            </w:pPr>
            <w:r>
              <w:rPr>
                <w:sz w:val="20"/>
              </w:rPr>
              <w:t>一般纳税人</w:t>
            </w:r>
          </w:p>
        </w:tc>
        <w:tc>
          <w:tcPr>
            <w:tcW w:w="3555" w:type="dxa"/>
          </w:tcPr>
          <w:p>
            <w:pPr>
              <w:pStyle w:val="14"/>
              <w:spacing w:before="68" w:line="237" w:lineRule="exact"/>
              <w:ind w:left="108"/>
              <w:rPr>
                <w:sz w:val="20"/>
              </w:rPr>
            </w:pPr>
            <w:r>
              <w:rPr>
                <w:sz w:val="20"/>
              </w:rPr>
              <w:t>计入进项税额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532" w:type="dxa"/>
            <w:vMerge w:val="continue"/>
            <w:tcBorders>
              <w:top w:val="nil"/>
            </w:tcBorders>
          </w:tcPr>
          <w:p>
            <w:pPr>
              <w:rPr>
                <w:sz w:val="2"/>
                <w:szCs w:val="2"/>
              </w:rPr>
            </w:pPr>
          </w:p>
        </w:tc>
        <w:tc>
          <w:tcPr>
            <w:tcW w:w="3435" w:type="dxa"/>
          </w:tcPr>
          <w:p>
            <w:pPr>
              <w:pStyle w:val="14"/>
              <w:spacing w:before="68" w:line="252" w:lineRule="exact"/>
              <w:ind w:left="106"/>
              <w:rPr>
                <w:sz w:val="20"/>
              </w:rPr>
            </w:pPr>
            <w:r>
              <w:rPr>
                <w:sz w:val="20"/>
              </w:rPr>
              <w:t>小规模纳税人</w:t>
            </w:r>
          </w:p>
        </w:tc>
        <w:tc>
          <w:tcPr>
            <w:tcW w:w="3555" w:type="dxa"/>
          </w:tcPr>
          <w:p>
            <w:pPr>
              <w:pStyle w:val="14"/>
              <w:spacing w:before="68" w:line="252" w:lineRule="exact"/>
              <w:ind w:left="108"/>
              <w:rPr>
                <w:sz w:val="20"/>
              </w:rPr>
            </w:pPr>
            <w:r>
              <w:rPr>
                <w:sz w:val="20"/>
              </w:rPr>
              <w:t>计入成本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32" w:type="dxa"/>
            <w:vMerge w:val="restart"/>
          </w:tcPr>
          <w:p>
            <w:pPr>
              <w:pStyle w:val="14"/>
              <w:spacing w:before="5"/>
              <w:rPr>
                <w:sz w:val="18"/>
              </w:rPr>
            </w:pPr>
          </w:p>
          <w:p>
            <w:pPr>
              <w:pStyle w:val="14"/>
              <w:ind w:left="465"/>
              <w:rPr>
                <w:sz w:val="20"/>
              </w:rPr>
            </w:pPr>
            <w:r>
              <w:rPr>
                <w:sz w:val="20"/>
              </w:rPr>
              <w:t>消费税</w:t>
            </w:r>
          </w:p>
        </w:tc>
        <w:tc>
          <w:tcPr>
            <w:tcW w:w="3435" w:type="dxa"/>
          </w:tcPr>
          <w:p>
            <w:pPr>
              <w:pStyle w:val="14"/>
              <w:spacing w:before="68" w:line="238" w:lineRule="exact"/>
              <w:ind w:left="106"/>
              <w:rPr>
                <w:sz w:val="20"/>
              </w:rPr>
            </w:pPr>
            <w:r>
              <w:rPr>
                <w:sz w:val="20"/>
              </w:rPr>
              <w:t>收回后直接销售</w:t>
            </w:r>
          </w:p>
        </w:tc>
        <w:tc>
          <w:tcPr>
            <w:tcW w:w="3555" w:type="dxa"/>
          </w:tcPr>
          <w:p>
            <w:pPr>
              <w:pStyle w:val="14"/>
              <w:spacing w:before="68" w:line="238" w:lineRule="exact"/>
              <w:ind w:left="108"/>
              <w:rPr>
                <w:sz w:val="20"/>
              </w:rPr>
            </w:pPr>
            <w:r>
              <w:rPr>
                <w:sz w:val="20"/>
              </w:rPr>
              <w:t>计入成本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32" w:type="dxa"/>
            <w:vMerge w:val="continue"/>
            <w:tcBorders>
              <w:top w:val="nil"/>
            </w:tcBorders>
          </w:tcPr>
          <w:p>
            <w:pPr>
              <w:rPr>
                <w:sz w:val="2"/>
                <w:szCs w:val="2"/>
              </w:rPr>
            </w:pPr>
          </w:p>
        </w:tc>
        <w:tc>
          <w:tcPr>
            <w:tcW w:w="3435" w:type="dxa"/>
          </w:tcPr>
          <w:p>
            <w:pPr>
              <w:pStyle w:val="14"/>
              <w:spacing w:before="68" w:line="238" w:lineRule="exact"/>
              <w:ind w:left="106"/>
              <w:rPr>
                <w:sz w:val="20"/>
              </w:rPr>
            </w:pPr>
            <w:r>
              <w:rPr>
                <w:sz w:val="20"/>
              </w:rPr>
              <w:t>收回后连续加工应税消费品的</w:t>
            </w:r>
          </w:p>
        </w:tc>
        <w:tc>
          <w:tcPr>
            <w:tcW w:w="3555" w:type="dxa"/>
          </w:tcPr>
          <w:p>
            <w:pPr>
              <w:pStyle w:val="14"/>
              <w:spacing w:before="68" w:line="238" w:lineRule="exact"/>
              <w:ind w:left="108"/>
              <w:rPr>
                <w:sz w:val="20"/>
              </w:rPr>
            </w:pPr>
            <w:r>
              <w:rPr>
                <w:sz w:val="20"/>
              </w:rPr>
              <w:t>记入“应交税费—应交消费税”借方</w:t>
            </w:r>
          </w:p>
        </w:tc>
      </w:tr>
    </w:tbl>
    <w:p>
      <w:pPr>
        <w:pStyle w:val="6"/>
        <w:spacing w:before="68"/>
      </w:pPr>
      <w:r>
        <w:rPr>
          <w:w w:val="95"/>
        </w:rPr>
        <w:t>（二）委托加工物资的账务处理</w:t>
      </w:r>
    </w:p>
    <w:p>
      <w:pPr>
        <w:pStyle w:val="6"/>
        <w:spacing w:before="11"/>
        <w:ind w:left="0"/>
        <w:rPr>
          <w:sz w:val="12"/>
        </w:rPr>
      </w:pPr>
      <w:r>
        <w:drawing>
          <wp:anchor distT="0" distB="0" distL="0" distR="0" simplePos="0" relativeHeight="1024" behindDoc="0" locked="0" layoutInCell="1" allowOverlap="1">
            <wp:simplePos x="0" y="0"/>
            <wp:positionH relativeFrom="page">
              <wp:posOffset>2713990</wp:posOffset>
            </wp:positionH>
            <wp:positionV relativeFrom="paragraph">
              <wp:posOffset>129540</wp:posOffset>
            </wp:positionV>
            <wp:extent cx="2471420" cy="950595"/>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png"/>
                    <pic:cNvPicPr>
                      <a:picLocks noChangeAspect="1"/>
                    </pic:cNvPicPr>
                  </pic:nvPicPr>
                  <pic:blipFill>
                    <a:blip r:embed="rId32" cstate="print"/>
                    <a:stretch>
                      <a:fillRect/>
                    </a:stretch>
                  </pic:blipFill>
                  <pic:spPr>
                    <a:xfrm>
                      <a:off x="0" y="0"/>
                      <a:ext cx="2471519" cy="950785"/>
                    </a:xfrm>
                    <a:prstGeom prst="rect">
                      <a:avLst/>
                    </a:prstGeom>
                  </pic:spPr>
                </pic:pic>
              </a:graphicData>
            </a:graphic>
          </wp:anchor>
        </w:drawing>
      </w:r>
    </w:p>
    <w:p>
      <w:pPr>
        <w:pStyle w:val="6"/>
        <w:spacing w:before="12"/>
        <w:ind w:left="0"/>
        <w:rPr>
          <w:sz w:val="10"/>
        </w:rPr>
      </w:pPr>
    </w:p>
    <w:p>
      <w:pPr>
        <w:pStyle w:val="6"/>
        <w:spacing w:before="71"/>
      </w:pPr>
      <w:r>
        <mc:AlternateContent>
          <mc:Choice Requires="wps">
            <w:drawing>
              <wp:anchor distT="0" distB="0" distL="114300" distR="114300" simplePos="0" relativeHeight="15804416" behindDoc="0" locked="0" layoutInCell="1" allowOverlap="1">
                <wp:simplePos x="0" y="0"/>
                <wp:positionH relativeFrom="page">
                  <wp:posOffset>1068705</wp:posOffset>
                </wp:positionH>
                <wp:positionV relativeFrom="paragraph">
                  <wp:posOffset>182880</wp:posOffset>
                </wp:positionV>
                <wp:extent cx="251460" cy="5715"/>
                <wp:effectExtent l="0" t="0" r="0" b="0"/>
                <wp:wrapNone/>
                <wp:docPr id="132" name="任意多边形 15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7" o:spid="_x0000_s1026" o:spt="100" style="position:absolute;left:0pt;margin-left:84.15pt;margin-top:14.4pt;height:0.45pt;width:19.8pt;mso-position-horizontal-relative:page;z-index:15804416;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P6c089kAAAAJAQAADwAAAAAAAAABACAAAAAiAAAAZHJzL2Rvd25yZXYueG1sUEsBAhQAFAAAAAgA&#10;h07iQDM0ThOWAgAAVwcAAA4AAAAAAAAAAQAgAAAAKA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】1.如果采用</w:t>
      </w:r>
      <w:r>
        <w:rPr>
          <w:color w:val="FF0000"/>
          <w:u w:val="double" w:color="FF0000"/>
        </w:rPr>
        <w:t>计划成本</w:t>
      </w:r>
      <w:r>
        <w:t>或售价核算的，还应</w:t>
      </w:r>
      <w:r>
        <w:rPr>
          <w:color w:val="FF0000"/>
          <w:u w:val="double" w:color="FF0000"/>
        </w:rPr>
        <w:t>同时结转</w:t>
      </w:r>
      <w:r>
        <w:t>材料成本差异或商品进销差价。</w:t>
      </w:r>
    </w:p>
    <w:p>
      <w:pPr>
        <w:pStyle w:val="6"/>
        <w:ind w:left="718"/>
      </w:pPr>
      <w:r>
        <w:t>2.发出委托加工物资支付的运费，一是计入委托加工物资的成本，二是将可抵扣的增值税进项税额计入进项</w:t>
      </w:r>
    </w:p>
    <w:p>
      <w:pPr>
        <w:pStyle w:val="6"/>
        <w:spacing w:before="71"/>
        <w:ind w:left="322"/>
      </w:pPr>
      <w:r>
        <w:t>税额</w:t>
      </w:r>
    </w:p>
    <w:p>
      <w:pPr>
        <w:spacing w:before="21"/>
        <w:ind w:left="742" w:right="0" w:firstLine="0"/>
        <w:jc w:val="left"/>
        <w:rPr>
          <w:b/>
          <w:sz w:val="21"/>
        </w:rPr>
      </w:pPr>
      <w:bookmarkStart w:id="57" w:name="五、库存商品"/>
      <w:bookmarkEnd w:id="57"/>
      <w:r>
        <w:rPr>
          <w:b/>
          <w:sz w:val="21"/>
          <w:shd w:val="clear" w:color="auto" w:fill="C0C0C0"/>
        </w:rPr>
        <w:t>五、库存商品</w:t>
      </w:r>
    </w:p>
    <w:p>
      <w:pPr>
        <w:pStyle w:val="6"/>
        <w:spacing w:before="92"/>
      </w:pPr>
      <w:r>
        <w:t>（一）库存商品的内容</w:t>
      </w:r>
    </w:p>
    <w:p>
      <w:pPr>
        <w:pStyle w:val="6"/>
      </w:pPr>
      <w:r>
        <w:t>库存商品具体包括：</w:t>
      </w:r>
      <w:r>
        <w:rPr>
          <w:color w:val="FF0000"/>
          <w:u w:val="double" w:color="FF0000"/>
        </w:rPr>
        <w:t>库存产成品、外购商品、存放在门市部准备出售的商品、发出展览的商品、寄存在外的</w:t>
      </w:r>
    </w:p>
    <w:p>
      <w:pPr>
        <w:pStyle w:val="6"/>
        <w:spacing w:before="68"/>
        <w:ind w:left="322"/>
      </w:pPr>
      <w:r>
        <w:rPr>
          <w:color w:val="FF0000"/>
          <w:u w:val="double" w:color="FF0000"/>
        </w:rPr>
        <w:t>商品、接受来料加工制造的代制品和为外单位加工修理的代修品</w:t>
      </w:r>
      <w:r>
        <w:t>。</w:t>
      </w:r>
    </w:p>
    <w:p>
      <w:pPr>
        <w:pStyle w:val="6"/>
        <w:spacing w:line="304" w:lineRule="auto"/>
        <w:ind w:left="322" w:right="647" w:firstLine="400"/>
      </w:pPr>
      <w:r>
        <w:rPr>
          <w:w w:val="95"/>
        </w:rPr>
        <w:t>己完成销售手续、但购买单位在月末未提取的产品，不应作为企业的库存商品，而</w:t>
      </w:r>
      <w:r>
        <w:rPr>
          <w:color w:val="FF0000"/>
          <w:w w:val="95"/>
          <w:u w:val="double" w:color="FF0000"/>
        </w:rPr>
        <w:t>应作为代管商品</w:t>
      </w:r>
      <w:r>
        <w:rPr>
          <w:w w:val="95"/>
        </w:rPr>
        <w:t xml:space="preserve">处理，单   </w:t>
      </w:r>
      <w:r>
        <w:t>独设置代管商品备查簿进行登记。</w:t>
      </w:r>
    </w:p>
    <w:p>
      <w:pPr>
        <w:pStyle w:val="6"/>
        <w:spacing w:before="2"/>
      </w:pPr>
      <w:r>
        <w:t>（二）库存商品的账务处理</w:t>
      </w:r>
    </w:p>
    <w:p>
      <w:pPr>
        <w:pStyle w:val="6"/>
        <w:spacing w:line="304" w:lineRule="auto"/>
        <w:ind w:right="4662"/>
      </w:pPr>
      <w:r>
        <w:drawing>
          <wp:anchor distT="0" distB="0" distL="0" distR="0" simplePos="0" relativeHeight="1024" behindDoc="0" locked="0" layoutInCell="1" allowOverlap="1">
            <wp:simplePos x="0" y="0"/>
            <wp:positionH relativeFrom="page">
              <wp:posOffset>2696845</wp:posOffset>
            </wp:positionH>
            <wp:positionV relativeFrom="paragraph">
              <wp:posOffset>478155</wp:posOffset>
            </wp:positionV>
            <wp:extent cx="2447290" cy="445135"/>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pic:cNvPicPr>
                      <a:picLocks noChangeAspect="1"/>
                    </pic:cNvPicPr>
                  </pic:nvPicPr>
                  <pic:blipFill>
                    <a:blip r:embed="rId33" cstate="print"/>
                    <a:stretch>
                      <a:fillRect/>
                    </a:stretch>
                  </pic:blipFill>
                  <pic:spPr>
                    <a:xfrm>
                      <a:off x="0" y="0"/>
                      <a:ext cx="2447163" cy="445008"/>
                    </a:xfrm>
                    <a:prstGeom prst="rect">
                      <a:avLst/>
                    </a:prstGeom>
                  </pic:spPr>
                </pic:pic>
              </a:graphicData>
            </a:graphic>
          </wp:anchor>
        </w:drawing>
      </w:r>
      <w:r>
        <w:rPr>
          <w:color w:val="FF0000"/>
          <w:u w:val="double" w:color="FF0000"/>
        </w:rPr>
        <w:t>库存商品可以采用实际成本核算，也可以采用计划成本核算</w:t>
      </w:r>
      <w:r>
        <w:t>。库存商品入库及发出</w:t>
      </w:r>
    </w:p>
    <w:p>
      <w:pPr>
        <w:pStyle w:val="5"/>
        <w:spacing w:before="173"/>
      </w:pPr>
      <w:r>
        <w:t>（三）商品流通企业库存商品核算</w:t>
      </w:r>
    </w:p>
    <w:p>
      <w:pPr>
        <w:pStyle w:val="5"/>
        <w:numPr>
          <w:ilvl w:val="0"/>
          <w:numId w:val="71"/>
        </w:numPr>
        <w:tabs>
          <w:tab w:val="left" w:pos="925"/>
        </w:tabs>
        <w:spacing w:before="70" w:after="0" w:line="304" w:lineRule="auto"/>
        <w:ind w:left="322" w:right="722" w:firstLine="400"/>
        <w:jc w:val="left"/>
        <w:rPr>
          <w:b w:val="0"/>
          <w:sz w:val="18"/>
        </w:rPr>
      </w:pPr>
      <w:r>
        <w:rPr>
          <w:spacing w:val="-5"/>
          <w:w w:val="95"/>
        </w:rPr>
        <w:t>毛利率法：</w:t>
      </w:r>
      <w:r>
        <w:rPr>
          <w:color w:val="00AFEF"/>
          <w:spacing w:val="-2"/>
          <w:w w:val="95"/>
          <w:u w:val="single" w:color="00AFEF"/>
        </w:rPr>
        <w:t>根据本期销售净额乘以上期实际</w:t>
      </w:r>
      <w:r>
        <w:rPr>
          <w:color w:val="00AFEF"/>
          <w:w w:val="95"/>
          <w:u w:val="single" w:color="00AFEF"/>
        </w:rPr>
        <w:t>（或本期计划</w:t>
      </w:r>
      <w:r>
        <w:rPr>
          <w:color w:val="00AFEF"/>
          <w:spacing w:val="-24"/>
          <w:w w:val="95"/>
          <w:u w:val="single" w:color="00AFEF"/>
        </w:rPr>
        <w:t>）</w:t>
      </w:r>
      <w:r>
        <w:rPr>
          <w:color w:val="00AFEF"/>
          <w:spacing w:val="-2"/>
          <w:w w:val="95"/>
          <w:u w:val="single" w:color="00AFEF"/>
        </w:rPr>
        <w:t xml:space="preserve">毛利率匡算本期销售毛利，并据以计算发出存   </w:t>
      </w:r>
      <w:r>
        <w:rPr>
          <w:color w:val="00AFEF"/>
          <w:spacing w:val="-2"/>
          <w:u w:val="single" w:color="00AFEF"/>
        </w:rPr>
        <w:t>货和期末存货成本的一种方法</w:t>
      </w:r>
      <w:r>
        <w:rPr>
          <w:b w:val="0"/>
          <w:spacing w:val="-2"/>
        </w:rPr>
        <w:t>。其计算公式：</w:t>
      </w:r>
    </w:p>
    <w:p>
      <w:pPr>
        <w:pStyle w:val="6"/>
        <w:spacing w:before="2"/>
      </w:pPr>
      <w:r>
        <w:drawing>
          <wp:anchor distT="0" distB="0" distL="0" distR="0" simplePos="0" relativeHeight="15803392" behindDoc="0" locked="0" layoutInCell="1" allowOverlap="1">
            <wp:simplePos x="0" y="0"/>
            <wp:positionH relativeFrom="page">
              <wp:posOffset>2230755</wp:posOffset>
            </wp:positionH>
            <wp:positionV relativeFrom="paragraph">
              <wp:posOffset>147320</wp:posOffset>
            </wp:positionV>
            <wp:extent cx="1620520" cy="198120"/>
            <wp:effectExtent l="0" t="0" r="0" b="0"/>
            <wp:wrapNone/>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png"/>
                    <pic:cNvPicPr>
                      <a:picLocks noChangeAspect="1"/>
                    </pic:cNvPicPr>
                  </pic:nvPicPr>
                  <pic:blipFill>
                    <a:blip r:embed="rId34" cstate="print"/>
                    <a:stretch>
                      <a:fillRect/>
                    </a:stretch>
                  </pic:blipFill>
                  <pic:spPr>
                    <a:xfrm>
                      <a:off x="0" y="0"/>
                      <a:ext cx="1620328" cy="198119"/>
                    </a:xfrm>
                    <a:prstGeom prst="rect">
                      <a:avLst/>
                    </a:prstGeom>
                  </pic:spPr>
                </pic:pic>
              </a:graphicData>
            </a:graphic>
          </wp:anchor>
        </w:drawing>
      </w:r>
      <w:r>
        <w:rPr>
          <w:color w:val="FF0000"/>
          <w:u w:val="double" w:color="FF0000"/>
        </w:rPr>
        <w:t>毛利率=销售毛利÷销售净额×100％</w:t>
      </w:r>
    </w:p>
    <w:p>
      <w:pPr>
        <w:pStyle w:val="6"/>
        <w:spacing w:before="0"/>
        <w:ind w:left="0"/>
      </w:pPr>
    </w:p>
    <w:p>
      <w:pPr>
        <w:pStyle w:val="6"/>
        <w:spacing w:before="140" w:line="302" w:lineRule="auto"/>
        <w:ind w:right="7461"/>
      </w:pPr>
      <w:r>
        <w:rPr>
          <w:color w:val="FF0000"/>
          <w:u w:val="double" w:color="FF0000"/>
        </w:rPr>
        <w:t>销售毛利=销售净额×毛利率</w:t>
      </w:r>
      <w:r>
        <w:rPr>
          <w:color w:val="FF0000"/>
          <w:spacing w:val="-114"/>
          <w:u w:val="double" w:color="FF0000"/>
        </w:rPr>
        <w:t>销</w:t>
      </w:r>
      <w:r>
        <w:rPr>
          <w:color w:val="FF0000"/>
          <w:u w:val="double" w:color="FF0000"/>
        </w:rPr>
        <w:t>售成本=销售净额-销售毛利</w:t>
      </w:r>
    </w:p>
    <w:p>
      <w:pPr>
        <w:spacing w:before="5" w:line="304" w:lineRule="auto"/>
        <w:ind w:left="723" w:right="4961" w:firstLine="0"/>
        <w:jc w:val="left"/>
        <w:rPr>
          <w:b/>
          <w:sz w:val="20"/>
        </w:rPr>
      </w:pPr>
      <w:r>
        <w:rPr>
          <w:color w:val="FF0000"/>
          <w:sz w:val="20"/>
          <w:u w:val="double" w:color="FF0000"/>
        </w:rPr>
        <w:t>期末存货成本=期初存货成本+本期购货成本-本期销售成本</w:t>
      </w:r>
      <w:r>
        <w:rPr>
          <w:b/>
          <w:sz w:val="20"/>
        </w:rPr>
        <w:t>2.售价金额核算法</w:t>
      </w:r>
    </w:p>
    <w:p>
      <w:pPr>
        <w:pStyle w:val="6"/>
        <w:spacing w:before="2" w:line="304" w:lineRule="auto"/>
        <w:ind w:left="322" w:right="647" w:firstLine="400"/>
      </w:pPr>
      <w:r>
        <w:rPr>
          <w:w w:val="95"/>
        </w:rPr>
        <w:t>平时商品的购入、加工收回、销售均按</w:t>
      </w:r>
      <w:r>
        <w:rPr>
          <w:color w:val="FF0000"/>
          <w:w w:val="95"/>
          <w:u w:val="double" w:color="FF0000"/>
        </w:rPr>
        <w:t>售价记账，售价与进价的差额通过商品进销差价科目核算</w:t>
      </w:r>
      <w:r>
        <w:rPr>
          <w:w w:val="95"/>
        </w:rPr>
        <w:t xml:space="preserve">，期末计算   </w:t>
      </w:r>
      <w:r>
        <w:t>进销差价率和本期已销商品应分摊的进销差价，并据以调整本期销售成本的一种方法。</w:t>
      </w:r>
    </w:p>
    <w:p>
      <w:pPr>
        <w:spacing w:after="0" w:line="304" w:lineRule="auto"/>
        <w:sectPr>
          <w:pgSz w:w="11910" w:h="16160"/>
          <w:pgMar w:top="1680" w:right="360" w:bottom="860" w:left="760" w:header="0" w:footer="584" w:gutter="0"/>
        </w:sectPr>
      </w:pPr>
    </w:p>
    <w:p>
      <w:pPr>
        <w:pStyle w:val="6"/>
        <w:spacing w:before="4"/>
        <w:ind w:left="0"/>
        <w:rPr>
          <w:sz w:val="27"/>
        </w:rPr>
      </w:pPr>
    </w:p>
    <w:p>
      <w:pPr>
        <w:pStyle w:val="6"/>
        <w:spacing w:before="0"/>
        <w:ind w:left="3422"/>
      </w:pPr>
      <w:r>
        <w:drawing>
          <wp:inline distT="0" distB="0" distL="0" distR="0">
            <wp:extent cx="2384425" cy="743585"/>
            <wp:effectExtent l="0" t="0" r="0" b="0"/>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png"/>
                    <pic:cNvPicPr>
                      <a:picLocks noChangeAspect="1"/>
                    </pic:cNvPicPr>
                  </pic:nvPicPr>
                  <pic:blipFill>
                    <a:blip r:embed="rId35" cstate="print"/>
                    <a:stretch>
                      <a:fillRect/>
                    </a:stretch>
                  </pic:blipFill>
                  <pic:spPr>
                    <a:xfrm>
                      <a:off x="0" y="0"/>
                      <a:ext cx="2384689" cy="744093"/>
                    </a:xfrm>
                    <a:prstGeom prst="rect">
                      <a:avLst/>
                    </a:prstGeom>
                  </pic:spPr>
                </pic:pic>
              </a:graphicData>
            </a:graphic>
          </wp:inline>
        </w:drawing>
      </w:r>
    </w:p>
    <w:p>
      <w:pPr>
        <w:pStyle w:val="6"/>
        <w:spacing w:before="10"/>
        <w:ind w:left="0"/>
        <w:rPr>
          <w:sz w:val="16"/>
        </w:rPr>
      </w:pPr>
    </w:p>
    <w:p>
      <w:pPr>
        <w:pStyle w:val="6"/>
        <w:spacing w:before="71" w:line="304" w:lineRule="auto"/>
        <w:ind w:right="3261"/>
      </w:pPr>
      <w:r>
        <w:t xml:space="preserve">本期销售商品应分摊的商品进销差价＝本期商品销售收入×商品进销差价率 </w:t>
      </w:r>
      <w:r>
        <w:rPr>
          <w:w w:val="95"/>
        </w:rPr>
        <w:t xml:space="preserve">本期销售商品的成本=本期商品销售收入-本期已销商品应分摊的商品进销差价  </w:t>
      </w:r>
      <w:r>
        <w:t>或：本期销售商品成本=本期销售收入×（1-商品进销差价率）</w:t>
      </w:r>
    </w:p>
    <w:p>
      <w:pPr>
        <w:pStyle w:val="6"/>
        <w:spacing w:before="3"/>
      </w:pPr>
      <w:r>
        <w:t>期末结存商品的成本=期初库存商品的进价成本+本期购进商品的进价成本-本期销售商品的成本</w:t>
      </w:r>
    </w:p>
    <w:p>
      <w:pPr>
        <w:spacing w:before="22"/>
        <w:ind w:left="742" w:right="0" w:firstLine="0"/>
        <w:jc w:val="left"/>
        <w:rPr>
          <w:b/>
          <w:sz w:val="21"/>
        </w:rPr>
      </w:pPr>
      <w:bookmarkStart w:id="58" w:name="六、存货清查"/>
      <w:bookmarkEnd w:id="58"/>
      <w:r>
        <w:rPr>
          <w:b/>
          <w:sz w:val="21"/>
          <w:shd w:val="clear" w:color="auto" w:fill="C0C0C0"/>
        </w:rPr>
        <w:t>六、存货清查</w:t>
      </w:r>
    </w:p>
    <w:p>
      <w:pPr>
        <w:pStyle w:val="6"/>
        <w:spacing w:before="91" w:line="302" w:lineRule="auto"/>
        <w:ind w:right="857"/>
      </w:pPr>
      <w:r>
        <w:rPr>
          <w:w w:val="95"/>
        </w:rPr>
        <w:t>存货清查发生盘盈和盘亏通过“</w:t>
      </w:r>
      <w:r>
        <w:rPr>
          <w:b/>
          <w:color w:val="00AFEF"/>
          <w:w w:val="95"/>
          <w:u w:val="single" w:color="00AFEF"/>
        </w:rPr>
        <w:t>待处理财产损溢</w:t>
      </w:r>
      <w:r>
        <w:rPr>
          <w:w w:val="95"/>
        </w:rPr>
        <w:t xml:space="preserve">”科目核算，期末处理后该账户无余额。核算时分两步：   </w:t>
      </w:r>
      <w:r>
        <w:rPr>
          <w:color w:val="FF0000"/>
          <w:u w:val="double" w:color="FF0000"/>
        </w:rPr>
        <w:t>第一步，批准前调整为账实相符；</w:t>
      </w:r>
    </w:p>
    <w:p>
      <w:pPr>
        <w:pStyle w:val="6"/>
        <w:spacing w:before="5"/>
      </w:pPr>
      <w:r>
        <w:rPr>
          <w:color w:val="FF0000"/>
          <w:w w:val="95"/>
          <w:u w:val="double" w:color="FF0000"/>
        </w:rPr>
        <w:t>第二步，批准后结转处理。</w:t>
      </w:r>
    </w:p>
    <w:p>
      <w:pPr>
        <w:pStyle w:val="5"/>
      </w:pPr>
      <w:r>
        <w:drawing>
          <wp:anchor distT="0" distB="0" distL="0" distR="0" simplePos="0" relativeHeight="1024" behindDoc="0" locked="0" layoutInCell="1" allowOverlap="1">
            <wp:simplePos x="0" y="0"/>
            <wp:positionH relativeFrom="page">
              <wp:posOffset>2676525</wp:posOffset>
            </wp:positionH>
            <wp:positionV relativeFrom="paragraph">
              <wp:posOffset>281940</wp:posOffset>
            </wp:positionV>
            <wp:extent cx="2527300" cy="465455"/>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pic:cNvPicPr>
                      <a:picLocks noChangeAspect="1"/>
                    </pic:cNvPicPr>
                  </pic:nvPicPr>
                  <pic:blipFill>
                    <a:blip r:embed="rId36" cstate="print"/>
                    <a:stretch>
                      <a:fillRect/>
                    </a:stretch>
                  </pic:blipFill>
                  <pic:spPr>
                    <a:xfrm>
                      <a:off x="0" y="0"/>
                      <a:ext cx="2527206" cy="465200"/>
                    </a:xfrm>
                    <a:prstGeom prst="rect">
                      <a:avLst/>
                    </a:prstGeom>
                  </pic:spPr>
                </pic:pic>
              </a:graphicData>
            </a:graphic>
          </wp:anchor>
        </w:drawing>
      </w:r>
      <w:r>
        <w:rPr>
          <w:w w:val="95"/>
        </w:rPr>
        <w:t>（一）存货盘盈的账务处理</w:t>
      </w:r>
    </w:p>
    <w:p>
      <w:pPr>
        <w:pStyle w:val="6"/>
        <w:spacing w:before="126"/>
      </w:pPr>
      <w:r>
        <w:t>【</w:t>
      </w:r>
      <w:r>
        <w:rPr>
          <w:b/>
          <w:color w:val="00AFEF"/>
        </w:rPr>
        <w:t>提示</w:t>
      </w:r>
      <w:r>
        <w:t>】库存现金无法查明原因的盘盈转入营业外收入，无法查明原因的盘亏转入管理费用。</w:t>
      </w:r>
    </w:p>
    <w:p>
      <w:pPr>
        <w:pStyle w:val="5"/>
      </w:pPr>
      <w:r>
        <mc:AlternateContent>
          <mc:Choice Requires="wps">
            <w:drawing>
              <wp:anchor distT="0" distB="0" distL="114300" distR="114300" simplePos="0" relativeHeight="15806464" behindDoc="0" locked="0" layoutInCell="1" allowOverlap="1">
                <wp:simplePos x="0" y="0"/>
                <wp:positionH relativeFrom="page">
                  <wp:posOffset>1068705</wp:posOffset>
                </wp:positionH>
                <wp:positionV relativeFrom="paragraph">
                  <wp:posOffset>-24130</wp:posOffset>
                </wp:positionV>
                <wp:extent cx="251460" cy="5715"/>
                <wp:effectExtent l="0" t="0" r="0" b="0"/>
                <wp:wrapNone/>
                <wp:docPr id="133" name="任意多边形 15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8" o:spid="_x0000_s1026" o:spt="100" style="position:absolute;left:0pt;margin-left:84.15pt;margin-top:-1.9pt;height:0.45pt;width:19.8pt;mso-position-horizontal-relative:page;z-index:15806464;mso-width-relative:page;mso-height-relative:page;" filled="f" stroked="t" coordsize="396,9" o:gfxdata="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a&#10;0YbA2QAAAAkBAAAPAAAAAAAAAAEAIAAAACIAAABkcnMvZG93bnJldi54bWxQSwECFAAUAAAACACH&#10;TuJAqtkoOJ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（二）存货盘亏的账务处理</w:t>
      </w:r>
    </w:p>
    <w:p>
      <w:pPr>
        <w:pStyle w:val="6"/>
        <w:spacing w:before="9"/>
        <w:ind w:left="0"/>
        <w:rPr>
          <w:b/>
          <w:sz w:val="13"/>
        </w:rPr>
      </w:pPr>
      <w:r>
        <w:drawing>
          <wp:anchor distT="0" distB="0" distL="0" distR="0" simplePos="0" relativeHeight="1024" behindDoc="0" locked="0" layoutInCell="1" allowOverlap="1">
            <wp:simplePos x="0" y="0"/>
            <wp:positionH relativeFrom="page">
              <wp:posOffset>2903855</wp:posOffset>
            </wp:positionH>
            <wp:positionV relativeFrom="paragraph">
              <wp:posOffset>136525</wp:posOffset>
            </wp:positionV>
            <wp:extent cx="2054860" cy="1574800"/>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png"/>
                    <pic:cNvPicPr>
                      <a:picLocks noChangeAspect="1"/>
                    </pic:cNvPicPr>
                  </pic:nvPicPr>
                  <pic:blipFill>
                    <a:blip r:embed="rId37" cstate="print"/>
                    <a:stretch>
                      <a:fillRect/>
                    </a:stretch>
                  </pic:blipFill>
                  <pic:spPr>
                    <a:xfrm>
                      <a:off x="0" y="0"/>
                      <a:ext cx="2055151" cy="1575053"/>
                    </a:xfrm>
                    <a:prstGeom prst="rect">
                      <a:avLst/>
                    </a:prstGeom>
                  </pic:spPr>
                </pic:pic>
              </a:graphicData>
            </a:graphic>
          </wp:anchor>
        </w:drawing>
      </w:r>
    </w:p>
    <w:p>
      <w:pPr>
        <w:pStyle w:val="6"/>
        <w:spacing w:before="154"/>
      </w:pPr>
      <w:r>
        <w:t>【</w:t>
      </w:r>
      <w:r>
        <w:rPr>
          <w:b/>
          <w:color w:val="00AFEF"/>
        </w:rPr>
        <w:t>提示</w:t>
      </w:r>
      <w:r>
        <w:t>】因管理不善造成的原材料盘亏需转出进项税额，不可抗力造成的原材料盘亏不需转出。</w:t>
      </w:r>
    </w:p>
    <w:p>
      <w:pPr>
        <w:spacing w:before="21"/>
        <w:ind w:left="742" w:right="0" w:firstLine="0"/>
        <w:jc w:val="left"/>
        <w:rPr>
          <w:b/>
          <w:sz w:val="21"/>
        </w:rPr>
      </w:pPr>
      <w:r>
        <mc:AlternateContent>
          <mc:Choice Requires="wps">
            <w:drawing>
              <wp:anchor distT="0" distB="0" distL="114300" distR="114300" simplePos="0" relativeHeight="482441216" behindDoc="1" locked="0" layoutInCell="1" allowOverlap="1">
                <wp:simplePos x="0" y="0"/>
                <wp:positionH relativeFrom="page">
                  <wp:posOffset>1068705</wp:posOffset>
                </wp:positionH>
                <wp:positionV relativeFrom="paragraph">
                  <wp:posOffset>-25400</wp:posOffset>
                </wp:positionV>
                <wp:extent cx="251460" cy="5715"/>
                <wp:effectExtent l="0" t="0" r="0" b="0"/>
                <wp:wrapNone/>
                <wp:docPr id="279" name="任意多边形 15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59" o:spid="_x0000_s1026" o:spt="100" style="position:absolute;left:0pt;margin-left:84.15pt;margin-top:-2pt;height:0.45pt;width:19.8pt;mso-position-horizontal-relative:page;z-index:-20875264;mso-width-relative:page;mso-height-relative:page;" filled="f" stroked="t" coordsize="396,9" o:gfxdata="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6C/S6NkA&#10;AAAJAQAADwAAAAAAAAABACAAAAAiAAAAZHJzL2Rvd25yZXYueG1sUEsBAhQAFAAAAAgAh07iQJZG&#10;6iiQAgAAVwcAAA4AAAAAAAAAAQAgAAAAKAEAAGRycy9lMm9Eb2MueG1sUEsFBgAAAAAGAAYAWQEA&#10;ACoGAAAAAA==&#10;" path="m0,0l18,9,36,0,54,9,72,0,90,9,108,0,126,9,144,0,162,9,180,0,198,9,216,0,234,9,252,0,270,9,288,0,306,9,324,0,342,9,360,0,378,9,396,0e">
                <v:fill on="f" focussize="0,0"/>
                <v:stroke weight="0.28496062992126pt" color="#00AFEF" joinstyle="round"/>
                <v:imagedata o:title=""/>
                <o:lock v:ext="edit" aspectratio="f"/>
              </v:shape>
            </w:pict>
          </mc:Fallback>
        </mc:AlternateContent>
      </w:r>
      <w:bookmarkStart w:id="59" w:name="七、存货减值"/>
      <w:bookmarkEnd w:id="59"/>
      <w:r>
        <w:rPr>
          <w:b/>
          <w:sz w:val="21"/>
          <w:shd w:val="clear" w:color="auto" w:fill="C0C0C0"/>
        </w:rPr>
        <w:t>七、存货减值</w:t>
      </w:r>
    </w:p>
    <w:p>
      <w:pPr>
        <w:pStyle w:val="5"/>
        <w:spacing w:before="89"/>
      </w:pPr>
      <w:r>
        <w:t>（一）存货跌价准备的计提和转回</w:t>
      </w:r>
    </w:p>
    <w:p>
      <w:pPr>
        <w:pStyle w:val="6"/>
        <w:spacing w:line="304" w:lineRule="auto"/>
        <w:ind w:left="322" w:right="720" w:firstLine="400"/>
      </w:pPr>
      <w:r>
        <w:rPr>
          <w:spacing w:val="-3"/>
          <w:w w:val="95"/>
        </w:rPr>
        <w:t>资产负债表日，存货应按照</w:t>
      </w:r>
      <w:r>
        <w:rPr>
          <w:color w:val="FF0000"/>
          <w:w w:val="95"/>
          <w:u w:val="double" w:color="FF0000"/>
        </w:rPr>
        <w:t>成本与可变现净值孰低计量</w:t>
      </w:r>
      <w:r>
        <w:rPr>
          <w:spacing w:val="-6"/>
          <w:w w:val="95"/>
        </w:rPr>
        <w:t xml:space="preserve">。可变现净值低于成本的计提存货跌价准备，计入资   </w:t>
      </w:r>
      <w:r>
        <w:rPr>
          <w:spacing w:val="-6"/>
        </w:rPr>
        <w:t>产减值损失。如果减值因素已经消失，减值的金额应在</w:t>
      </w:r>
      <w:r>
        <w:rPr>
          <w:color w:val="FF0000"/>
          <w:spacing w:val="-6"/>
          <w:u w:val="double" w:color="FF0000"/>
        </w:rPr>
        <w:t>原已计提的存货跌价准备金额内予以恢复。</w:t>
      </w:r>
    </w:p>
    <w:p>
      <w:pPr>
        <w:pStyle w:val="6"/>
        <w:spacing w:before="2"/>
      </w:pPr>
      <w:r>
        <w:rPr>
          <w:color w:val="FF0000"/>
          <w:u w:val="double" w:color="FF0000"/>
        </w:rPr>
        <w:t>可变现净值＝估计售价-至完工时估计将要发生的成本-估计的销售费用-相关税费后的金额</w:t>
      </w:r>
    </w:p>
    <w:p>
      <w:pPr>
        <w:pStyle w:val="5"/>
        <w:spacing w:before="71"/>
      </w:pPr>
      <w:r>
        <w:t>（二）存货跌价准备的账务处理</w:t>
      </w:r>
    </w:p>
    <w:p>
      <w:pPr>
        <w:pStyle w:val="6"/>
        <w:spacing w:before="8"/>
        <w:ind w:left="0"/>
        <w:rPr>
          <w:b/>
          <w:sz w:val="12"/>
        </w:rPr>
      </w:pPr>
      <w:r>
        <w:drawing>
          <wp:anchor distT="0" distB="0" distL="0" distR="0" simplePos="0" relativeHeight="1024" behindDoc="0" locked="0" layoutInCell="1" allowOverlap="1">
            <wp:simplePos x="0" y="0"/>
            <wp:positionH relativeFrom="page">
              <wp:posOffset>2947670</wp:posOffset>
            </wp:positionH>
            <wp:positionV relativeFrom="paragraph">
              <wp:posOffset>127635</wp:posOffset>
            </wp:positionV>
            <wp:extent cx="1968500" cy="565785"/>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38" cstate="print"/>
                    <a:stretch>
                      <a:fillRect/>
                    </a:stretch>
                  </pic:blipFill>
                  <pic:spPr>
                    <a:xfrm>
                      <a:off x="0" y="0"/>
                      <a:ext cx="1968466" cy="565785"/>
                    </a:xfrm>
                    <a:prstGeom prst="rect">
                      <a:avLst/>
                    </a:prstGeom>
                  </pic:spPr>
                </pic:pic>
              </a:graphicData>
            </a:graphic>
          </wp:anchor>
        </w:drawing>
      </w:r>
    </w:p>
    <w:p>
      <w:pPr>
        <w:spacing w:after="0"/>
        <w:rPr>
          <w:sz w:val="12"/>
        </w:rPr>
        <w:sectPr>
          <w:pgSz w:w="11910" w:h="16160"/>
          <w:pgMar w:top="1680" w:right="360" w:bottom="860" w:left="760" w:header="0" w:footer="584" w:gutter="0"/>
        </w:sectPr>
      </w:pPr>
    </w:p>
    <w:p>
      <w:pPr>
        <w:pStyle w:val="6"/>
        <w:spacing w:before="11"/>
        <w:ind w:left="0"/>
        <w:rPr>
          <w:b/>
          <w:sz w:val="13"/>
        </w:rPr>
      </w:pPr>
    </w:p>
    <w:p>
      <w:pPr>
        <w:pStyle w:val="6"/>
        <w:spacing w:before="71"/>
      </w:pPr>
      <w:r>
        <mc:AlternateContent>
          <mc:Choice Requires="wps">
            <w:drawing>
              <wp:anchor distT="0" distB="0" distL="114300" distR="114300" simplePos="0" relativeHeight="15807488" behindDoc="0" locked="0" layoutInCell="1" allowOverlap="1">
                <wp:simplePos x="0" y="0"/>
                <wp:positionH relativeFrom="page">
                  <wp:posOffset>1068705</wp:posOffset>
                </wp:positionH>
                <wp:positionV relativeFrom="paragraph">
                  <wp:posOffset>183515</wp:posOffset>
                </wp:positionV>
                <wp:extent cx="251460" cy="5715"/>
                <wp:effectExtent l="0" t="0" r="0" b="0"/>
                <wp:wrapNone/>
                <wp:docPr id="134" name="任意多边形 160"/>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0" o:spid="_x0000_s1026" o:spt="100" style="position:absolute;left:0pt;margin-left:84.15pt;margin-top:14.45pt;height:0.45pt;width:19.8pt;mso-position-horizontal-relative:page;z-index:15807488;mso-width-relative:page;mso-height-relative:page;" filled="f" stroked="t" coordsize="396,9" o:gfxdata="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ZOXb&#10;JdgAAAAJAQAADwAAAAAAAAABACAAAAAiAAAAZHJzL2Rvd25yZXYueG1sUEsBAhQAFAAAAAgAh07i&#10;QLfdGteUAgAAVwcAAA4AAAAAAAAAAQAgAAAAJw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bookmarkStart w:id="60" w:name="第五节  固定资产"/>
      <w:bookmarkEnd w:id="60"/>
      <w:r>
        <w:t>【</w:t>
      </w:r>
      <w:r>
        <w:rPr>
          <w:b/>
          <w:color w:val="00AFEF"/>
        </w:rPr>
        <w:t>提示</w:t>
      </w:r>
      <w:r>
        <w:t>】1.跌价准备应在原已计提金额内转回，即</w:t>
      </w:r>
      <w:r>
        <w:rPr>
          <w:color w:val="FF0000"/>
          <w:u w:val="double" w:color="FF0000"/>
        </w:rPr>
        <w:t>转回金额≤已计提金额</w:t>
      </w:r>
      <w:r>
        <w:t>；</w:t>
      </w:r>
    </w:p>
    <w:p>
      <w:pPr>
        <w:pStyle w:val="13"/>
        <w:numPr>
          <w:ilvl w:val="0"/>
          <w:numId w:val="71"/>
        </w:numPr>
        <w:tabs>
          <w:tab w:val="left" w:pos="2002"/>
          <w:tab w:val="left" w:pos="2003"/>
        </w:tabs>
        <w:spacing w:before="70" w:after="0" w:line="240" w:lineRule="auto"/>
        <w:ind w:left="2002" w:right="0" w:hanging="481"/>
        <w:jc w:val="left"/>
        <w:rPr>
          <w:sz w:val="20"/>
        </w:rPr>
      </w:pPr>
      <w:r>
        <w:rPr>
          <w:sz w:val="20"/>
        </w:rPr>
        <w:t>企业结转存货销售成本时，应将已计提的存货跌价准备一并结转入销售成本</w:t>
      </w:r>
    </w:p>
    <w:p>
      <w:pPr>
        <w:spacing w:after="0" w:line="240" w:lineRule="auto"/>
        <w:jc w:val="left"/>
        <w:rPr>
          <w:sz w:val="20"/>
        </w:rPr>
        <w:sectPr>
          <w:pgSz w:w="11910" w:h="16160"/>
          <w:pgMar w:top="1680" w:right="360" w:bottom="860" w:left="760" w:header="0" w:footer="584" w:gutter="0"/>
        </w:sectPr>
      </w:pPr>
    </w:p>
    <w:p>
      <w:pPr>
        <w:pStyle w:val="6"/>
        <w:spacing w:before="0"/>
        <w:ind w:left="0"/>
      </w:pPr>
    </w:p>
    <w:p>
      <w:pPr>
        <w:pStyle w:val="3"/>
        <w:tabs>
          <w:tab w:val="left" w:pos="839"/>
        </w:tabs>
        <w:spacing w:before="182"/>
        <w:ind w:left="0" w:right="402"/>
        <w:jc w:val="center"/>
        <w:rPr>
          <w:rFonts w:hint="eastAsia" w:ascii="微软雅黑" w:eastAsia="微软雅黑"/>
        </w:rPr>
      </w:pPr>
      <w:bookmarkStart w:id="61" w:name="_bookmark13"/>
      <w:bookmarkEnd w:id="61"/>
      <w:r>
        <w:rPr>
          <w:rFonts w:hint="eastAsia" w:ascii="微软雅黑" w:eastAsia="微软雅黑"/>
          <w:shd w:val="clear" w:color="auto" w:fill="FFFF00"/>
        </w:rPr>
        <w:t>第五节</w:t>
      </w:r>
      <w:r>
        <w:rPr>
          <w:rFonts w:hint="eastAsia" w:ascii="微软雅黑" w:eastAsia="微软雅黑"/>
          <w:shd w:val="clear" w:color="auto" w:fill="FFFF00"/>
        </w:rPr>
        <w:tab/>
      </w:r>
      <w:r>
        <w:rPr>
          <w:rFonts w:hint="eastAsia" w:ascii="微软雅黑" w:eastAsia="微软雅黑"/>
          <w:shd w:val="clear" w:color="auto" w:fill="FFFF00"/>
        </w:rPr>
        <w:t>固定资产</w:t>
      </w:r>
    </w:p>
    <w:p>
      <w:pPr>
        <w:pStyle w:val="6"/>
        <w:spacing w:before="7"/>
        <w:ind w:left="0"/>
        <w:rPr>
          <w:rFonts w:ascii="微软雅黑"/>
          <w:b/>
          <w:sz w:val="11"/>
        </w:rPr>
      </w:pPr>
    </w:p>
    <w:p>
      <w:pPr>
        <w:spacing w:before="70"/>
        <w:ind w:left="742" w:right="0" w:firstLine="0"/>
        <w:jc w:val="left"/>
        <w:rPr>
          <w:b/>
          <w:sz w:val="21"/>
        </w:rPr>
      </w:pPr>
      <w:bookmarkStart w:id="62" w:name="一、固定资产概述"/>
      <w:bookmarkEnd w:id="62"/>
      <w:r>
        <w:rPr>
          <w:b/>
          <w:sz w:val="21"/>
          <w:shd w:val="clear" w:color="auto" w:fill="C0C0C0"/>
        </w:rPr>
        <w:t>一、固定资产概述</w:t>
      </w:r>
    </w:p>
    <w:p>
      <w:pPr>
        <w:pStyle w:val="5"/>
        <w:spacing w:before="91"/>
      </w:pPr>
      <w:r>
        <w:t>（一）固定资产概念</w:t>
      </w:r>
    </w:p>
    <w:p>
      <w:pPr>
        <w:pStyle w:val="6"/>
      </w:pPr>
      <w:r>
        <w:t>固定资产是指同时具有以下特征的有形资产：</w:t>
      </w:r>
    </w:p>
    <w:p>
      <w:pPr>
        <w:pStyle w:val="6"/>
      </w:pPr>
      <w:r>
        <w:rPr>
          <w:color w:val="FF0000"/>
          <w:u w:val="double" w:color="FF0000"/>
        </w:rPr>
        <w:t>①为生产商品、提供劳务、出租或经营管理而持有；②使用寿命超过一个会计年度。</w:t>
      </w:r>
    </w:p>
    <w:p>
      <w:pPr>
        <w:pStyle w:val="5"/>
        <w:spacing w:before="68" w:after="2"/>
      </w:pPr>
      <w:r>
        <w:t>（二）固定资产分类</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2"/>
        <w:gridCol w:w="8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622" w:type="dxa"/>
            <w:vMerge w:val="restart"/>
          </w:tcPr>
          <w:p>
            <w:pPr>
              <w:pStyle w:val="14"/>
              <w:spacing w:before="9" w:line="320" w:lineRule="atLeast"/>
              <w:ind w:left="611" w:right="600"/>
              <w:jc w:val="center"/>
              <w:rPr>
                <w:sz w:val="20"/>
              </w:rPr>
            </w:pPr>
            <w:r>
              <w:rPr>
                <w:sz w:val="20"/>
              </w:rPr>
              <w:t>经济用途</w:t>
            </w:r>
          </w:p>
        </w:tc>
        <w:tc>
          <w:tcPr>
            <w:tcW w:w="8460" w:type="dxa"/>
          </w:tcPr>
          <w:p>
            <w:pPr>
              <w:pStyle w:val="14"/>
              <w:spacing w:before="68" w:line="238" w:lineRule="exact"/>
              <w:ind w:left="508"/>
              <w:rPr>
                <w:sz w:val="20"/>
              </w:rPr>
            </w:pPr>
            <w:r>
              <w:rPr>
                <w:sz w:val="20"/>
              </w:rPr>
              <w:t>生产经营用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622" w:type="dxa"/>
            <w:vMerge w:val="continue"/>
            <w:tcBorders>
              <w:top w:val="nil"/>
            </w:tcBorders>
          </w:tcPr>
          <w:p>
            <w:pPr>
              <w:rPr>
                <w:sz w:val="2"/>
                <w:szCs w:val="2"/>
              </w:rPr>
            </w:pPr>
          </w:p>
        </w:tc>
        <w:tc>
          <w:tcPr>
            <w:tcW w:w="8460" w:type="dxa"/>
          </w:tcPr>
          <w:p>
            <w:pPr>
              <w:pStyle w:val="14"/>
              <w:spacing w:before="68" w:line="238" w:lineRule="exact"/>
              <w:ind w:left="508"/>
              <w:rPr>
                <w:sz w:val="20"/>
              </w:rPr>
            </w:pPr>
            <w:r>
              <w:rPr>
                <w:sz w:val="20"/>
              </w:rPr>
              <w:t>非生产经营用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2" w:hRule="atLeast"/>
        </w:trPr>
        <w:tc>
          <w:tcPr>
            <w:tcW w:w="1622" w:type="dxa"/>
          </w:tcPr>
          <w:p>
            <w:pPr>
              <w:pStyle w:val="14"/>
              <w:rPr>
                <w:b/>
                <w:sz w:val="20"/>
              </w:rPr>
            </w:pPr>
          </w:p>
          <w:p>
            <w:pPr>
              <w:pStyle w:val="14"/>
              <w:rPr>
                <w:b/>
                <w:sz w:val="20"/>
              </w:rPr>
            </w:pPr>
          </w:p>
          <w:p>
            <w:pPr>
              <w:pStyle w:val="14"/>
              <w:rPr>
                <w:b/>
                <w:sz w:val="29"/>
              </w:rPr>
            </w:pPr>
          </w:p>
          <w:p>
            <w:pPr>
              <w:pStyle w:val="14"/>
              <w:spacing w:line="304" w:lineRule="auto"/>
              <w:ind w:left="611" w:right="600"/>
              <w:jc w:val="center"/>
              <w:rPr>
                <w:sz w:val="20"/>
              </w:rPr>
            </w:pPr>
            <w:r>
              <w:rPr>
                <w:sz w:val="20"/>
              </w:rPr>
              <w:t>综合分类</w:t>
            </w:r>
          </w:p>
        </w:tc>
        <w:tc>
          <w:tcPr>
            <w:tcW w:w="8460" w:type="dxa"/>
          </w:tcPr>
          <w:p>
            <w:pPr>
              <w:pStyle w:val="14"/>
              <w:numPr>
                <w:ilvl w:val="0"/>
                <w:numId w:val="72"/>
              </w:numPr>
              <w:tabs>
                <w:tab w:val="left" w:pos="710"/>
              </w:tabs>
              <w:spacing w:before="68" w:after="0" w:line="240" w:lineRule="auto"/>
              <w:ind w:left="709" w:right="0" w:hanging="202"/>
              <w:jc w:val="left"/>
              <w:rPr>
                <w:sz w:val="20"/>
              </w:rPr>
            </w:pPr>
            <w:r>
              <w:rPr>
                <w:sz w:val="20"/>
              </w:rPr>
              <w:t>生产经营用固定资产</w:t>
            </w:r>
          </w:p>
          <w:p>
            <w:pPr>
              <w:pStyle w:val="14"/>
              <w:numPr>
                <w:ilvl w:val="0"/>
                <w:numId w:val="72"/>
              </w:numPr>
              <w:tabs>
                <w:tab w:val="left" w:pos="710"/>
              </w:tabs>
              <w:spacing w:before="70" w:after="0" w:line="240" w:lineRule="auto"/>
              <w:ind w:left="709" w:right="0" w:hanging="202"/>
              <w:jc w:val="left"/>
              <w:rPr>
                <w:sz w:val="20"/>
              </w:rPr>
            </w:pPr>
            <w:r>
              <w:rPr>
                <w:color w:val="FF0000"/>
                <w:sz w:val="20"/>
                <w:u w:val="double" w:color="FF0000"/>
              </w:rPr>
              <w:t>非生产经营用</w:t>
            </w:r>
            <w:r>
              <w:rPr>
                <w:sz w:val="20"/>
              </w:rPr>
              <w:t>固定资产</w:t>
            </w:r>
          </w:p>
          <w:p>
            <w:pPr>
              <w:pStyle w:val="14"/>
              <w:numPr>
                <w:ilvl w:val="0"/>
                <w:numId w:val="72"/>
              </w:numPr>
              <w:tabs>
                <w:tab w:val="left" w:pos="710"/>
              </w:tabs>
              <w:spacing w:before="70" w:after="0" w:line="240" w:lineRule="auto"/>
              <w:ind w:left="709" w:right="0" w:hanging="202"/>
              <w:jc w:val="left"/>
              <w:rPr>
                <w:sz w:val="20"/>
              </w:rPr>
            </w:pPr>
            <w:r>
              <w:rPr>
                <w:sz w:val="20"/>
              </w:rPr>
              <w:t>不需用和未使用的固定资产</w:t>
            </w:r>
          </w:p>
          <w:p>
            <w:pPr>
              <w:pStyle w:val="14"/>
              <w:numPr>
                <w:ilvl w:val="0"/>
                <w:numId w:val="72"/>
              </w:numPr>
              <w:tabs>
                <w:tab w:val="left" w:pos="710"/>
              </w:tabs>
              <w:spacing w:before="70" w:after="0" w:line="240" w:lineRule="auto"/>
              <w:ind w:left="709" w:right="0" w:hanging="202"/>
              <w:jc w:val="left"/>
              <w:rPr>
                <w:sz w:val="20"/>
              </w:rPr>
            </w:pPr>
            <w:r>
              <w:rPr>
                <w:sz w:val="20"/>
              </w:rPr>
              <w:t>租出固定资产（经营租赁方式）</w:t>
            </w:r>
          </w:p>
          <w:p>
            <w:pPr>
              <w:pStyle w:val="14"/>
              <w:numPr>
                <w:ilvl w:val="0"/>
                <w:numId w:val="72"/>
              </w:numPr>
              <w:tabs>
                <w:tab w:val="left" w:pos="710"/>
              </w:tabs>
              <w:spacing w:before="71" w:after="0" w:line="304" w:lineRule="auto"/>
              <w:ind w:left="107" w:right="0" w:firstLine="400"/>
              <w:jc w:val="left"/>
              <w:rPr>
                <w:sz w:val="20"/>
              </w:rPr>
            </w:pPr>
            <w:r>
              <w:rPr>
                <w:spacing w:val="-9"/>
                <w:w w:val="95"/>
                <w:sz w:val="20"/>
              </w:rPr>
              <w:t>土地</w:t>
            </w:r>
            <w:r>
              <w:rPr>
                <w:w w:val="95"/>
                <w:sz w:val="20"/>
              </w:rPr>
              <w:t>（</w:t>
            </w:r>
            <w:r>
              <w:rPr>
                <w:spacing w:val="-2"/>
                <w:w w:val="95"/>
                <w:sz w:val="20"/>
              </w:rPr>
              <w:t>指过去单独估价入账的土地；因征地而支付的</w:t>
            </w:r>
            <w:r>
              <w:rPr>
                <w:color w:val="FF0000"/>
                <w:w w:val="95"/>
                <w:sz w:val="20"/>
                <w:u w:val="double" w:color="FF0000"/>
              </w:rPr>
              <w:t>补偿费</w:t>
            </w:r>
            <w:r>
              <w:rPr>
                <w:spacing w:val="-5"/>
                <w:w w:val="95"/>
                <w:sz w:val="20"/>
              </w:rPr>
              <w:t xml:space="preserve">，应计入与土地有关的房屋、  </w:t>
            </w:r>
            <w:r>
              <w:rPr>
                <w:spacing w:val="-5"/>
                <w:sz w:val="20"/>
              </w:rPr>
              <w:t>建筑物的价值内，不单独作为土地价值入账。</w:t>
            </w:r>
            <w:r>
              <w:rPr>
                <w:color w:val="FF0000"/>
                <w:spacing w:val="-5"/>
                <w:sz w:val="20"/>
                <w:u w:val="double" w:color="FF0000"/>
              </w:rPr>
              <w:t>企业取得的土地使用权，应作为无形资产</w:t>
            </w:r>
            <w:r>
              <w:rPr>
                <w:color w:val="FF0000"/>
                <w:spacing w:val="-101"/>
                <w:sz w:val="20"/>
                <w:u w:val="double" w:color="FF0000"/>
              </w:rPr>
              <w:t>）</w:t>
            </w:r>
            <w:r>
              <w:rPr>
                <w:sz w:val="20"/>
              </w:rPr>
              <w:t>。</w:t>
            </w:r>
          </w:p>
          <w:p>
            <w:pPr>
              <w:pStyle w:val="14"/>
              <w:numPr>
                <w:ilvl w:val="0"/>
                <w:numId w:val="72"/>
              </w:numPr>
              <w:tabs>
                <w:tab w:val="left" w:pos="809"/>
              </w:tabs>
              <w:spacing w:before="0" w:after="0" w:line="237" w:lineRule="exact"/>
              <w:ind w:left="808" w:right="0" w:hanging="301"/>
              <w:jc w:val="left"/>
              <w:rPr>
                <w:sz w:val="20"/>
              </w:rPr>
            </w:pPr>
            <w:r>
              <w:rPr>
                <w:color w:val="FF0000"/>
                <w:sz w:val="20"/>
                <w:u w:val="double" w:color="FF0000"/>
              </w:rPr>
              <w:t>租入固定资产（除短期租赁和低价值资产租入的固定资产）</w:t>
            </w:r>
          </w:p>
        </w:tc>
      </w:tr>
    </w:tbl>
    <w:p>
      <w:pPr>
        <w:spacing w:before="68" w:line="304" w:lineRule="auto"/>
        <w:ind w:left="723" w:right="6458" w:firstLine="0"/>
        <w:jc w:val="left"/>
        <w:rPr>
          <w:sz w:val="20"/>
        </w:rPr>
      </w:pPr>
      <w:r>
        <mc:AlternateContent>
          <mc:Choice Requires="wps">
            <w:drawing>
              <wp:anchor distT="0" distB="0" distL="114300" distR="114300" simplePos="0" relativeHeight="482442240" behindDoc="1" locked="0" layoutInCell="1" allowOverlap="1">
                <wp:simplePos x="0" y="0"/>
                <wp:positionH relativeFrom="page">
                  <wp:posOffset>1068705</wp:posOffset>
                </wp:positionH>
                <wp:positionV relativeFrom="paragraph">
                  <wp:posOffset>389255</wp:posOffset>
                </wp:positionV>
                <wp:extent cx="502920" cy="5715"/>
                <wp:effectExtent l="0" t="0" r="0" b="0"/>
                <wp:wrapNone/>
                <wp:docPr id="280" name="任意多边形 161"/>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1" o:spid="_x0000_s1026" o:spt="100" style="position:absolute;left:0pt;margin-left:84.15pt;margin-top:30.65pt;height:0.45pt;width:39.6pt;mso-position-horizontal-relative:page;z-index:-20874240;mso-width-relative:page;mso-height-relative:page;" filled="f" stroked="t" coordsize="792,9" o:gfxdata="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U0aHO9cAAAAJAQAADwAAAAAAAAABACAAAAAiAAAA&#10;ZHJzL2Rvd25yZXYueG1sUEsBAhQAFAAAAAgAh07iQGsVNY/sAgAAmwoAAA4AAAAAAAAAAQAgAAAA&#10;JgEAAGRycy9lMm9Eb2MueG1sUEsFBgAAAAAGAAYAWQEAAIQ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sz w:val="20"/>
        </w:rPr>
        <w:t>（三）固定资产核算应设置的会计科目</w:t>
      </w:r>
      <w:r>
        <w:rPr>
          <w:sz w:val="20"/>
        </w:rPr>
        <w:t>1.</w:t>
      </w:r>
      <w:r>
        <w:rPr>
          <w:b/>
          <w:color w:val="00AFEF"/>
          <w:sz w:val="20"/>
        </w:rPr>
        <w:t>固定资产</w:t>
      </w:r>
      <w:r>
        <w:rPr>
          <w:sz w:val="20"/>
        </w:rPr>
        <w:t>：核算企业固定资产的原价。</w:t>
      </w:r>
    </w:p>
    <w:p>
      <w:pPr>
        <w:pStyle w:val="13"/>
        <w:numPr>
          <w:ilvl w:val="0"/>
          <w:numId w:val="73"/>
        </w:numPr>
        <w:tabs>
          <w:tab w:val="left" w:pos="925"/>
        </w:tabs>
        <w:spacing w:before="2" w:after="0" w:line="304" w:lineRule="auto"/>
        <w:ind w:left="322" w:right="722" w:firstLine="400"/>
        <w:jc w:val="left"/>
        <w:rPr>
          <w:sz w:val="20"/>
        </w:rPr>
      </w:pPr>
      <w:r>
        <mc:AlternateContent>
          <mc:Choice Requires="wps">
            <w:drawing>
              <wp:anchor distT="0" distB="0" distL="114300" distR="114300" simplePos="0" relativeHeight="482442240" behindDoc="1" locked="0" layoutInCell="1" allowOverlap="1">
                <wp:simplePos x="0" y="0"/>
                <wp:positionH relativeFrom="page">
                  <wp:posOffset>1068705</wp:posOffset>
                </wp:positionH>
                <wp:positionV relativeFrom="paragraph">
                  <wp:posOffset>139700</wp:posOffset>
                </wp:positionV>
                <wp:extent cx="502920" cy="5715"/>
                <wp:effectExtent l="0" t="0" r="0" b="0"/>
                <wp:wrapNone/>
                <wp:docPr id="281" name="任意多边形 162"/>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2" o:spid="_x0000_s1026" o:spt="100" style="position:absolute;left:0pt;margin-left:84.15pt;margin-top:11pt;height:0.45pt;width:39.6pt;mso-position-horizontal-relative:page;z-index:-20874240;mso-width-relative:page;mso-height-relative:page;" filled="f" stroked="t" coordsize="792,9" o:gfxdata="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EWC45tcAAAAJAQAADwAAAAAAAAABACAAAAAiAAAA&#10;ZHJzL2Rvd25yZXYueG1sUEsBAhQAFAAAAAgAh07iQO9A+g/sAgAAmwoAAA4AAAAAAAAAAQAgAAAA&#10;JgEAAGRycy9lMm9Eb2MueG1sUEsFBgAAAAAGAAYAWQEAAIQ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w w:val="95"/>
          <w:sz w:val="20"/>
        </w:rPr>
        <w:t>累计折旧</w:t>
      </w:r>
      <w:r>
        <w:rPr>
          <w:spacing w:val="-8"/>
          <w:w w:val="95"/>
          <w:sz w:val="20"/>
        </w:rPr>
        <w:t xml:space="preserve">：核算企业固定资产的累计折旧，是固定资产科目的备抵账户，贷方登记企业计提的固定资产折   </w:t>
      </w:r>
      <w:r>
        <w:rPr>
          <w:spacing w:val="-8"/>
          <w:sz w:val="20"/>
        </w:rPr>
        <w:t>旧，借方登记处置固定资产转出的累计折旧，期末贷方余额反映企业固定资产的累计折旧额。</w:t>
      </w:r>
    </w:p>
    <w:p>
      <w:pPr>
        <w:pStyle w:val="13"/>
        <w:numPr>
          <w:ilvl w:val="0"/>
          <w:numId w:val="73"/>
        </w:numPr>
        <w:tabs>
          <w:tab w:val="left" w:pos="925"/>
        </w:tabs>
        <w:spacing w:before="2" w:after="0" w:line="304" w:lineRule="auto"/>
        <w:ind w:left="322" w:right="722" w:firstLine="400"/>
        <w:jc w:val="left"/>
        <w:rPr>
          <w:sz w:val="20"/>
        </w:rPr>
      </w:pPr>
      <w:r>
        <mc:AlternateContent>
          <mc:Choice Requires="wps">
            <w:drawing>
              <wp:anchor distT="0" distB="0" distL="114300" distR="114300" simplePos="0" relativeHeight="482443264" behindDoc="1" locked="0" layoutInCell="1" allowOverlap="1">
                <wp:simplePos x="0" y="0"/>
                <wp:positionH relativeFrom="page">
                  <wp:posOffset>1068705</wp:posOffset>
                </wp:positionH>
                <wp:positionV relativeFrom="paragraph">
                  <wp:posOffset>139700</wp:posOffset>
                </wp:positionV>
                <wp:extent cx="502920" cy="5715"/>
                <wp:effectExtent l="0" t="0" r="0" b="0"/>
                <wp:wrapNone/>
                <wp:docPr id="282" name="任意多边形 163"/>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3" o:spid="_x0000_s1026" o:spt="100" style="position:absolute;left:0pt;margin-left:84.15pt;margin-top:11pt;height:0.45pt;width:39.6pt;mso-position-horizontal-relative:page;z-index:-20873216;mso-width-relative:page;mso-height-relative:page;" filled="f" stroked="t" coordsize="792,9" o:gfxdata="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EWC45tcAAAAJAQAADwAAAAAAAAABACAAAAAiAAAA&#10;ZHJzL2Rvd25yZXYueG1sUEsBAhQAFAAAAAgAh07iQCyQdALsAgAAmwoAAA4AAAAAAAAAAQAgAAAA&#10;JgEAAGRycy9lMm9Eb2MueG1sUEsFBgAAAAAGAAYAWQEAAIQ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w w:val="95"/>
          <w:sz w:val="20"/>
        </w:rPr>
        <w:t>在建工程</w:t>
      </w:r>
      <w:r>
        <w:rPr>
          <w:spacing w:val="-8"/>
          <w:w w:val="95"/>
          <w:sz w:val="20"/>
        </w:rPr>
        <w:t xml:space="preserve">：核算企业基建、更新改造等在建工程发生的支出，期末借方余额反映企业尚未达到预定可使用   </w:t>
      </w:r>
      <w:r>
        <w:rPr>
          <w:spacing w:val="-8"/>
          <w:sz w:val="20"/>
        </w:rPr>
        <w:t>状态的在建工程的成本。</w:t>
      </w:r>
    </w:p>
    <w:p>
      <w:pPr>
        <w:pStyle w:val="13"/>
        <w:numPr>
          <w:ilvl w:val="0"/>
          <w:numId w:val="73"/>
        </w:numPr>
        <w:tabs>
          <w:tab w:val="left" w:pos="925"/>
        </w:tabs>
        <w:spacing w:before="0" w:after="0" w:line="256" w:lineRule="exact"/>
        <w:ind w:left="924" w:right="0" w:hanging="202"/>
        <w:jc w:val="left"/>
        <w:rPr>
          <w:sz w:val="20"/>
        </w:rPr>
      </w:pPr>
      <w:r>
        <mc:AlternateContent>
          <mc:Choice Requires="wps">
            <w:drawing>
              <wp:anchor distT="0" distB="0" distL="114300" distR="114300" simplePos="0" relativeHeight="15809536" behindDoc="0" locked="0" layoutInCell="1" allowOverlap="1">
                <wp:simplePos x="0" y="0"/>
                <wp:positionH relativeFrom="page">
                  <wp:posOffset>1068705</wp:posOffset>
                </wp:positionH>
                <wp:positionV relativeFrom="paragraph">
                  <wp:posOffset>137795</wp:posOffset>
                </wp:positionV>
                <wp:extent cx="502920" cy="5715"/>
                <wp:effectExtent l="0" t="0" r="0" b="0"/>
                <wp:wrapNone/>
                <wp:docPr id="135" name="任意多边形 164"/>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4" o:spid="_x0000_s1026" o:spt="100" style="position:absolute;left:0pt;margin-left:84.15pt;margin-top:10.85pt;height:0.45pt;width:39.6pt;mso-position-horizontal-relative:page;z-index:15809536;mso-width-relative:page;mso-height-relative:page;" filled="f" stroked="t" coordsize="792,9" o:gfxdata="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1ur2o9cAAAAJAQAADwAAAAAAAAABACAAAAAiAAAA&#10;ZHJzL2Rvd25yZXYueG1sUEsBAhQAFAAAAAgAh07iQIJRy+bsAgAAmwoAAA4AAAAAAAAAAQAgAAAA&#10;JgEAAGRycy9lMm9Eb2MueG1sUEsFBgAAAAAGAAYAWQEAAIQ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sz w:val="20"/>
        </w:rPr>
        <w:t>工程物资</w:t>
      </w:r>
      <w:r>
        <w:rPr>
          <w:sz w:val="20"/>
        </w:rPr>
        <w:t>：核算企业为在建工程准备的各种物资的实际成本。</w:t>
      </w:r>
    </w:p>
    <w:p>
      <w:pPr>
        <w:pStyle w:val="13"/>
        <w:numPr>
          <w:ilvl w:val="0"/>
          <w:numId w:val="73"/>
        </w:numPr>
        <w:tabs>
          <w:tab w:val="left" w:pos="925"/>
        </w:tabs>
        <w:spacing w:before="70" w:after="0" w:line="304" w:lineRule="auto"/>
        <w:ind w:left="322" w:right="722" w:firstLine="400"/>
        <w:jc w:val="left"/>
        <w:rPr>
          <w:sz w:val="20"/>
        </w:rPr>
      </w:pPr>
      <w:r>
        <w:rPr>
          <w:b/>
          <w:color w:val="00AFEF"/>
          <w:w w:val="95"/>
          <w:sz w:val="20"/>
          <w:u w:val="single" w:color="00AFEF"/>
        </w:rPr>
        <w:t>固定资产清理</w:t>
      </w:r>
      <w:r>
        <w:rPr>
          <w:spacing w:val="-8"/>
          <w:w w:val="95"/>
          <w:sz w:val="20"/>
        </w:rPr>
        <w:t>：核算企业因出售、报废、毁损、对外投资、非货币性资产交换、债务重组等原因</w:t>
      </w:r>
      <w:r>
        <w:rPr>
          <w:color w:val="FF0000"/>
          <w:w w:val="95"/>
          <w:sz w:val="20"/>
          <w:u w:val="double" w:color="FF0000"/>
        </w:rPr>
        <w:t>转入清理</w:t>
      </w:r>
      <w:r>
        <w:rPr>
          <w:color w:val="FF0000"/>
          <w:spacing w:val="-197"/>
          <w:w w:val="95"/>
          <w:sz w:val="20"/>
          <w:u w:val="double" w:color="FF0000"/>
        </w:rPr>
        <w:t>的</w:t>
      </w:r>
      <w:r>
        <w:rPr>
          <w:color w:val="FF0000"/>
          <w:spacing w:val="172"/>
          <w:w w:val="95"/>
          <w:sz w:val="20"/>
          <w:u w:val="double" w:color="FF0000"/>
        </w:rPr>
        <w:t xml:space="preserve"> </w:t>
      </w:r>
      <w:r>
        <w:rPr>
          <w:color w:val="FF0000"/>
          <w:sz w:val="20"/>
          <w:u w:val="double" w:color="FF0000"/>
        </w:rPr>
        <w:t>固定资产价值以及在清理过程中发生的清理费用和清理收益</w:t>
      </w:r>
      <w:r>
        <w:rPr>
          <w:sz w:val="20"/>
        </w:rPr>
        <w:t>。</w:t>
      </w:r>
    </w:p>
    <w:p>
      <w:pPr>
        <w:spacing w:before="0" w:after="23" w:line="223" w:lineRule="exact"/>
        <w:ind w:left="742" w:right="0" w:firstLine="0"/>
        <w:jc w:val="left"/>
        <w:rPr>
          <w:b/>
          <w:sz w:val="21"/>
        </w:rPr>
      </w:pPr>
      <w:bookmarkStart w:id="63" w:name="二、取得固定资产"/>
      <w:bookmarkEnd w:id="63"/>
      <w:r>
        <w:rPr>
          <w:b/>
          <w:sz w:val="21"/>
          <w:shd w:val="clear" w:color="auto" w:fill="C0C0C0"/>
        </w:rPr>
        <w:t>二、取得固定资产</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62"/>
        <w:gridCol w:w="3255"/>
        <w:gridCol w:w="55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62" w:type="dxa"/>
            <w:vMerge w:val="restart"/>
          </w:tcPr>
          <w:p>
            <w:pPr>
              <w:pStyle w:val="14"/>
              <w:rPr>
                <w:b/>
                <w:sz w:val="20"/>
              </w:rPr>
            </w:pPr>
          </w:p>
          <w:p>
            <w:pPr>
              <w:pStyle w:val="14"/>
              <w:spacing w:before="148"/>
              <w:ind w:left="410" w:right="402"/>
              <w:jc w:val="center"/>
              <w:rPr>
                <w:sz w:val="20"/>
              </w:rPr>
            </w:pPr>
            <w:r>
              <w:rPr>
                <w:sz w:val="20"/>
              </w:rPr>
              <w:t>外购</w:t>
            </w:r>
          </w:p>
        </w:tc>
        <w:tc>
          <w:tcPr>
            <w:tcW w:w="3255" w:type="dxa"/>
          </w:tcPr>
          <w:p>
            <w:pPr>
              <w:pStyle w:val="14"/>
              <w:spacing w:before="69" w:line="237" w:lineRule="exact"/>
              <w:ind w:right="1016"/>
              <w:jc w:val="right"/>
              <w:rPr>
                <w:sz w:val="20"/>
              </w:rPr>
            </w:pPr>
            <w:r>
              <w:rPr>
                <w:w w:val="95"/>
                <w:sz w:val="20"/>
              </w:rPr>
              <w:t>不需安装</w:t>
            </w:r>
          </w:p>
        </w:tc>
        <w:tc>
          <w:tcPr>
            <w:tcW w:w="5565" w:type="dxa"/>
          </w:tcPr>
          <w:p>
            <w:pPr>
              <w:pStyle w:val="14"/>
              <w:spacing w:before="69" w:line="237" w:lineRule="exact"/>
              <w:ind w:left="507"/>
              <w:rPr>
                <w:sz w:val="20"/>
              </w:rPr>
            </w:pPr>
            <w:r>
              <w:rPr>
                <w:sz w:val="20"/>
              </w:rPr>
              <w:t>直接计入固定资产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62" w:type="dxa"/>
            <w:vMerge w:val="continue"/>
            <w:tcBorders>
              <w:top w:val="nil"/>
            </w:tcBorders>
          </w:tcPr>
          <w:p>
            <w:pPr>
              <w:rPr>
                <w:sz w:val="2"/>
                <w:szCs w:val="2"/>
              </w:rPr>
            </w:pPr>
          </w:p>
        </w:tc>
        <w:tc>
          <w:tcPr>
            <w:tcW w:w="3255" w:type="dxa"/>
          </w:tcPr>
          <w:p>
            <w:pPr>
              <w:pStyle w:val="14"/>
              <w:spacing w:before="69" w:line="237" w:lineRule="exact"/>
              <w:ind w:right="1016"/>
              <w:jc w:val="right"/>
              <w:rPr>
                <w:sz w:val="20"/>
              </w:rPr>
            </w:pPr>
            <w:r>
              <w:rPr>
                <w:w w:val="95"/>
                <w:sz w:val="20"/>
              </w:rPr>
              <w:t>需要安装</w:t>
            </w:r>
          </w:p>
        </w:tc>
        <w:tc>
          <w:tcPr>
            <w:tcW w:w="5565" w:type="dxa"/>
          </w:tcPr>
          <w:p>
            <w:pPr>
              <w:pStyle w:val="14"/>
              <w:spacing w:before="69" w:line="237" w:lineRule="exact"/>
              <w:ind w:left="507"/>
              <w:rPr>
                <w:sz w:val="20"/>
              </w:rPr>
            </w:pPr>
            <w:r>
              <w:rPr>
                <w:sz w:val="20"/>
              </w:rPr>
              <w:t>先计入在建工程，再转入固定资产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62" w:type="dxa"/>
            <w:vMerge w:val="continue"/>
            <w:tcBorders>
              <w:top w:val="nil"/>
            </w:tcBorders>
          </w:tcPr>
          <w:p>
            <w:pPr>
              <w:rPr>
                <w:sz w:val="2"/>
                <w:szCs w:val="2"/>
              </w:rPr>
            </w:pPr>
          </w:p>
        </w:tc>
        <w:tc>
          <w:tcPr>
            <w:tcW w:w="3255" w:type="dxa"/>
          </w:tcPr>
          <w:p>
            <w:pPr>
              <w:pStyle w:val="14"/>
              <w:spacing w:before="69" w:line="237" w:lineRule="exact"/>
              <w:ind w:right="1016"/>
              <w:jc w:val="right"/>
              <w:rPr>
                <w:sz w:val="20"/>
              </w:rPr>
            </w:pPr>
            <w:r>
              <w:rPr>
                <w:w w:val="95"/>
                <w:sz w:val="20"/>
              </w:rPr>
              <w:t>打包购入</w:t>
            </w:r>
          </w:p>
        </w:tc>
        <w:tc>
          <w:tcPr>
            <w:tcW w:w="5565" w:type="dxa"/>
          </w:tcPr>
          <w:p>
            <w:pPr>
              <w:pStyle w:val="14"/>
              <w:spacing w:before="69" w:line="237" w:lineRule="exact"/>
              <w:ind w:left="507"/>
              <w:rPr>
                <w:sz w:val="20"/>
              </w:rPr>
            </w:pPr>
            <w:r>
              <w:rPr>
                <w:sz w:val="20"/>
              </w:rPr>
              <w:t>按公允价值分摊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62" w:type="dxa"/>
            <w:vMerge w:val="restart"/>
          </w:tcPr>
          <w:p>
            <w:pPr>
              <w:pStyle w:val="14"/>
              <w:spacing w:before="6"/>
              <w:rPr>
                <w:b/>
                <w:sz w:val="18"/>
              </w:rPr>
            </w:pPr>
          </w:p>
          <w:p>
            <w:pPr>
              <w:pStyle w:val="14"/>
              <w:ind w:left="410" w:right="402"/>
              <w:jc w:val="center"/>
              <w:rPr>
                <w:sz w:val="20"/>
              </w:rPr>
            </w:pPr>
            <w:r>
              <w:rPr>
                <w:sz w:val="20"/>
              </w:rPr>
              <w:t>自建</w:t>
            </w:r>
          </w:p>
        </w:tc>
        <w:tc>
          <w:tcPr>
            <w:tcW w:w="3255" w:type="dxa"/>
          </w:tcPr>
          <w:p>
            <w:pPr>
              <w:pStyle w:val="14"/>
              <w:spacing w:before="69" w:line="237" w:lineRule="exact"/>
              <w:ind w:right="1016"/>
              <w:jc w:val="right"/>
              <w:rPr>
                <w:sz w:val="20"/>
              </w:rPr>
            </w:pPr>
            <w:r>
              <w:rPr>
                <w:w w:val="95"/>
                <w:sz w:val="20"/>
              </w:rPr>
              <w:t>自营工程</w:t>
            </w:r>
          </w:p>
        </w:tc>
        <w:tc>
          <w:tcPr>
            <w:tcW w:w="5565" w:type="dxa"/>
          </w:tcPr>
          <w:p>
            <w:pPr>
              <w:pStyle w:val="14"/>
              <w:spacing w:before="69" w:line="237" w:lineRule="exact"/>
              <w:ind w:left="507"/>
              <w:rPr>
                <w:sz w:val="20"/>
              </w:rPr>
            </w:pPr>
            <w:r>
              <w:rPr>
                <w:sz w:val="20"/>
              </w:rPr>
              <w:t>先计入在建工程，再转入固定资产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62" w:type="dxa"/>
            <w:vMerge w:val="continue"/>
            <w:tcBorders>
              <w:top w:val="nil"/>
            </w:tcBorders>
          </w:tcPr>
          <w:p>
            <w:pPr>
              <w:rPr>
                <w:sz w:val="2"/>
                <w:szCs w:val="2"/>
              </w:rPr>
            </w:pPr>
          </w:p>
        </w:tc>
        <w:tc>
          <w:tcPr>
            <w:tcW w:w="3255" w:type="dxa"/>
          </w:tcPr>
          <w:p>
            <w:pPr>
              <w:pStyle w:val="14"/>
              <w:spacing w:before="69" w:line="237" w:lineRule="exact"/>
              <w:ind w:right="1016"/>
              <w:jc w:val="right"/>
              <w:rPr>
                <w:sz w:val="20"/>
              </w:rPr>
            </w:pPr>
            <w:r>
              <w:rPr>
                <w:w w:val="95"/>
                <w:sz w:val="20"/>
              </w:rPr>
              <w:t>出包工程</w:t>
            </w:r>
          </w:p>
        </w:tc>
        <w:tc>
          <w:tcPr>
            <w:tcW w:w="5565" w:type="dxa"/>
          </w:tcPr>
          <w:p>
            <w:pPr>
              <w:pStyle w:val="14"/>
              <w:spacing w:before="69" w:line="237" w:lineRule="exact"/>
              <w:ind w:left="507"/>
              <w:rPr>
                <w:sz w:val="20"/>
              </w:rPr>
            </w:pPr>
            <w:r>
              <w:rPr>
                <w:sz w:val="20"/>
              </w:rPr>
              <w:t>先计入在建工程，再转入固定资产</w:t>
            </w:r>
          </w:p>
        </w:tc>
      </w:tr>
    </w:tbl>
    <w:p>
      <w:pPr>
        <w:pStyle w:val="5"/>
        <w:spacing w:before="69"/>
      </w:pPr>
      <w:r>
        <w:t>（一）外购固定资产</w:t>
      </w:r>
    </w:p>
    <w:p>
      <w:pPr>
        <w:pStyle w:val="6"/>
        <w:spacing w:line="304" w:lineRule="auto"/>
        <w:ind w:left="322" w:right="722" w:firstLine="400"/>
        <w:jc w:val="both"/>
      </w:pPr>
      <w:r>
        <w:rPr>
          <w:spacing w:val="-2"/>
          <w:w w:val="95"/>
        </w:rPr>
        <w:t>企业外购的固定资产，应按</w:t>
      </w:r>
      <w:r>
        <w:rPr>
          <w:color w:val="FF0000"/>
          <w:spacing w:val="-4"/>
          <w:w w:val="95"/>
          <w:u w:val="double" w:color="FF0000"/>
        </w:rPr>
        <w:t>实际支付的购买价款、相关税费、使固定资产达到预定可使用状态前所发生的可</w:t>
      </w:r>
      <w:r>
        <w:rPr>
          <w:color w:val="FF0000"/>
          <w:spacing w:val="-199"/>
          <w:w w:val="95"/>
          <w:u w:val="double" w:color="FF0000"/>
        </w:rPr>
        <w:t>归</w:t>
      </w:r>
      <w:r>
        <w:rPr>
          <w:color w:val="FF0000"/>
          <w:spacing w:val="197"/>
          <w:w w:val="95"/>
          <w:u w:val="double" w:color="FF0000"/>
        </w:rPr>
        <w:t xml:space="preserve"> </w:t>
      </w:r>
      <w:r>
        <w:rPr>
          <w:color w:val="FF0000"/>
          <w:spacing w:val="-3"/>
          <w:w w:val="95"/>
          <w:u w:val="double" w:color="FF0000"/>
        </w:rPr>
        <w:t>属于该项资产的运输费、装卸费、安装费和专业人员服务费</w:t>
      </w:r>
      <w:r>
        <w:rPr>
          <w:spacing w:val="-5"/>
          <w:w w:val="95"/>
        </w:rPr>
        <w:t>等，作为固定资产的取得成本。</w:t>
      </w:r>
      <w:r>
        <w:rPr>
          <w:color w:val="FF0000"/>
          <w:w w:val="95"/>
          <w:u w:val="double" w:color="FF0000"/>
        </w:rPr>
        <w:t xml:space="preserve">可以抵扣的增值税进    </w:t>
      </w:r>
      <w:r>
        <w:rPr>
          <w:color w:val="FF0000"/>
          <w:u w:val="double" w:color="FF0000"/>
        </w:rPr>
        <w:t>项税额，不计入固定资产成本</w:t>
      </w:r>
      <w:r>
        <w:t>。</w:t>
      </w:r>
    </w:p>
    <w:p>
      <w:pPr>
        <w:pStyle w:val="6"/>
        <w:spacing w:before="1" w:line="304" w:lineRule="auto"/>
        <w:ind w:left="322" w:right="722" w:firstLine="400"/>
      </w:pPr>
      <w:r>
        <w:rPr>
          <w:spacing w:val="-3"/>
          <w:w w:val="95"/>
        </w:rPr>
        <w:t>企业以一笔款项购入多项没有单独标价的固定资产；应将各项资产单独确认为固定资产，并</w:t>
      </w:r>
      <w:r>
        <w:rPr>
          <w:color w:val="FF0000"/>
          <w:w w:val="95"/>
          <w:u w:val="double" w:color="FF0000"/>
        </w:rPr>
        <w:t>按各项固定资产</w:t>
      </w:r>
      <w:r>
        <w:rPr>
          <w:color w:val="FF0000"/>
          <w:spacing w:val="-199"/>
          <w:w w:val="95"/>
          <w:u w:val="double" w:color="FF0000"/>
        </w:rPr>
        <w:t>公</w:t>
      </w:r>
      <w:r>
        <w:rPr>
          <w:color w:val="FF0000"/>
          <w:spacing w:val="189"/>
          <w:w w:val="95"/>
          <w:u w:val="double" w:color="FF0000"/>
        </w:rPr>
        <w:t xml:space="preserve"> </w:t>
      </w:r>
      <w:r>
        <w:rPr>
          <w:color w:val="FF0000"/>
          <w:u w:val="double" w:color="FF0000"/>
        </w:rPr>
        <w:t>允价值的比例对总成本进行分配</w:t>
      </w:r>
      <w:r>
        <w:t>，分别确定各项固定资产的成本。</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13"/>
        <w:numPr>
          <w:ilvl w:val="0"/>
          <w:numId w:val="74"/>
        </w:numPr>
        <w:tabs>
          <w:tab w:val="left" w:pos="925"/>
        </w:tabs>
        <w:spacing w:before="71" w:after="0" w:line="304" w:lineRule="auto"/>
        <w:ind w:left="723" w:right="7452" w:firstLine="0"/>
        <w:jc w:val="left"/>
        <w:rPr>
          <w:sz w:val="20"/>
        </w:rPr>
      </w:pPr>
      <w:r>
        <w:rPr>
          <w:b/>
          <w:spacing w:val="-1"/>
          <w:sz w:val="20"/>
        </w:rPr>
        <w:t>购入不需要安装的固定资产</w:t>
      </w:r>
      <w:r>
        <w:rPr>
          <w:sz w:val="20"/>
        </w:rPr>
        <w:t>借：固定资产</w:t>
      </w:r>
    </w:p>
    <w:p>
      <w:pPr>
        <w:pStyle w:val="6"/>
        <w:spacing w:before="2" w:line="304" w:lineRule="auto"/>
        <w:ind w:left="1124" w:right="6463"/>
      </w:pPr>
      <w:r>
        <w:t>应交税费—应交增值税（进项税额） 贷：银行存款等</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5"/>
        <w:numPr>
          <w:ilvl w:val="0"/>
          <w:numId w:val="74"/>
        </w:numPr>
        <w:tabs>
          <w:tab w:val="left" w:pos="925"/>
        </w:tabs>
        <w:spacing w:before="71" w:after="0" w:line="240" w:lineRule="auto"/>
        <w:ind w:left="924" w:right="0" w:hanging="202"/>
        <w:jc w:val="left"/>
      </w:pPr>
      <w:r>
        <w:t>购入需要安装的固定资产</w:t>
      </w:r>
    </w:p>
    <w:p>
      <w:pPr>
        <w:pStyle w:val="5"/>
        <w:tabs>
          <w:tab w:val="left" w:pos="5237"/>
        </w:tabs>
      </w:pPr>
      <w:r>
        <mc:AlternateContent>
          <mc:Choice Requires="wps">
            <w:drawing>
              <wp:anchor distT="0" distB="0" distL="114300" distR="114300" simplePos="0" relativeHeight="15811584" behindDoc="0" locked="0" layoutInCell="1" allowOverlap="1">
                <wp:simplePos x="0" y="0"/>
                <wp:positionH relativeFrom="page">
                  <wp:posOffset>941705</wp:posOffset>
                </wp:positionH>
                <wp:positionV relativeFrom="paragraph">
                  <wp:posOffset>182880</wp:posOffset>
                </wp:positionV>
                <wp:extent cx="502920" cy="5715"/>
                <wp:effectExtent l="0" t="0" r="0" b="0"/>
                <wp:wrapNone/>
                <wp:docPr id="136" name="任意多边形 165"/>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65" o:spid="_x0000_s1026" o:spt="100" style="position:absolute;left:0pt;margin-left:74.15pt;margin-top:14.4pt;height:0.45pt;width:39.6pt;mso-position-horizontal-relative:page;z-index:15811584;mso-width-relative:page;mso-height-relative:page;" filled="f" stroked="t" coordsize="792,9" o:gfxdata="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G8+0ljXAAAACQEAAA8AAAAAAAAAAQAgAAAAIgAAAGRycy9k&#10;b3ducmV2LnhtbFBLAQIUABQAAAAIAIdO4kBBgUXr5wIAAJsKAAAOAAAAAAAAAAEAIAAAACYBAABk&#10;cnMvZTJvRG9jLnhtbFBLBQYAAAAABgAGAFkBAAB/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color w:val="00AFEF"/>
        </w:rPr>
        <w:t>①购入时</w:t>
      </w:r>
      <w:r>
        <w:rPr>
          <w:color w:val="00AFEF"/>
        </w:rPr>
        <w:tab/>
      </w:r>
      <w:r>
        <w:rPr>
          <w:color w:val="00AFEF"/>
          <w:u w:val="single" w:color="00AFEF"/>
        </w:rPr>
        <w:t xml:space="preserve"> ②支付安装费</w:t>
      </w:r>
    </w:p>
    <w:p>
      <w:pPr>
        <w:pStyle w:val="6"/>
        <w:tabs>
          <w:tab w:val="left" w:pos="5422"/>
        </w:tabs>
      </w:pPr>
      <w:r>
        <w:t>借：在建工程</w:t>
      </w:r>
      <w:r>
        <w:tab/>
      </w:r>
      <w:r>
        <w:t>借：在建工程</w:t>
      </w:r>
    </w:p>
    <w:p>
      <w:pPr>
        <w:pStyle w:val="6"/>
        <w:tabs>
          <w:tab w:val="left" w:pos="5823"/>
        </w:tabs>
        <w:spacing w:line="304" w:lineRule="auto"/>
        <w:ind w:left="1124" w:right="1761"/>
      </w:pPr>
      <w:r>
        <w:t>应交税费—应交增值税（进项税额）</w:t>
      </w:r>
      <w:r>
        <w:tab/>
      </w:r>
      <w:r>
        <w:t>应交税费—应交增值税（进项税额</w:t>
      </w:r>
      <w:r>
        <w:rPr>
          <w:spacing w:val="-12"/>
        </w:rPr>
        <w:t xml:space="preserve">） </w:t>
      </w:r>
      <w:r>
        <w:t>贷：银行存款等</w:t>
      </w:r>
      <w:r>
        <w:tab/>
      </w:r>
      <w:r>
        <w:t>贷：银行存款</w:t>
      </w:r>
    </w:p>
    <w:p>
      <w:pPr>
        <w:pStyle w:val="5"/>
        <w:tabs>
          <w:tab w:val="left" w:pos="5227"/>
        </w:tabs>
        <w:spacing w:before="0" w:line="256" w:lineRule="exact"/>
      </w:pPr>
      <w:r>
        <w:rPr>
          <w:color w:val="00AFEF"/>
          <w:u w:val="single" w:color="00AFEF"/>
        </w:rPr>
        <w:t>③耗用人工或材料</w:t>
      </w:r>
      <w:r>
        <w:rPr>
          <w:color w:val="00AFEF"/>
        </w:rPr>
        <w:tab/>
      </w:r>
      <w:r>
        <w:rPr>
          <w:color w:val="00AFEF"/>
          <w:u w:val="single" w:color="00AFEF"/>
        </w:rPr>
        <w:t>④达到预定可使用状态</w:t>
      </w:r>
    </w:p>
    <w:p>
      <w:pPr>
        <w:pStyle w:val="6"/>
        <w:tabs>
          <w:tab w:val="left" w:pos="5323"/>
        </w:tabs>
        <w:spacing w:before="71"/>
      </w:pPr>
      <w:r>
        <w:t>借：在建工程</w:t>
      </w:r>
      <w:r>
        <w:tab/>
      </w:r>
      <w:r>
        <w:t>借：固定资产</w:t>
      </w:r>
    </w:p>
    <w:p>
      <w:pPr>
        <w:pStyle w:val="6"/>
        <w:tabs>
          <w:tab w:val="left" w:pos="5722"/>
        </w:tabs>
        <w:ind w:left="1123"/>
      </w:pPr>
      <w:r>
        <w:t>贷：应付职工薪酬/原材料</w:t>
      </w:r>
      <w:r>
        <w:tab/>
      </w:r>
      <w:r>
        <w:t>贷：在建工程</w:t>
      </w:r>
    </w:p>
    <w:p>
      <w:pPr>
        <w:pStyle w:val="5"/>
      </w:pPr>
      <w:r>
        <w:t>（二）建造固定资产</w:t>
      </w:r>
    </w:p>
    <w:p>
      <w:pPr>
        <w:pStyle w:val="6"/>
        <w:spacing w:line="304" w:lineRule="auto"/>
        <w:ind w:right="621"/>
      </w:pPr>
      <w:r>
        <w:rPr>
          <w:spacing w:val="-8"/>
          <w:w w:val="95"/>
        </w:rPr>
        <w:t>企业自行建造固定资产，应按建造该项资产</w:t>
      </w:r>
      <w:r>
        <w:rPr>
          <w:color w:val="FF0000"/>
          <w:w w:val="95"/>
          <w:u w:val="double" w:color="FF0000"/>
        </w:rPr>
        <w:t>达到预定可使用状态前</w:t>
      </w:r>
      <w:r>
        <w:rPr>
          <w:spacing w:val="-9"/>
          <w:w w:val="95"/>
        </w:rPr>
        <w:t xml:space="preserve">所发生的必要支出，作为固定资产的成本。    </w:t>
      </w:r>
      <w:r>
        <w:rPr>
          <w:spacing w:val="-9"/>
        </w:rPr>
        <w:t>自建固定资产应先通过</w:t>
      </w:r>
      <w:r>
        <w:rPr>
          <w:color w:val="FF0000"/>
          <w:spacing w:val="-9"/>
          <w:u w:val="double" w:color="FF0000"/>
        </w:rPr>
        <w:t>在建工程</w:t>
      </w:r>
      <w:r>
        <w:rPr>
          <w:spacing w:val="-9"/>
        </w:rPr>
        <w:t>科目核算。企业自建固定资产，主要有</w:t>
      </w:r>
      <w:r>
        <w:rPr>
          <w:color w:val="FF0000"/>
          <w:spacing w:val="-9"/>
          <w:u w:val="double" w:color="FF0000"/>
        </w:rPr>
        <w:t>自营和出包</w:t>
      </w:r>
      <w:r>
        <w:rPr>
          <w:spacing w:val="-9"/>
        </w:rPr>
        <w:t>两种方式。</w:t>
      </w:r>
    </w:p>
    <w:p>
      <w:pPr>
        <w:spacing w:before="0" w:line="223" w:lineRule="exact"/>
        <w:ind w:left="742" w:right="0" w:firstLine="0"/>
        <w:jc w:val="left"/>
        <w:rPr>
          <w:b/>
          <w:sz w:val="21"/>
        </w:rPr>
      </w:pPr>
      <w:bookmarkStart w:id="64" w:name="三、对固定资产计提折旧"/>
      <w:bookmarkEnd w:id="64"/>
      <w:r>
        <w:rPr>
          <w:b/>
          <w:sz w:val="21"/>
          <w:shd w:val="clear" w:color="auto" w:fill="C0C0C0"/>
        </w:rPr>
        <w:t>三、对固定资产计提折旧</w:t>
      </w:r>
    </w:p>
    <w:p>
      <w:pPr>
        <w:pStyle w:val="5"/>
        <w:spacing w:before="89"/>
      </w:pPr>
      <w:r>
        <w:t>（一）固定资产折旧概述</w:t>
      </w:r>
    </w:p>
    <w:p>
      <w:pPr>
        <w:pStyle w:val="6"/>
        <w:spacing w:line="304" w:lineRule="auto"/>
        <w:ind w:right="3062"/>
      </w:pPr>
      <w:r>
        <w:rPr>
          <w:w w:val="95"/>
        </w:rPr>
        <w:t xml:space="preserve">折旧是指在固定资产使用寿命内，按照确定的方法对应计折旧额进行系统分摊。  </w:t>
      </w:r>
      <w:r>
        <w:rPr>
          <w:color w:val="FF0000"/>
          <w:u w:val="double" w:color="FF0000"/>
        </w:rPr>
        <w:t>应计折旧额=固定资产的原价-预计净残值-固定资产减值准备</w:t>
      </w:r>
    </w:p>
    <w:p>
      <w:pPr>
        <w:pStyle w:val="5"/>
        <w:numPr>
          <w:ilvl w:val="0"/>
          <w:numId w:val="75"/>
        </w:numPr>
        <w:tabs>
          <w:tab w:val="left" w:pos="925"/>
        </w:tabs>
        <w:spacing w:before="2" w:after="0" w:line="240" w:lineRule="auto"/>
        <w:ind w:left="924" w:right="0" w:hanging="202"/>
        <w:jc w:val="left"/>
      </w:pPr>
      <w:r>
        <w:t>影响折旧的因素</w:t>
      </w:r>
    </w:p>
    <w:p>
      <w:pPr>
        <w:pStyle w:val="6"/>
        <w:tabs>
          <w:tab w:val="left" w:pos="2323"/>
          <w:tab w:val="left" w:pos="3723"/>
          <w:tab w:val="left" w:pos="5722"/>
        </w:tabs>
      </w:pPr>
      <w:r>
        <w:rPr>
          <w:color w:val="FF0000"/>
          <w:u w:val="double" w:color="FF0000"/>
        </w:rPr>
        <w:t>①固定资产原价</w:t>
      </w:r>
      <w:r>
        <w:rPr>
          <w:color w:val="FF0000"/>
          <w:u w:val="double" w:color="FF0000"/>
        </w:rPr>
        <w:tab/>
      </w:r>
      <w:r>
        <w:rPr>
          <w:color w:val="FF0000"/>
          <w:u w:val="double" w:color="FF0000"/>
        </w:rPr>
        <w:t>②预计净残值</w:t>
      </w:r>
      <w:r>
        <w:rPr>
          <w:color w:val="FF0000"/>
          <w:u w:val="double" w:color="FF0000"/>
        </w:rPr>
        <w:tab/>
      </w:r>
      <w:r>
        <w:rPr>
          <w:color w:val="FF0000"/>
          <w:u w:val="double" w:color="FF0000"/>
        </w:rPr>
        <w:t>③固定资产减值准备</w:t>
      </w:r>
      <w:r>
        <w:rPr>
          <w:color w:val="FF0000"/>
          <w:u w:val="double" w:color="FF0000"/>
        </w:rPr>
        <w:tab/>
      </w:r>
      <w:r>
        <w:rPr>
          <w:color w:val="FF0000"/>
          <w:u w:val="double" w:color="FF0000"/>
        </w:rPr>
        <w:t>④固定资产的使用寿命</w:t>
      </w:r>
    </w:p>
    <w:p>
      <w:pPr>
        <w:pStyle w:val="6"/>
      </w:pPr>
      <w:r>
        <w:t>【注意】①固定资产的使用寿命、预计净残值一经确定，不得</w:t>
      </w:r>
      <w:r>
        <w:rPr>
          <w:color w:val="FF0000"/>
          <w:u w:val="double" w:color="FF0000"/>
        </w:rPr>
        <w:t>随意</w:t>
      </w:r>
      <w:r>
        <w:t>变更。</w:t>
      </w:r>
    </w:p>
    <w:p>
      <w:pPr>
        <w:pStyle w:val="6"/>
        <w:spacing w:before="68" w:line="304" w:lineRule="auto"/>
        <w:ind w:left="322" w:right="722" w:firstLine="1200"/>
      </w:pPr>
      <w:r>
        <w:rPr>
          <w:spacing w:val="-4"/>
          <w:w w:val="95"/>
        </w:rPr>
        <w:t>②已计提减值准备的固定资产，应当按照该项资产的账面价值</w:t>
      </w:r>
      <w:r>
        <w:rPr>
          <w:w w:val="95"/>
        </w:rPr>
        <w:t xml:space="preserve">（固定资产账面余额-累计折旧-减值   </w:t>
      </w:r>
      <w:r>
        <w:t>准备）以及尚可使用寿命</w:t>
      </w:r>
      <w:r>
        <w:rPr>
          <w:color w:val="FF0000"/>
          <w:u w:val="double" w:color="FF0000"/>
        </w:rPr>
        <w:t>重新计算</w:t>
      </w:r>
      <w:r>
        <w:t>确定折旧率和折旧额，但</w:t>
      </w:r>
      <w:r>
        <w:rPr>
          <w:color w:val="FF0000"/>
          <w:u w:val="double" w:color="FF0000"/>
        </w:rPr>
        <w:t>不调整已计提的折旧额</w:t>
      </w:r>
      <w:r>
        <w:t>。</w:t>
      </w:r>
    </w:p>
    <w:p>
      <w:pPr>
        <w:pStyle w:val="5"/>
        <w:numPr>
          <w:ilvl w:val="0"/>
          <w:numId w:val="75"/>
        </w:numPr>
        <w:tabs>
          <w:tab w:val="left" w:pos="925"/>
        </w:tabs>
        <w:spacing w:before="2" w:after="0" w:line="240" w:lineRule="auto"/>
        <w:ind w:left="924" w:right="0" w:hanging="202"/>
        <w:jc w:val="left"/>
      </w:pPr>
      <w:r>
        <w:t>计提折旧的范围</w:t>
      </w:r>
    </w:p>
    <w:p>
      <w:pPr>
        <w:pStyle w:val="6"/>
      </w:pPr>
      <w:r>
        <w:rPr>
          <w:color w:val="FF0000"/>
          <w:u w:val="double" w:color="FF0000"/>
        </w:rPr>
        <w:t>除以下情况，企业应当对所有固定资产计提折旧：</w:t>
      </w:r>
    </w:p>
    <w:p>
      <w:pPr>
        <w:pStyle w:val="6"/>
      </w:pPr>
      <w:r>
        <w:t>①已提足折旧仍继续使用的固定资产 ②单独计价入账的土地 ③持有待售的固定资产 ④提前报废的固定资</w:t>
      </w:r>
    </w:p>
    <w:p>
      <w:pPr>
        <w:pStyle w:val="6"/>
        <w:ind w:left="322"/>
      </w:pPr>
      <w:r>
        <w:rPr>
          <w:w w:val="99"/>
        </w:rPr>
        <w:t>产</w:t>
      </w:r>
    </w:p>
    <w:p>
      <w:pPr>
        <w:pStyle w:val="6"/>
        <w:spacing w:before="68"/>
      </w:pPr>
      <w:r>
        <w:t>在确定计提折旧的范围时，还应注意以下几点：</w:t>
      </w:r>
    </w:p>
    <w:p>
      <w:pPr>
        <w:pStyle w:val="6"/>
      </w:pPr>
      <w:r>
        <w:t>①固定资产应当</w:t>
      </w:r>
      <w:r>
        <w:rPr>
          <w:color w:val="FF0000"/>
          <w:u w:val="double" w:color="FF0000"/>
        </w:rPr>
        <w:t>按月计提折旧，当月增加的固定资产，当月不提折旧，从下月起计提；当月减少的固定资产，</w:t>
      </w:r>
    </w:p>
    <w:p>
      <w:pPr>
        <w:pStyle w:val="6"/>
        <w:ind w:left="322"/>
      </w:pPr>
      <w:r>
        <w:rPr>
          <w:color w:val="FF0000"/>
          <w:u w:val="double" w:color="FF0000"/>
        </w:rPr>
        <w:t>当月仍提折旧，下月起不提。</w:t>
      </w:r>
    </w:p>
    <w:p>
      <w:pPr>
        <w:pStyle w:val="6"/>
        <w:spacing w:before="71"/>
      </w:pPr>
      <w:r>
        <w:t>②</w:t>
      </w:r>
      <w:r>
        <w:rPr>
          <w:color w:val="FF0000"/>
          <w:u w:val="double" w:color="FF0000"/>
        </w:rPr>
        <w:t>未使用、不需用的固定资产仍提折旧（税法不让提）</w:t>
      </w:r>
    </w:p>
    <w:p>
      <w:pPr>
        <w:pStyle w:val="6"/>
        <w:spacing w:line="304" w:lineRule="auto"/>
        <w:ind w:left="322" w:right="647" w:firstLine="400"/>
      </w:pPr>
      <w:r>
        <w:rPr>
          <w:w w:val="95"/>
        </w:rPr>
        <w:t>③</w:t>
      </w:r>
      <w:r>
        <w:rPr>
          <w:color w:val="FF0000"/>
          <w:w w:val="95"/>
          <w:u w:val="double" w:color="FF0000"/>
        </w:rPr>
        <w:t>已达到预定可使用状态但尚未办理竣工决算的</w:t>
      </w:r>
      <w:r>
        <w:rPr>
          <w:w w:val="95"/>
        </w:rPr>
        <w:t>固定资产，应当按照估计价值确定其成本，并</w:t>
      </w:r>
      <w:r>
        <w:rPr>
          <w:color w:val="FF0000"/>
          <w:w w:val="95"/>
          <w:u w:val="double" w:color="FF0000"/>
        </w:rPr>
        <w:t>计提折旧</w:t>
      </w:r>
      <w:r>
        <w:rPr>
          <w:w w:val="95"/>
        </w:rPr>
        <w:t xml:space="preserve">；待   </w:t>
      </w:r>
      <w:r>
        <w:t>办理竣工决算后，再按实际成本</w:t>
      </w:r>
      <w:r>
        <w:rPr>
          <w:color w:val="FF0000"/>
          <w:u w:val="double" w:color="FF0000"/>
        </w:rPr>
        <w:t>调整原来的暂估价值，但不需要调整原已计提的折旧额</w:t>
      </w:r>
      <w:r>
        <w:t>。</w:t>
      </w:r>
    </w:p>
    <w:p>
      <w:pPr>
        <w:pStyle w:val="5"/>
        <w:numPr>
          <w:ilvl w:val="0"/>
          <w:numId w:val="75"/>
        </w:numPr>
        <w:tabs>
          <w:tab w:val="left" w:pos="925"/>
        </w:tabs>
        <w:spacing w:before="0" w:after="0" w:line="256" w:lineRule="exact"/>
        <w:ind w:left="924" w:right="0" w:hanging="202"/>
        <w:jc w:val="left"/>
      </w:pPr>
      <w:r>
        <w:t>固定资产的寿命、预计净残值和折旧方法的复核</w:t>
      </w:r>
    </w:p>
    <w:p>
      <w:pPr>
        <w:pStyle w:val="6"/>
        <w:spacing w:line="304" w:lineRule="auto"/>
        <w:ind w:left="322" w:right="722" w:firstLine="400"/>
      </w:pPr>
      <w:r>
        <w:rPr>
          <w:spacing w:val="-4"/>
          <w:w w:val="95"/>
        </w:rPr>
        <w:t xml:space="preserve">企业至少应当于每年年度终了，对固定资产的时候寿命、预计净残值和折旧方法进行复核，有差异的应当调   </w:t>
      </w:r>
      <w:r>
        <w:rPr>
          <w:spacing w:val="-4"/>
        </w:rPr>
        <w:t>整，并作为会计估计变更进行会计处理。</w:t>
      </w:r>
    </w:p>
    <w:p>
      <w:pPr>
        <w:pStyle w:val="5"/>
        <w:spacing w:before="2"/>
      </w:pPr>
      <w:r>
        <w:t>（二）固定资产折旧方法</w:t>
      </w:r>
    </w:p>
    <w:p>
      <w:pPr>
        <w:pStyle w:val="6"/>
      </w:pPr>
      <w:r>
        <w:t>固定资产折旧方法包括</w:t>
      </w:r>
      <w:r>
        <w:rPr>
          <w:color w:val="FF0000"/>
          <w:u w:val="double" w:color="FF0000"/>
        </w:rPr>
        <w:t>年限平均法（直线法</w:t>
      </w:r>
      <w:r>
        <w:rPr>
          <w:color w:val="FF0000"/>
          <w:spacing w:val="-99"/>
          <w:u w:val="double" w:color="FF0000"/>
        </w:rPr>
        <w:t>）</w:t>
      </w:r>
      <w:r>
        <w:rPr>
          <w:color w:val="FF0000"/>
          <w:u w:val="double" w:color="FF0000"/>
        </w:rPr>
        <w:t>、工作量法、双倍余额递减法、年数总和法</w:t>
      </w:r>
      <w:r>
        <w:t>。</w:t>
      </w:r>
    </w:p>
    <w:p>
      <w:pPr>
        <w:pStyle w:val="5"/>
      </w:pPr>
      <w:r>
        <w:rPr>
          <w:color w:val="00AFEF"/>
          <w:u w:val="single" w:color="00AFEF"/>
        </w:rPr>
        <w:t>①年限平均法（直线法）</w:t>
      </w:r>
    </w:p>
    <w:p>
      <w:pPr>
        <w:pStyle w:val="6"/>
        <w:spacing w:before="0"/>
        <w:ind w:left="478"/>
      </w:pPr>
      <w:r>
        <mc:AlternateContent>
          <mc:Choice Requires="wpg">
            <w:drawing>
              <wp:inline distT="0" distB="0" distL="114300" distR="114300">
                <wp:extent cx="5988050" cy="223520"/>
                <wp:effectExtent l="1905" t="1905" r="10795" b="3175"/>
                <wp:docPr id="205" name="组合 166"/>
                <wp:cNvGraphicFramePr/>
                <a:graphic xmlns:a="http://schemas.openxmlformats.org/drawingml/2006/main">
                  <a:graphicData uri="http://schemas.microsoft.com/office/word/2010/wordprocessingGroup">
                    <wpg:wgp>
                      <wpg:cNvGrpSpPr/>
                      <wpg:grpSpPr>
                        <a:xfrm>
                          <a:off x="0" y="0"/>
                          <a:ext cx="5988050" cy="223520"/>
                          <a:chOff x="0" y="0"/>
                          <a:chExt cx="9430" cy="352"/>
                        </a:xfrm>
                      </wpg:grpSpPr>
                      <wps:wsp>
                        <wps:cNvPr id="203" name="文本框 167"/>
                        <wps:cNvSpPr txBox="1"/>
                        <wps:spPr>
                          <a:xfrm>
                            <a:off x="4714" y="4"/>
                            <a:ext cx="4710" cy="342"/>
                          </a:xfrm>
                          <a:prstGeom prst="rect">
                            <a:avLst/>
                          </a:prstGeom>
                          <a:noFill/>
                          <a:ln w="6096" cap="flat" cmpd="sng">
                            <a:solidFill>
                              <a:srgbClr val="000000"/>
                            </a:solidFill>
                            <a:prstDash val="solid"/>
                            <a:miter/>
                            <a:headEnd type="none" w="med" len="med"/>
                            <a:tailEnd type="none" w="med" len="med"/>
                          </a:ln>
                        </wps:spPr>
                        <wps:txbx>
                          <w:txbxContent>
                            <w:p>
                              <w:pPr>
                                <w:spacing w:before="72"/>
                                <w:ind w:left="2029" w:right="2028" w:firstLine="0"/>
                                <w:jc w:val="center"/>
                                <w:rPr>
                                  <w:sz w:val="20"/>
                                </w:rPr>
                              </w:pPr>
                              <w:r>
                                <w:rPr>
                                  <w:sz w:val="20"/>
                                </w:rPr>
                                <w:t>方法二</w:t>
                              </w:r>
                            </w:p>
                          </w:txbxContent>
                        </wps:txbx>
                        <wps:bodyPr lIns="0" tIns="0" rIns="0" bIns="0" upright="1"/>
                      </wps:wsp>
                      <wps:wsp>
                        <wps:cNvPr id="204" name="文本框 168"/>
                        <wps:cNvSpPr txBox="1"/>
                        <wps:spPr>
                          <a:xfrm>
                            <a:off x="4" y="4"/>
                            <a:ext cx="4710" cy="342"/>
                          </a:xfrm>
                          <a:prstGeom prst="rect">
                            <a:avLst/>
                          </a:prstGeom>
                          <a:noFill/>
                          <a:ln w="6096" cap="flat" cmpd="sng">
                            <a:solidFill>
                              <a:srgbClr val="000000"/>
                            </a:solidFill>
                            <a:prstDash val="solid"/>
                            <a:miter/>
                            <a:headEnd type="none" w="med" len="med"/>
                            <a:tailEnd type="none" w="med" len="med"/>
                          </a:ln>
                        </wps:spPr>
                        <wps:txbx>
                          <w:txbxContent>
                            <w:p>
                              <w:pPr>
                                <w:spacing w:before="72"/>
                                <w:ind w:left="2028" w:right="2029" w:firstLine="0"/>
                                <w:jc w:val="center"/>
                                <w:rPr>
                                  <w:sz w:val="20"/>
                                </w:rPr>
                              </w:pPr>
                              <w:r>
                                <w:rPr>
                                  <w:sz w:val="20"/>
                                </w:rPr>
                                <w:t>方法一</w:t>
                              </w:r>
                            </w:p>
                          </w:txbxContent>
                        </wps:txbx>
                        <wps:bodyPr lIns="0" tIns="0" rIns="0" bIns="0" upright="1"/>
                      </wps:wsp>
                    </wpg:wgp>
                  </a:graphicData>
                </a:graphic>
              </wp:inline>
            </w:drawing>
          </mc:Choice>
          <mc:Fallback>
            <w:pict>
              <v:group id="组合 166" o:spid="_x0000_s1026" o:spt="203" style="height:17.6pt;width:471.5pt;" coordsize="9430,352" o:gfxdata="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ns79LVAAAABAEAAA8AAAAAAAAA&#10;AQAgAAAAIgAAAGRycy9kb3ducmV2LnhtbFBLAQIUABQAAAAIAIdO4kAjgK3ghgIAAGIHAAAOAAAA&#10;AAAAAAEAIAAAACQBAABkcnMvZTJvRG9jLnhtbFBLBQYAAAAABgAGAFkBAAAcBgAAAAA=&#10;">
                <o:lock v:ext="edit" aspectratio="f"/>
                <v:shape id="文本框 167" o:spid="_x0000_s1026" o:spt="202" type="#_x0000_t202" style="position:absolute;left:4714;top:4;height:342;width:4710;" filled="f" stroked="t" coordsize="21600,21600" o:gfxdata="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VXVv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spacing w:before="72"/>
                          <w:ind w:left="2029" w:right="2028" w:firstLine="0"/>
                          <w:jc w:val="center"/>
                          <w:rPr>
                            <w:sz w:val="20"/>
                          </w:rPr>
                        </w:pPr>
                        <w:r>
                          <w:rPr>
                            <w:sz w:val="20"/>
                          </w:rPr>
                          <w:t>方法二</w:t>
                        </w:r>
                      </w:p>
                    </w:txbxContent>
                  </v:textbox>
                </v:shape>
                <v:shape id="文本框 168" o:spid="_x0000_s1026" o:spt="202" type="#_x0000_t202" style="position:absolute;left:4;top:4;height:342;width:4710;" filled="f" stroked="t" coordsize="21600,21600" o:gfxdata="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O0b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spacing w:before="72"/>
                          <w:ind w:left="2028" w:right="2029" w:firstLine="0"/>
                          <w:jc w:val="center"/>
                          <w:rPr>
                            <w:sz w:val="20"/>
                          </w:rPr>
                        </w:pPr>
                        <w:r>
                          <w:rPr>
                            <w:sz w:val="20"/>
                          </w:rPr>
                          <w:t>方法一</w:t>
                        </w:r>
                      </w:p>
                    </w:txbxContent>
                  </v:textbox>
                </v:shape>
                <w10:wrap type="none"/>
                <w10:anchorlock/>
              </v:group>
            </w:pict>
          </mc:Fallback>
        </mc:AlternateContent>
      </w:r>
    </w:p>
    <w:p>
      <w:pPr>
        <w:spacing w:after="0"/>
        <w:sectPr>
          <w:pgSz w:w="11910" w:h="16160"/>
          <w:pgMar w:top="1680" w:right="360" w:bottom="860" w:left="760" w:header="0" w:footer="584" w:gutter="0"/>
        </w:sectPr>
      </w:pPr>
    </w:p>
    <w:p>
      <w:pPr>
        <w:pStyle w:val="6"/>
        <w:spacing w:before="0" w:after="1"/>
        <w:ind w:left="0"/>
        <w:rPr>
          <w:b/>
          <w:sz w:val="14"/>
        </w:rPr>
      </w:pPr>
    </w:p>
    <w:p>
      <w:pPr>
        <w:pStyle w:val="6"/>
        <w:spacing w:before="0"/>
        <w:ind w:left="478"/>
      </w:pPr>
      <w:r>
        <mc:AlternateContent>
          <mc:Choice Requires="wpg">
            <w:drawing>
              <wp:inline distT="0" distB="0" distL="114300" distR="114300">
                <wp:extent cx="5988050" cy="847090"/>
                <wp:effectExtent l="1905" t="1905" r="10795" b="8255"/>
                <wp:docPr id="176" name="组合 169"/>
                <wp:cNvGraphicFramePr/>
                <a:graphic xmlns:a="http://schemas.openxmlformats.org/drawingml/2006/main">
                  <a:graphicData uri="http://schemas.microsoft.com/office/word/2010/wordprocessingGroup">
                    <wpg:wgp>
                      <wpg:cNvGrpSpPr/>
                      <wpg:grpSpPr>
                        <a:xfrm>
                          <a:off x="0" y="0"/>
                          <a:ext cx="5988050" cy="847090"/>
                          <a:chOff x="0" y="0"/>
                          <a:chExt cx="9430" cy="1334"/>
                        </a:xfrm>
                      </wpg:grpSpPr>
                      <wps:wsp>
                        <wps:cNvPr id="174" name="文本框 170"/>
                        <wps:cNvSpPr txBox="1"/>
                        <wps:spPr>
                          <a:xfrm>
                            <a:off x="4714" y="4"/>
                            <a:ext cx="4710" cy="1324"/>
                          </a:xfrm>
                          <a:prstGeom prst="rect">
                            <a:avLst/>
                          </a:prstGeom>
                          <a:noFill/>
                          <a:ln w="6096" cap="flat" cmpd="sng">
                            <a:solidFill>
                              <a:srgbClr val="000000"/>
                            </a:solidFill>
                            <a:prstDash val="solid"/>
                            <a:miter/>
                            <a:headEnd type="none" w="med" len="med"/>
                            <a:tailEnd type="none" w="med" len="med"/>
                          </a:ln>
                        </wps:spPr>
                        <wps:txbx>
                          <w:txbxContent>
                            <w:p>
                              <w:pPr>
                                <w:spacing w:before="0" w:line="240" w:lineRule="auto"/>
                                <w:rPr>
                                  <w:b/>
                                  <w:sz w:val="20"/>
                                </w:rPr>
                              </w:pPr>
                            </w:p>
                            <w:p>
                              <w:pPr>
                                <w:spacing w:before="11" w:line="240" w:lineRule="auto"/>
                                <w:rPr>
                                  <w:b/>
                                  <w:sz w:val="23"/>
                                </w:rPr>
                              </w:pPr>
                            </w:p>
                            <w:p>
                              <w:pPr>
                                <w:spacing w:before="1"/>
                                <w:ind w:left="251" w:right="0" w:firstLine="0"/>
                                <w:jc w:val="left"/>
                                <w:rPr>
                                  <w:sz w:val="20"/>
                                </w:rPr>
                              </w:pPr>
                              <w:r>
                                <w:rPr>
                                  <w:sz w:val="20"/>
                                </w:rPr>
                                <w:t>年折旧额=（原价-预计净残值）÷预计使用年限</w:t>
                              </w:r>
                            </w:p>
                          </w:txbxContent>
                        </wps:txbx>
                        <wps:bodyPr lIns="0" tIns="0" rIns="0" bIns="0" upright="1"/>
                      </wps:wsp>
                      <wps:wsp>
                        <wps:cNvPr id="175" name="文本框 171"/>
                        <wps:cNvSpPr txBox="1"/>
                        <wps:spPr>
                          <a:xfrm>
                            <a:off x="4" y="4"/>
                            <a:ext cx="4710" cy="1324"/>
                          </a:xfrm>
                          <a:prstGeom prst="rect">
                            <a:avLst/>
                          </a:prstGeom>
                          <a:noFill/>
                          <a:ln w="6096" cap="flat" cmpd="sng">
                            <a:solidFill>
                              <a:srgbClr val="000000"/>
                            </a:solidFill>
                            <a:prstDash val="solid"/>
                            <a:miter/>
                            <a:headEnd type="none" w="med" len="med"/>
                            <a:tailEnd type="none" w="med" len="med"/>
                          </a:ln>
                        </wps:spPr>
                        <wps:txbx>
                          <w:txbxContent>
                            <w:p>
                              <w:pPr>
                                <w:spacing w:before="68" w:line="304" w:lineRule="auto"/>
                                <w:ind w:left="103" w:right="1" w:firstLine="0"/>
                                <w:jc w:val="left"/>
                                <w:rPr>
                                  <w:sz w:val="20"/>
                                </w:rPr>
                              </w:pPr>
                              <w:r>
                                <w:rPr>
                                  <w:spacing w:val="-2"/>
                                  <w:w w:val="95"/>
                                  <w:sz w:val="20"/>
                                </w:rPr>
                                <w:t>年折旧率=</w:t>
                              </w:r>
                              <w:r>
                                <w:rPr>
                                  <w:spacing w:val="-8"/>
                                  <w:w w:val="95"/>
                                  <w:sz w:val="20"/>
                                </w:rPr>
                                <w:t>（1-</w:t>
                              </w:r>
                              <w:r>
                                <w:rPr>
                                  <w:w w:val="95"/>
                                  <w:sz w:val="20"/>
                                </w:rPr>
                                <w:t>预计净残值率</w:t>
                              </w:r>
                              <w:r>
                                <w:rPr>
                                  <w:spacing w:val="-13"/>
                                  <w:w w:val="95"/>
                                  <w:sz w:val="20"/>
                                </w:rPr>
                                <w:t>）</w:t>
                              </w:r>
                              <w:r>
                                <w:rPr>
                                  <w:spacing w:val="-11"/>
                                  <w:w w:val="95"/>
                                  <w:sz w:val="20"/>
                                </w:rPr>
                                <w:t>÷预计使用寿命</w:t>
                              </w:r>
                              <w:r>
                                <w:rPr>
                                  <w:w w:val="95"/>
                                  <w:sz w:val="20"/>
                                </w:rPr>
                                <w:t xml:space="preserve">（年） </w:t>
                              </w:r>
                              <w:r>
                                <w:rPr>
                                  <w:sz w:val="20"/>
                                </w:rPr>
                                <w:t>月折旧率=年折旧率÷12</w:t>
                              </w:r>
                            </w:p>
                            <w:p>
                              <w:pPr>
                                <w:spacing w:before="2"/>
                                <w:ind w:left="103" w:right="0" w:firstLine="0"/>
                                <w:jc w:val="left"/>
                                <w:rPr>
                                  <w:sz w:val="20"/>
                                </w:rPr>
                              </w:pPr>
                              <w:r>
                                <w:rPr>
                                  <w:sz w:val="20"/>
                                </w:rPr>
                                <w:t>月折旧额=固定资产原值×月折旧率</w:t>
                              </w:r>
                            </w:p>
                            <w:p>
                              <w:pPr>
                                <w:spacing w:before="70"/>
                                <w:ind w:left="103" w:right="0" w:firstLine="0"/>
                                <w:jc w:val="left"/>
                                <w:rPr>
                                  <w:sz w:val="20"/>
                                </w:rPr>
                              </w:pPr>
                              <w:r>
                                <w:rPr>
                                  <w:sz w:val="20"/>
                                </w:rPr>
                                <w:t>预计净残值率=预计净残值÷原价×100%</w:t>
                              </w:r>
                            </w:p>
                          </w:txbxContent>
                        </wps:txbx>
                        <wps:bodyPr lIns="0" tIns="0" rIns="0" bIns="0" upright="1"/>
                      </wps:wsp>
                    </wpg:wgp>
                  </a:graphicData>
                </a:graphic>
              </wp:inline>
            </w:drawing>
          </mc:Choice>
          <mc:Fallback>
            <w:pict>
              <v:group id="组合 169" o:spid="_x0000_s1026" o:spt="203" style="height:66.7pt;width:471.5pt;" coordsize="9430,1334" o:gfxdata="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ULjZl1QAAAAUBAAAPAAAAAAAAAAEA&#10;IAAAACIAAABkcnMvZG93bnJldi54bWxQSwECFAAUAAAACACHTuJAsUWpMoQCAABlBwAADgAAAAAA&#10;AAABACAAAAAkAQAAZHJzL2Uyb0RvYy54bWxQSwUGAAAAAAYABgBZAQAAGgYAAAAA&#10;">
                <o:lock v:ext="edit" aspectratio="f"/>
                <v:shape id="文本框 170" o:spid="_x0000_s1026" o:spt="202" type="#_x0000_t202" style="position:absolute;left:4714;top:4;height:1324;width:4710;" filled="f" stroked="t" coordsize="21600,21600" o:gfxdata="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n/8a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0" w:line="240" w:lineRule="auto"/>
                          <w:rPr>
                            <w:b/>
                            <w:sz w:val="20"/>
                          </w:rPr>
                        </w:pPr>
                      </w:p>
                      <w:p>
                        <w:pPr>
                          <w:spacing w:before="11" w:line="240" w:lineRule="auto"/>
                          <w:rPr>
                            <w:b/>
                            <w:sz w:val="23"/>
                          </w:rPr>
                        </w:pPr>
                      </w:p>
                      <w:p>
                        <w:pPr>
                          <w:spacing w:before="1"/>
                          <w:ind w:left="251" w:right="0" w:firstLine="0"/>
                          <w:jc w:val="left"/>
                          <w:rPr>
                            <w:sz w:val="20"/>
                          </w:rPr>
                        </w:pPr>
                        <w:r>
                          <w:rPr>
                            <w:sz w:val="20"/>
                          </w:rPr>
                          <w:t>年折旧额=（原价-预计净残值）÷预计使用年限</w:t>
                        </w:r>
                      </w:p>
                    </w:txbxContent>
                  </v:textbox>
                </v:shape>
                <v:shape id="文本框 171" o:spid="_x0000_s1026" o:spt="202" type="#_x0000_t202" style="position:absolute;left:4;top:4;height:1324;width:4710;" filled="f" stroked="t" coordsize="21600,21600" o:gfxdata="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01qB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8" w:line="304" w:lineRule="auto"/>
                          <w:ind w:left="103" w:right="1" w:firstLine="0"/>
                          <w:jc w:val="left"/>
                          <w:rPr>
                            <w:sz w:val="20"/>
                          </w:rPr>
                        </w:pPr>
                        <w:r>
                          <w:rPr>
                            <w:spacing w:val="-2"/>
                            <w:w w:val="95"/>
                            <w:sz w:val="20"/>
                          </w:rPr>
                          <w:t>年折旧率=</w:t>
                        </w:r>
                        <w:r>
                          <w:rPr>
                            <w:spacing w:val="-8"/>
                            <w:w w:val="95"/>
                            <w:sz w:val="20"/>
                          </w:rPr>
                          <w:t>（1-</w:t>
                        </w:r>
                        <w:r>
                          <w:rPr>
                            <w:w w:val="95"/>
                            <w:sz w:val="20"/>
                          </w:rPr>
                          <w:t>预计净残值率</w:t>
                        </w:r>
                        <w:r>
                          <w:rPr>
                            <w:spacing w:val="-13"/>
                            <w:w w:val="95"/>
                            <w:sz w:val="20"/>
                          </w:rPr>
                          <w:t>）</w:t>
                        </w:r>
                        <w:r>
                          <w:rPr>
                            <w:spacing w:val="-11"/>
                            <w:w w:val="95"/>
                            <w:sz w:val="20"/>
                          </w:rPr>
                          <w:t>÷预计使用寿命</w:t>
                        </w:r>
                        <w:r>
                          <w:rPr>
                            <w:w w:val="95"/>
                            <w:sz w:val="20"/>
                          </w:rPr>
                          <w:t xml:space="preserve">（年） </w:t>
                        </w:r>
                        <w:r>
                          <w:rPr>
                            <w:sz w:val="20"/>
                          </w:rPr>
                          <w:t>月折旧率=年折旧率÷12</w:t>
                        </w:r>
                      </w:p>
                      <w:p>
                        <w:pPr>
                          <w:spacing w:before="2"/>
                          <w:ind w:left="103" w:right="0" w:firstLine="0"/>
                          <w:jc w:val="left"/>
                          <w:rPr>
                            <w:sz w:val="20"/>
                          </w:rPr>
                        </w:pPr>
                        <w:r>
                          <w:rPr>
                            <w:sz w:val="20"/>
                          </w:rPr>
                          <w:t>月折旧额=固定资产原值×月折旧率</w:t>
                        </w:r>
                      </w:p>
                      <w:p>
                        <w:pPr>
                          <w:spacing w:before="70"/>
                          <w:ind w:left="103" w:right="0" w:firstLine="0"/>
                          <w:jc w:val="left"/>
                          <w:rPr>
                            <w:sz w:val="20"/>
                          </w:rPr>
                        </w:pPr>
                        <w:r>
                          <w:rPr>
                            <w:sz w:val="20"/>
                          </w:rPr>
                          <w:t>预计净残值率=预计净残值÷原价×100%</w:t>
                        </w:r>
                      </w:p>
                    </w:txbxContent>
                  </v:textbox>
                </v:shape>
                <w10:wrap type="none"/>
                <w10:anchorlock/>
              </v:group>
            </w:pict>
          </mc:Fallback>
        </mc:AlternateContent>
      </w:r>
    </w:p>
    <w:p>
      <w:pPr>
        <w:pStyle w:val="5"/>
        <w:spacing w:before="58"/>
      </w:pPr>
      <w:r>
        <w:rPr>
          <w:color w:val="00AFEF"/>
          <w:u w:val="single" w:color="00AFEF"/>
        </w:rPr>
        <w:t>②工作量法</w:t>
      </w:r>
    </w:p>
    <w:p>
      <w:pPr>
        <w:pStyle w:val="6"/>
        <w:spacing w:line="304" w:lineRule="auto"/>
        <w:ind w:right="3861"/>
      </w:pPr>
      <w:r>
        <w:rPr>
          <w:w w:val="95"/>
        </w:rPr>
        <w:t xml:space="preserve">单位工作量折旧额=固定资产原价×（1-预计净残值率）/预计总工作量  </w:t>
      </w:r>
      <w:r>
        <w:t>某项固定资产月折旧额=该项固定资产当月工作量×单位工作量折旧额</w:t>
      </w:r>
    </w:p>
    <w:p>
      <w:pPr>
        <w:spacing w:after="0" w:line="304" w:lineRule="auto"/>
        <w:sectPr>
          <w:pgSz w:w="11910" w:h="16160"/>
          <w:pgMar w:top="1680" w:right="360" w:bottom="860" w:left="760" w:header="0" w:footer="584" w:gutter="0"/>
        </w:sectPr>
      </w:pPr>
    </w:p>
    <w:p>
      <w:pPr>
        <w:pStyle w:val="6"/>
        <w:spacing w:before="11"/>
        <w:ind w:left="0"/>
        <w:rPr>
          <w:sz w:val="13"/>
        </w:rPr>
      </w:pPr>
    </w:p>
    <w:p>
      <w:pPr>
        <w:pStyle w:val="5"/>
        <w:spacing w:before="71"/>
      </w:pPr>
      <w:r>
        <w:rPr>
          <w:color w:val="00AFEF"/>
          <w:u w:val="single" w:color="00AFEF"/>
        </w:rPr>
        <w:t>③双倍余额递减法</w:t>
      </w:r>
    </w:p>
    <w:p>
      <w:pPr>
        <w:pStyle w:val="6"/>
        <w:spacing w:line="304" w:lineRule="auto"/>
        <w:ind w:right="3161"/>
      </w:pPr>
      <w:r>
        <w:rPr>
          <w:w w:val="95"/>
        </w:rPr>
        <w:t xml:space="preserve">年折旧率＝2÷预计使用年限×100%（不考虑净残值率的直线法折旧率的两倍）  </w:t>
      </w:r>
      <w:r>
        <w:t>年折旧额＝固定资产账面净值×年折旧率</w:t>
      </w:r>
    </w:p>
    <w:p>
      <w:pPr>
        <w:pStyle w:val="6"/>
        <w:spacing w:before="2" w:line="304" w:lineRule="auto"/>
        <w:ind w:right="1462"/>
      </w:pPr>
      <w:r>
        <w:rPr>
          <w:color w:val="FF0000"/>
          <w:w w:val="95"/>
          <w:u w:val="double" w:color="FF0000"/>
        </w:rPr>
        <w:t xml:space="preserve">在固定资产折旧年限到期的前两年内，将固定资产的账面净值扣除预计净残值后的净值平均摊销。   </w:t>
      </w:r>
      <w:r>
        <w:t>账面净值＝固定资产原值－累计折旧</w:t>
      </w:r>
    </w:p>
    <w:p>
      <w:pPr>
        <w:pStyle w:val="5"/>
        <w:spacing w:before="0" w:line="256" w:lineRule="exact"/>
      </w:pPr>
      <w:r>
        <w:rPr>
          <w:color w:val="00AFEF"/>
          <w:u w:val="single" w:color="00AFEF"/>
        </w:rPr>
        <w:t>④年数总和法</w:t>
      </w:r>
    </w:p>
    <w:p>
      <w:pPr>
        <w:pStyle w:val="6"/>
        <w:spacing w:line="304" w:lineRule="auto"/>
        <w:ind w:right="4861"/>
      </w:pPr>
      <w:r>
        <w:t>年折旧率＝尚可使用年限÷预计使用年限的年数总和×100% 年折旧额＝（固定资产原值－预计净残值）×年折旧率</w:t>
      </w:r>
    </w:p>
    <w:p>
      <w:pPr>
        <w:spacing w:before="0" w:line="223" w:lineRule="exact"/>
        <w:ind w:left="742" w:right="0" w:firstLine="0"/>
        <w:jc w:val="left"/>
        <w:rPr>
          <w:b/>
          <w:sz w:val="21"/>
        </w:rPr>
      </w:pPr>
      <w:bookmarkStart w:id="65" w:name="四、固定资产后续支出"/>
      <w:bookmarkEnd w:id="65"/>
      <w:r>
        <w:rPr>
          <w:b/>
          <w:sz w:val="21"/>
          <w:shd w:val="clear" w:color="auto" w:fill="C0C0C0"/>
        </w:rPr>
        <w:t>四、固定资产后续支出</w:t>
      </w:r>
    </w:p>
    <w:p>
      <w:pPr>
        <w:pStyle w:val="6"/>
        <w:spacing w:before="91"/>
      </w:pPr>
      <w:r>
        <w:t>固定资产的后续支出是指固定资产在使用过程中发生的更新改造支出、修理费用等。</w:t>
      </w:r>
    </w:p>
    <w:p>
      <w:pPr>
        <w:pStyle w:val="6"/>
        <w:spacing w:before="71" w:line="304" w:lineRule="auto"/>
        <w:ind w:left="322" w:right="722" w:firstLine="400"/>
      </w:pPr>
      <w:r>
        <w:drawing>
          <wp:anchor distT="0" distB="0" distL="0" distR="0" simplePos="0" relativeHeight="1024" behindDoc="0" locked="0" layoutInCell="1" allowOverlap="1">
            <wp:simplePos x="0" y="0"/>
            <wp:positionH relativeFrom="page">
              <wp:posOffset>2755265</wp:posOffset>
            </wp:positionH>
            <wp:positionV relativeFrom="paragraph">
              <wp:posOffset>546100</wp:posOffset>
            </wp:positionV>
            <wp:extent cx="2038985" cy="1285875"/>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png"/>
                    <pic:cNvPicPr>
                      <a:picLocks noChangeAspect="1"/>
                    </pic:cNvPicPr>
                  </pic:nvPicPr>
                  <pic:blipFill>
                    <a:blip r:embed="rId39" cstate="print"/>
                    <a:stretch>
                      <a:fillRect/>
                    </a:stretch>
                  </pic:blipFill>
                  <pic:spPr>
                    <a:xfrm>
                      <a:off x="0" y="0"/>
                      <a:ext cx="2039153" cy="1285875"/>
                    </a:xfrm>
                    <a:prstGeom prst="rect">
                      <a:avLst/>
                    </a:prstGeom>
                  </pic:spPr>
                </pic:pic>
              </a:graphicData>
            </a:graphic>
          </wp:anchor>
        </w:drawing>
      </w:r>
      <w:r>
        <w:rPr>
          <w:w w:val="95"/>
        </w:rPr>
        <w:t>1.</w:t>
      </w:r>
      <w:r>
        <w:rPr>
          <w:b/>
          <w:color w:val="00AFEF"/>
          <w:w w:val="95"/>
          <w:u w:val="single" w:color="00AFEF"/>
        </w:rPr>
        <w:t>资本化支出</w:t>
      </w:r>
      <w:r>
        <w:rPr>
          <w:spacing w:val="-7"/>
          <w:w w:val="95"/>
        </w:rPr>
        <w:t xml:space="preserve">：固定资产的更新改造等后续支出，满足固定资产确认条件的，应当计入固定资产成本，如有   </w:t>
      </w:r>
      <w:r>
        <w:rPr>
          <w:spacing w:val="-7"/>
        </w:rPr>
        <w:t>被替换的部分，应同时将被替换部分的账面价值从该固定资产原账面价值中扣除；</w:t>
      </w:r>
    </w:p>
    <w:p>
      <w:pPr>
        <w:pStyle w:val="6"/>
        <w:spacing w:before="0"/>
        <w:ind w:left="0"/>
      </w:pPr>
    </w:p>
    <w:p>
      <w:pPr>
        <w:spacing w:before="0"/>
        <w:ind w:left="742" w:right="0" w:firstLine="0"/>
        <w:jc w:val="left"/>
        <w:rPr>
          <w:b/>
          <w:sz w:val="21"/>
        </w:rPr>
      </w:pPr>
      <w:bookmarkStart w:id="66" w:name="五、处置固定资产"/>
      <w:bookmarkEnd w:id="66"/>
      <w:r>
        <w:rPr>
          <w:b/>
          <w:sz w:val="21"/>
          <w:shd w:val="clear" w:color="auto" w:fill="C0C0C0"/>
        </w:rPr>
        <w:t>五、处置固定资产</w:t>
      </w:r>
    </w:p>
    <w:p>
      <w:pPr>
        <w:pStyle w:val="6"/>
        <w:spacing w:before="89" w:line="304" w:lineRule="auto"/>
        <w:ind w:left="322" w:right="722" w:firstLine="400"/>
      </w:pPr>
      <w:r>
        <w:rPr>
          <w:spacing w:val="-6"/>
          <w:w w:val="95"/>
        </w:rPr>
        <w:t xml:space="preserve">固定资产处置包括固定资产的出售、报废、毁损、对外投资、非货币性资产交换、债务重组等，不包括盘盈   </w:t>
      </w:r>
      <w:r>
        <w:rPr>
          <w:spacing w:val="-6"/>
        </w:rPr>
        <w:t>和盘亏。</w:t>
      </w:r>
    </w:p>
    <w:p>
      <w:pPr>
        <w:spacing w:before="2" w:after="16" w:line="304" w:lineRule="auto"/>
        <w:ind w:left="322" w:right="722" w:firstLine="400"/>
        <w:jc w:val="left"/>
        <w:rPr>
          <w:b/>
          <w:sz w:val="20"/>
        </w:rPr>
      </w:pPr>
      <w:r>
        <w:drawing>
          <wp:anchor distT="0" distB="0" distL="0" distR="0" simplePos="0" relativeHeight="482449408" behindDoc="1" locked="0" layoutInCell="1" allowOverlap="1">
            <wp:simplePos x="0" y="0"/>
            <wp:positionH relativeFrom="page">
              <wp:posOffset>4210685</wp:posOffset>
            </wp:positionH>
            <wp:positionV relativeFrom="paragraph">
              <wp:posOffset>384175</wp:posOffset>
            </wp:positionV>
            <wp:extent cx="2657475" cy="1938655"/>
            <wp:effectExtent l="0" t="0" r="0" b="0"/>
            <wp:wrapNone/>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png"/>
                    <pic:cNvPicPr>
                      <a:picLocks noChangeAspect="1"/>
                    </pic:cNvPicPr>
                  </pic:nvPicPr>
                  <pic:blipFill>
                    <a:blip r:embed="rId40" cstate="print"/>
                    <a:stretch>
                      <a:fillRect/>
                    </a:stretch>
                  </pic:blipFill>
                  <pic:spPr>
                    <a:xfrm>
                      <a:off x="0" y="0"/>
                      <a:ext cx="2657350" cy="1938657"/>
                    </a:xfrm>
                    <a:prstGeom prst="rect">
                      <a:avLst/>
                    </a:prstGeom>
                  </pic:spPr>
                </pic:pic>
              </a:graphicData>
            </a:graphic>
          </wp:anchor>
        </w:drawing>
      </w:r>
      <w:r>
        <mc:AlternateContent>
          <mc:Choice Requires="wps">
            <w:drawing>
              <wp:anchor distT="0" distB="0" distL="114300" distR="114300" simplePos="0" relativeHeight="482450432" behindDoc="1" locked="0" layoutInCell="1" allowOverlap="1">
                <wp:simplePos x="0" y="0"/>
                <wp:positionH relativeFrom="page">
                  <wp:posOffset>1068705</wp:posOffset>
                </wp:positionH>
                <wp:positionV relativeFrom="paragraph">
                  <wp:posOffset>139700</wp:posOffset>
                </wp:positionV>
                <wp:extent cx="251460" cy="5715"/>
                <wp:effectExtent l="0" t="0" r="0" b="0"/>
                <wp:wrapNone/>
                <wp:docPr id="283" name="任意多边形 17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72" o:spid="_x0000_s1026" o:spt="100" style="position:absolute;left:0pt;margin-left:84.15pt;margin-top:11pt;height:0.45pt;width:19.8pt;mso-position-horizontal-relative:page;z-index:-20866048;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2SBttJUCAABX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P4e&#10;rCPYAAAACQEAAA8AAAAAAAAAAQAgAAAAIgAAAGRycy9kb3ducmV2LnhtbFBLAQIUABQAAAAIAIdO&#10;4kDZIG20lQIAAFcHAAAOAAAAAAAAAAEAIAAAACc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sz w:val="20"/>
        </w:rPr>
        <w:t>【</w:t>
      </w:r>
      <w:r>
        <w:rPr>
          <w:b/>
          <w:color w:val="00AFEF"/>
          <w:w w:val="95"/>
          <w:sz w:val="20"/>
        </w:rPr>
        <w:t>提示</w:t>
      </w:r>
      <w:r>
        <w:rPr>
          <w:spacing w:val="-8"/>
          <w:w w:val="95"/>
          <w:sz w:val="20"/>
        </w:rPr>
        <w:t xml:space="preserve">】毁损、报废是指因自然灾害发生毁损、已丧失使用功能等原因而报废清理的。如出售、抵债等应计   </w:t>
      </w:r>
      <w:r>
        <w:rPr>
          <w:spacing w:val="-8"/>
          <w:sz w:val="20"/>
        </w:rPr>
        <w:t>入资产处置损益；</w:t>
      </w:r>
      <w:r>
        <w:rPr>
          <w:b/>
          <w:color w:val="00AFEF"/>
          <w:spacing w:val="-8"/>
          <w:sz w:val="20"/>
          <w:u w:val="single" w:color="00AFEF"/>
        </w:rPr>
        <w:t>如为自然灾害毁损或到期报废应计入营业外收支。</w:t>
      </w:r>
    </w:p>
    <w:p>
      <w:pPr>
        <w:pStyle w:val="6"/>
        <w:spacing w:before="0"/>
        <w:ind w:left="787"/>
      </w:pPr>
      <w:r>
        <w:drawing>
          <wp:inline distT="0" distB="0" distL="0" distR="0">
            <wp:extent cx="3027680" cy="1897380"/>
            <wp:effectExtent l="0" t="0" r="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png"/>
                    <pic:cNvPicPr>
                      <a:picLocks noChangeAspect="1"/>
                    </pic:cNvPicPr>
                  </pic:nvPicPr>
                  <pic:blipFill>
                    <a:blip r:embed="rId41" cstate="print"/>
                    <a:stretch>
                      <a:fillRect/>
                    </a:stretch>
                  </pic:blipFill>
                  <pic:spPr>
                    <a:xfrm>
                      <a:off x="0" y="0"/>
                      <a:ext cx="3028093" cy="1897380"/>
                    </a:xfrm>
                    <a:prstGeom prst="rect">
                      <a:avLst/>
                    </a:prstGeom>
                  </pic:spPr>
                </pic:pic>
              </a:graphicData>
            </a:graphic>
          </wp:inline>
        </w:drawing>
      </w:r>
    </w:p>
    <w:p>
      <w:pPr>
        <w:pStyle w:val="6"/>
        <w:spacing w:before="10"/>
        <w:ind w:left="0"/>
        <w:rPr>
          <w:b/>
          <w:sz w:val="3"/>
        </w:rPr>
      </w:pPr>
    </w:p>
    <w:p>
      <w:pPr>
        <w:pStyle w:val="6"/>
        <w:spacing w:before="0"/>
        <w:ind w:left="238"/>
      </w:pPr>
      <w:r>
        <mc:AlternateContent>
          <mc:Choice Requires="wpg">
            <w:drawing>
              <wp:inline distT="0" distB="0" distL="114300" distR="114300">
                <wp:extent cx="6292850" cy="218440"/>
                <wp:effectExtent l="1905" t="1905" r="10795" b="8255"/>
                <wp:docPr id="202" name="组合 173"/>
                <wp:cNvGraphicFramePr/>
                <a:graphic xmlns:a="http://schemas.openxmlformats.org/drawingml/2006/main">
                  <a:graphicData uri="http://schemas.microsoft.com/office/word/2010/wordprocessingGroup">
                    <wpg:wgp>
                      <wpg:cNvGrpSpPr/>
                      <wpg:grpSpPr>
                        <a:xfrm>
                          <a:off x="0" y="0"/>
                          <a:ext cx="6292850" cy="218440"/>
                          <a:chOff x="0" y="0"/>
                          <a:chExt cx="9910" cy="344"/>
                        </a:xfrm>
                      </wpg:grpSpPr>
                      <wps:wsp>
                        <wps:cNvPr id="200" name="文本框 174"/>
                        <wps:cNvSpPr txBox="1"/>
                        <wps:spPr>
                          <a:xfrm>
                            <a:off x="4954" y="4"/>
                            <a:ext cx="4950" cy="334"/>
                          </a:xfrm>
                          <a:prstGeom prst="rect">
                            <a:avLst/>
                          </a:prstGeom>
                          <a:solidFill>
                            <a:srgbClr val="C0C0C0"/>
                          </a:solidFill>
                          <a:ln w="6096" cap="flat" cmpd="sng">
                            <a:solidFill>
                              <a:srgbClr val="000000"/>
                            </a:solidFill>
                            <a:prstDash val="solid"/>
                            <a:miter/>
                            <a:headEnd type="none" w="med" len="med"/>
                            <a:tailEnd type="none" w="med" len="med"/>
                          </a:ln>
                        </wps:spPr>
                        <wps:txbx>
                          <w:txbxContent>
                            <w:p>
                              <w:pPr>
                                <w:spacing w:before="69" w:line="255" w:lineRule="exact"/>
                                <w:ind w:left="102" w:right="0" w:firstLine="0"/>
                                <w:jc w:val="left"/>
                                <w:rPr>
                                  <w:sz w:val="20"/>
                                </w:rPr>
                              </w:pPr>
                              <w:r>
                                <w:rPr>
                                  <w:sz w:val="20"/>
                                </w:rPr>
                                <w:t>（2）发生的清理费用</w:t>
                              </w:r>
                            </w:p>
                          </w:txbxContent>
                        </wps:txbx>
                        <wps:bodyPr lIns="0" tIns="0" rIns="0" bIns="0" upright="1"/>
                      </wps:wsp>
                      <wps:wsp>
                        <wps:cNvPr id="201" name="文本框 175"/>
                        <wps:cNvSpPr txBox="1"/>
                        <wps:spPr>
                          <a:xfrm>
                            <a:off x="4" y="4"/>
                            <a:ext cx="4950" cy="334"/>
                          </a:xfrm>
                          <a:prstGeom prst="rect">
                            <a:avLst/>
                          </a:prstGeom>
                          <a:solidFill>
                            <a:srgbClr val="C0C0C0"/>
                          </a:solidFill>
                          <a:ln w="6096" cap="flat" cmpd="sng">
                            <a:solidFill>
                              <a:srgbClr val="000000"/>
                            </a:solidFill>
                            <a:prstDash val="solid"/>
                            <a:miter/>
                            <a:headEnd type="none" w="med" len="med"/>
                            <a:tailEnd type="none" w="med" len="med"/>
                          </a:ln>
                        </wps:spPr>
                        <wps:txbx>
                          <w:txbxContent>
                            <w:p>
                              <w:pPr>
                                <w:spacing w:before="69" w:line="255" w:lineRule="exact"/>
                                <w:ind w:left="504" w:right="0" w:firstLine="0"/>
                                <w:jc w:val="left"/>
                                <w:rPr>
                                  <w:sz w:val="20"/>
                                </w:rPr>
                              </w:pPr>
                              <w:r>
                                <w:rPr>
                                  <w:sz w:val="20"/>
                                </w:rPr>
                                <w:t>（1）结转固定资产账面价值</w:t>
                              </w:r>
                            </w:p>
                          </w:txbxContent>
                        </wps:txbx>
                        <wps:bodyPr lIns="0" tIns="0" rIns="0" bIns="0" upright="1"/>
                      </wps:wsp>
                    </wpg:wgp>
                  </a:graphicData>
                </a:graphic>
              </wp:inline>
            </w:drawing>
          </mc:Choice>
          <mc:Fallback>
            <w:pict>
              <v:group id="组合 173" o:spid="_x0000_s1026" o:spt="203" style="height:17.2pt;width:495.5pt;" coordsize="9910,344" o:gfxdata="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FYirPVAAAABAEAAA8AAAAA&#10;AAAAAQAgAAAAIgAAAGRycy9kb3ducmV2LnhtbFBLAQIUABQAAAAIAIdO4kClYd0tiQIAALQHAAAO&#10;AAAAAAAAAAEAIAAAACQBAABkcnMvZTJvRG9jLnhtbFBLBQYAAAAABgAGAFkBAAAfBgAAAAA=&#10;">
                <o:lock v:ext="edit" aspectratio="f"/>
                <v:shape id="文本框 174" o:spid="_x0000_s1026" o:spt="202" type="#_x0000_t202" style="position:absolute;left:4954;top:4;height:334;width:4950;" fillcolor="#C0C0C0" filled="t" stroked="t" coordsize="21600,21600" o:gfxdata="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IVg67sAAADc&#10;AAAADwAAAAAAAAABACAAAAAiAAAAZHJzL2Rvd25yZXYueG1sUEsBAhQAFAAAAAgAh07iQDMvBZ47&#10;AAAAOQAAABAAAAAAAAAAAQAgAAAACgEAAGRycy9zaGFwZXhtbC54bWxQSwUGAAAAAAYABgBbAQAA&#10;tAMAAAAA&#10;">
                  <v:fill on="t" focussize="0,0"/>
                  <v:stroke weight="0.48pt" color="#000000" joinstyle="miter"/>
                  <v:imagedata o:title=""/>
                  <o:lock v:ext="edit" aspectratio="f"/>
                  <v:textbox inset="0mm,0mm,0mm,0mm">
                    <w:txbxContent>
                      <w:p>
                        <w:pPr>
                          <w:spacing w:before="69" w:line="255" w:lineRule="exact"/>
                          <w:ind w:left="102" w:right="0" w:firstLine="0"/>
                          <w:jc w:val="left"/>
                          <w:rPr>
                            <w:sz w:val="20"/>
                          </w:rPr>
                        </w:pPr>
                        <w:r>
                          <w:rPr>
                            <w:sz w:val="20"/>
                          </w:rPr>
                          <w:t>（2）发生的清理费用</w:t>
                        </w:r>
                      </w:p>
                    </w:txbxContent>
                  </v:textbox>
                </v:shape>
                <v:shape id="文本框 175" o:spid="_x0000_s1026" o:spt="202" type="#_x0000_t202" style="position:absolute;left:4;top:4;height:334;width:4950;" fillcolor="#C0C0C0" filled="t" stroked="t" coordsize="21600,21600" o:gfxdata="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ycVwvQAA&#10;ANwAAAAPAAAAAAAAAAEAIAAAACIAAABkcnMvZG93bnJldi54bWxQSwECFAAUAAAACACHTuJAMy8F&#10;njsAAAA5AAAAEAAAAAAAAAABACAAAAAMAQAAZHJzL3NoYXBleG1sLnhtbFBLBQYAAAAABgAGAFsB&#10;AAC2AwAAAAA=&#10;">
                  <v:fill on="t" focussize="0,0"/>
                  <v:stroke weight="0.48pt" color="#000000" joinstyle="miter"/>
                  <v:imagedata o:title=""/>
                  <o:lock v:ext="edit" aspectratio="f"/>
                  <v:textbox inset="0mm,0mm,0mm,0mm">
                    <w:txbxContent>
                      <w:p>
                        <w:pPr>
                          <w:spacing w:before="69" w:line="255" w:lineRule="exact"/>
                          <w:ind w:left="504" w:right="0" w:firstLine="0"/>
                          <w:jc w:val="left"/>
                          <w:rPr>
                            <w:sz w:val="20"/>
                          </w:rPr>
                        </w:pPr>
                        <w:r>
                          <w:rPr>
                            <w:sz w:val="20"/>
                          </w:rPr>
                          <w:t>（1）结转固定资产账面价值</w:t>
                        </w:r>
                      </w:p>
                    </w:txbxContent>
                  </v:textbox>
                </v:shape>
                <w10:wrap type="none"/>
                <w10:anchorlock/>
              </v:group>
            </w:pict>
          </mc:Fallback>
        </mc:AlternateContent>
      </w:r>
    </w:p>
    <w:p>
      <w:pPr>
        <w:spacing w:after="0"/>
        <w:sectPr>
          <w:pgSz w:w="11910" w:h="16160"/>
          <w:pgMar w:top="1680" w:right="360" w:bottom="860" w:left="760" w:header="0" w:footer="584" w:gutter="0"/>
        </w:sectPr>
      </w:pPr>
    </w:p>
    <w:p>
      <w:pPr>
        <w:pStyle w:val="6"/>
        <w:spacing w:before="1"/>
        <w:ind w:left="0"/>
        <w:rPr>
          <w:b/>
          <w:sz w:val="14"/>
        </w:rPr>
      </w:pPr>
    </w:p>
    <w:tbl>
      <w:tblPr>
        <w:tblStyle w:val="10"/>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0"/>
        <w:gridCol w:w="1897"/>
        <w:gridCol w:w="2553"/>
        <w:gridCol w:w="49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04" w:hRule="atLeast"/>
        </w:trPr>
        <w:tc>
          <w:tcPr>
            <w:tcW w:w="4950" w:type="dxa"/>
            <w:gridSpan w:val="3"/>
          </w:tcPr>
          <w:p>
            <w:pPr>
              <w:pStyle w:val="14"/>
              <w:spacing w:before="68"/>
              <w:ind w:left="508"/>
              <w:rPr>
                <w:sz w:val="20"/>
              </w:rPr>
            </w:pPr>
            <w:r>
              <w:rPr>
                <w:sz w:val="20"/>
              </w:rPr>
              <w:t>借：固定资产清理①</w:t>
            </w:r>
          </w:p>
          <w:p>
            <w:pPr>
              <w:pStyle w:val="14"/>
              <w:spacing w:before="70"/>
              <w:ind w:left="1108"/>
              <w:rPr>
                <w:sz w:val="20"/>
              </w:rPr>
            </w:pPr>
            <w:r>
              <w:rPr>
                <w:sz w:val="20"/>
              </w:rPr>
              <w:t>累计折旧</w:t>
            </w:r>
          </w:p>
          <w:p>
            <w:pPr>
              <w:pStyle w:val="14"/>
              <w:spacing w:before="6" w:line="320" w:lineRule="atLeast"/>
              <w:ind w:left="1108" w:right="2231"/>
              <w:rPr>
                <w:sz w:val="20"/>
              </w:rPr>
            </w:pPr>
            <w:r>
              <w:rPr>
                <w:sz w:val="20"/>
              </w:rPr>
              <w:t>固定资产减值准备贷：固定资产</w:t>
            </w:r>
          </w:p>
        </w:tc>
        <w:tc>
          <w:tcPr>
            <w:tcW w:w="4950" w:type="dxa"/>
          </w:tcPr>
          <w:p>
            <w:pPr>
              <w:pStyle w:val="14"/>
              <w:spacing w:before="68"/>
              <w:ind w:left="507"/>
              <w:rPr>
                <w:sz w:val="20"/>
              </w:rPr>
            </w:pPr>
            <w:r>
              <w:rPr>
                <w:w w:val="95"/>
                <w:sz w:val="20"/>
              </w:rPr>
              <w:t>借：固定资产清理②</w:t>
            </w:r>
          </w:p>
          <w:p>
            <w:pPr>
              <w:pStyle w:val="14"/>
              <w:spacing w:before="70" w:line="304" w:lineRule="auto"/>
              <w:ind w:left="1107" w:right="533" w:firstLine="100"/>
              <w:rPr>
                <w:sz w:val="20"/>
              </w:rPr>
            </w:pPr>
            <w:r>
              <w:rPr>
                <w:sz w:val="20"/>
              </w:rPr>
              <w:t>应交税费—应交增值税（进项税额</w:t>
            </w:r>
            <w:r>
              <w:rPr>
                <w:spacing w:val="-12"/>
                <w:sz w:val="20"/>
              </w:rPr>
              <w:t xml:space="preserve">） </w:t>
            </w: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950" w:type="dxa"/>
            <w:gridSpan w:val="3"/>
            <w:shd w:val="clear" w:color="auto" w:fill="C0C0C0"/>
          </w:tcPr>
          <w:p>
            <w:pPr>
              <w:pStyle w:val="14"/>
              <w:spacing w:before="69" w:line="237" w:lineRule="exact"/>
              <w:ind w:left="508"/>
              <w:rPr>
                <w:sz w:val="20"/>
              </w:rPr>
            </w:pPr>
            <w:r>
              <w:rPr>
                <w:sz w:val="20"/>
              </w:rPr>
              <w:t>（3）保险赔偿等</w:t>
            </w:r>
          </w:p>
        </w:tc>
        <w:tc>
          <w:tcPr>
            <w:tcW w:w="4950" w:type="dxa"/>
            <w:shd w:val="clear" w:color="auto" w:fill="C0C0C0"/>
          </w:tcPr>
          <w:p>
            <w:pPr>
              <w:pStyle w:val="14"/>
              <w:spacing w:before="69" w:line="237" w:lineRule="exact"/>
              <w:ind w:left="106"/>
              <w:rPr>
                <w:sz w:val="20"/>
              </w:rPr>
            </w:pPr>
            <w:r>
              <w:rPr>
                <w:sz w:val="20"/>
              </w:rPr>
              <w:t>（4）残料入库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950" w:type="dxa"/>
            <w:gridSpan w:val="3"/>
          </w:tcPr>
          <w:p>
            <w:pPr>
              <w:pStyle w:val="14"/>
              <w:spacing w:before="69"/>
              <w:ind w:left="508"/>
              <w:rPr>
                <w:sz w:val="20"/>
              </w:rPr>
            </w:pPr>
            <w:r>
              <w:rPr>
                <w:sz w:val="20"/>
              </w:rPr>
              <w:t>借：其他应收款</w:t>
            </w:r>
          </w:p>
          <w:p>
            <w:pPr>
              <w:pStyle w:val="14"/>
              <w:spacing w:before="70" w:line="236" w:lineRule="exact"/>
              <w:ind w:left="1108"/>
              <w:rPr>
                <w:sz w:val="20"/>
              </w:rPr>
            </w:pPr>
            <w:r>
              <w:rPr>
                <w:sz w:val="20"/>
              </w:rPr>
              <w:t>贷：固定资产清理③</w:t>
            </w:r>
          </w:p>
        </w:tc>
        <w:tc>
          <w:tcPr>
            <w:tcW w:w="4950" w:type="dxa"/>
          </w:tcPr>
          <w:p>
            <w:pPr>
              <w:pStyle w:val="14"/>
              <w:spacing w:before="69"/>
              <w:ind w:left="507"/>
              <w:rPr>
                <w:sz w:val="20"/>
              </w:rPr>
            </w:pPr>
            <w:r>
              <w:rPr>
                <w:sz w:val="20"/>
              </w:rPr>
              <w:t>借：原材料</w:t>
            </w:r>
          </w:p>
          <w:p>
            <w:pPr>
              <w:pStyle w:val="14"/>
              <w:spacing w:before="70" w:line="236" w:lineRule="exact"/>
              <w:ind w:left="1107"/>
              <w:rPr>
                <w:sz w:val="20"/>
              </w:rPr>
            </w:pPr>
            <w:r>
              <w:rPr>
                <w:sz w:val="20"/>
              </w:rPr>
              <w:t>贷：固定资产清理④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950" w:type="dxa"/>
            <w:gridSpan w:val="3"/>
            <w:shd w:val="clear" w:color="auto" w:fill="C0C0C0"/>
          </w:tcPr>
          <w:p>
            <w:pPr>
              <w:pStyle w:val="14"/>
              <w:spacing w:before="70" w:line="236" w:lineRule="exact"/>
              <w:ind w:left="508"/>
              <w:rPr>
                <w:sz w:val="20"/>
              </w:rPr>
            </w:pPr>
            <w:r>
              <w:rPr>
                <w:sz w:val="20"/>
              </w:rPr>
              <w:t>（5）收到出售固定资产的价款</w:t>
            </w:r>
          </w:p>
        </w:tc>
        <w:tc>
          <w:tcPr>
            <w:tcW w:w="4950" w:type="dxa"/>
            <w:shd w:val="clear" w:color="auto" w:fill="C0C0C0"/>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 w:hRule="atLeast"/>
        </w:trPr>
        <w:tc>
          <w:tcPr>
            <w:tcW w:w="4950" w:type="dxa"/>
            <w:gridSpan w:val="3"/>
          </w:tcPr>
          <w:p>
            <w:pPr>
              <w:pStyle w:val="14"/>
              <w:spacing w:before="70"/>
              <w:ind w:left="508"/>
              <w:rPr>
                <w:sz w:val="20"/>
              </w:rPr>
            </w:pPr>
            <w:r>
              <w:rPr>
                <w:sz w:val="20"/>
              </w:rPr>
              <w:t>借：银行存款</w:t>
            </w:r>
          </w:p>
          <w:p>
            <w:pPr>
              <w:pStyle w:val="14"/>
              <w:spacing w:before="70"/>
              <w:ind w:left="1108"/>
              <w:rPr>
                <w:sz w:val="20"/>
              </w:rPr>
            </w:pPr>
            <w:r>
              <w:rPr>
                <w:sz w:val="20"/>
              </w:rPr>
              <w:t>贷：固定资产清理⑤</w:t>
            </w:r>
          </w:p>
          <w:p>
            <w:pPr>
              <w:pStyle w:val="14"/>
              <w:spacing w:before="67" w:line="238" w:lineRule="exact"/>
              <w:ind w:left="1408"/>
              <w:rPr>
                <w:sz w:val="20"/>
              </w:rPr>
            </w:pPr>
            <w:r>
              <w:rPr>
                <w:sz w:val="20"/>
              </w:rPr>
              <w:t>应交税费—应交增值税（销项税额)</w:t>
            </w:r>
          </w:p>
        </w:tc>
        <w:tc>
          <w:tcPr>
            <w:tcW w:w="4950"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950" w:type="dxa"/>
            <w:gridSpan w:val="3"/>
            <w:shd w:val="clear" w:color="auto" w:fill="C0C0C0"/>
          </w:tcPr>
          <w:p>
            <w:pPr>
              <w:pStyle w:val="14"/>
              <w:spacing w:before="68" w:line="238" w:lineRule="exact"/>
              <w:ind w:left="107"/>
              <w:rPr>
                <w:sz w:val="20"/>
              </w:rPr>
            </w:pPr>
            <w:r>
              <w:rPr>
                <w:sz w:val="20"/>
              </w:rPr>
              <w:t>（6）结转清理净损益</w:t>
            </w:r>
          </w:p>
        </w:tc>
        <w:tc>
          <w:tcPr>
            <w:tcW w:w="4950" w:type="dxa"/>
            <w:vMerge w:val="restart"/>
          </w:tcPr>
          <w:p>
            <w:pPr>
              <w:pStyle w:val="14"/>
              <w:spacing w:before="68"/>
              <w:ind w:left="507"/>
              <w:rPr>
                <w:sz w:val="20"/>
              </w:rPr>
            </w:pPr>
            <w:r>
              <w:rPr>
                <w:sz w:val="20"/>
              </w:rPr>
              <w:t>②净收益</w:t>
            </w:r>
          </w:p>
          <w:p>
            <w:pPr>
              <w:pStyle w:val="14"/>
              <w:spacing w:before="70"/>
              <w:ind w:left="507"/>
              <w:rPr>
                <w:sz w:val="20"/>
              </w:rPr>
            </w:pPr>
            <w:r>
              <w:rPr>
                <w:sz w:val="20"/>
              </w:rPr>
              <w:t>借：固定资产清理</w:t>
            </w:r>
          </w:p>
          <w:p>
            <w:pPr>
              <w:pStyle w:val="14"/>
              <w:spacing w:before="70"/>
              <w:ind w:left="1107"/>
              <w:rPr>
                <w:sz w:val="20"/>
              </w:rPr>
            </w:pPr>
            <w:r>
              <w:rPr>
                <w:sz w:val="20"/>
              </w:rPr>
              <w:t>贷：营业外收入—非流动资产处置利得（③</w:t>
            </w:r>
          </w:p>
          <w:p>
            <w:pPr>
              <w:pStyle w:val="14"/>
              <w:spacing w:before="70"/>
              <w:ind w:left="106"/>
              <w:rPr>
                <w:sz w:val="20"/>
              </w:rPr>
            </w:pPr>
            <w:r>
              <w:rPr>
                <w:sz w:val="20"/>
              </w:rPr>
              <w:t>+④+⑤-①-②）</w:t>
            </w:r>
          </w:p>
          <w:p>
            <w:pPr>
              <w:pStyle w:val="14"/>
              <w:spacing w:before="70" w:line="246" w:lineRule="exact"/>
              <w:ind w:left="1306"/>
              <w:rPr>
                <w:sz w:val="20"/>
              </w:rPr>
            </w:pPr>
            <w:r>
              <w:rPr>
                <w:sz w:val="20"/>
              </w:rPr>
              <w:t>资产处置损益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3" w:hRule="atLeast"/>
        </w:trPr>
        <w:tc>
          <w:tcPr>
            <w:tcW w:w="4950" w:type="dxa"/>
            <w:gridSpan w:val="3"/>
          </w:tcPr>
          <w:p>
            <w:pPr>
              <w:pStyle w:val="14"/>
              <w:spacing w:before="68"/>
              <w:ind w:left="508"/>
              <w:rPr>
                <w:sz w:val="20"/>
              </w:rPr>
            </w:pPr>
            <w:r>
              <w:rPr>
                <w:sz w:val="20"/>
              </w:rPr>
              <w:t>①净损失</w:t>
            </w:r>
          </w:p>
          <w:p>
            <w:pPr>
              <w:pStyle w:val="14"/>
              <w:spacing w:before="70" w:line="304" w:lineRule="auto"/>
              <w:ind w:left="907" w:right="831" w:hanging="399"/>
              <w:rPr>
                <w:sz w:val="20"/>
              </w:rPr>
            </w:pPr>
            <w:r>
              <w:rPr>
                <w:sz w:val="20"/>
              </w:rPr>
              <w:t>借：营业外支出—非常损失（报废毁损） 资产处置损益（出售）</w:t>
            </w:r>
          </w:p>
          <w:p>
            <w:pPr>
              <w:pStyle w:val="14"/>
              <w:spacing w:before="2" w:line="237" w:lineRule="exact"/>
              <w:ind w:left="1108"/>
              <w:rPr>
                <w:sz w:val="20"/>
              </w:rPr>
            </w:pPr>
            <w:r>
              <w:rPr>
                <w:sz w:val="20"/>
              </w:rPr>
              <w:t>贷：固定资产清理（①+②-③-④-⑤）</w:t>
            </w:r>
          </w:p>
        </w:tc>
        <w:tc>
          <w:tcPr>
            <w:tcW w:w="495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500" w:type="dxa"/>
            <w:tcBorders>
              <w:left w:val="nil"/>
              <w:bottom w:val="nil"/>
              <w:right w:val="nil"/>
            </w:tcBorders>
          </w:tcPr>
          <w:p>
            <w:pPr>
              <w:pStyle w:val="14"/>
              <w:rPr>
                <w:rFonts w:ascii="Times New Roman"/>
                <w:sz w:val="18"/>
              </w:rPr>
            </w:pPr>
          </w:p>
        </w:tc>
        <w:tc>
          <w:tcPr>
            <w:tcW w:w="1897" w:type="dxa"/>
            <w:tcBorders>
              <w:left w:val="nil"/>
              <w:bottom w:val="nil"/>
              <w:right w:val="nil"/>
            </w:tcBorders>
            <w:shd w:val="clear" w:color="auto" w:fill="C0C0C0"/>
          </w:tcPr>
          <w:p>
            <w:pPr>
              <w:pStyle w:val="14"/>
              <w:spacing w:before="21" w:line="251" w:lineRule="exact"/>
              <w:ind w:left="4" w:right="-15"/>
              <w:rPr>
                <w:b/>
                <w:sz w:val="21"/>
              </w:rPr>
            </w:pPr>
            <w:bookmarkStart w:id="67" w:name="六、固定资产的清查"/>
            <w:bookmarkEnd w:id="67"/>
            <w:r>
              <w:rPr>
                <w:b/>
                <w:sz w:val="21"/>
              </w:rPr>
              <w:t>六、固定资产的清查</w:t>
            </w:r>
          </w:p>
        </w:tc>
        <w:tc>
          <w:tcPr>
            <w:tcW w:w="7503" w:type="dxa"/>
            <w:gridSpan w:val="2"/>
            <w:tcBorders>
              <w:left w:val="nil"/>
              <w:bottom w:val="nil"/>
              <w:right w:val="nil"/>
            </w:tcBorders>
          </w:tcPr>
          <w:p>
            <w:pPr>
              <w:pStyle w:val="14"/>
              <w:rPr>
                <w:rFonts w:ascii="Times New Roman"/>
                <w:sz w:val="18"/>
              </w:rPr>
            </w:pPr>
          </w:p>
        </w:tc>
      </w:tr>
    </w:tbl>
    <w:p>
      <w:pPr>
        <w:pStyle w:val="6"/>
        <w:spacing w:before="84"/>
      </w:pPr>
      <w:r>
        <w:rPr>
          <w:color w:val="FF0000"/>
          <w:u w:val="double" w:color="FF0000"/>
        </w:rPr>
        <w:t>企业应当定期或至少于每年年末对固定资产进行清查盘点，以保证固定资产核算的真实性。</w:t>
      </w:r>
    </w:p>
    <w:p>
      <w:pPr>
        <w:pStyle w:val="5"/>
      </w:pPr>
      <w:r>
        <w:t>（一）固定资产盘盈</w:t>
      </w:r>
    </w:p>
    <w:p>
      <w:pPr>
        <w:pStyle w:val="6"/>
        <w:spacing w:line="302" w:lineRule="auto"/>
        <w:ind w:left="322" w:right="722" w:firstLine="400"/>
      </w:pPr>
      <w:r>
        <w:drawing>
          <wp:anchor distT="0" distB="0" distL="0" distR="0" simplePos="0" relativeHeight="1024" behindDoc="0" locked="0" layoutInCell="1" allowOverlap="1">
            <wp:simplePos x="0" y="0"/>
            <wp:positionH relativeFrom="page">
              <wp:posOffset>2640965</wp:posOffset>
            </wp:positionH>
            <wp:positionV relativeFrom="paragraph">
              <wp:posOffset>534035</wp:posOffset>
            </wp:positionV>
            <wp:extent cx="2640330" cy="56070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png"/>
                    <pic:cNvPicPr>
                      <a:picLocks noChangeAspect="1"/>
                    </pic:cNvPicPr>
                  </pic:nvPicPr>
                  <pic:blipFill>
                    <a:blip r:embed="rId42" cstate="print"/>
                    <a:stretch>
                      <a:fillRect/>
                    </a:stretch>
                  </pic:blipFill>
                  <pic:spPr>
                    <a:xfrm>
                      <a:off x="0" y="0"/>
                      <a:ext cx="2640641" cy="561022"/>
                    </a:xfrm>
                    <a:prstGeom prst="rect">
                      <a:avLst/>
                    </a:prstGeom>
                  </pic:spPr>
                </pic:pic>
              </a:graphicData>
            </a:graphic>
          </wp:anchor>
        </w:drawing>
      </w:r>
      <w:r>
        <w:rPr>
          <w:spacing w:val="-5"/>
          <w:w w:val="95"/>
        </w:rPr>
        <w:t xml:space="preserve">财产清查中盘盈的固定资产，作为前期差错处理，在按管理权限报经批准处理前应先通过以前年度损益调整   </w:t>
      </w:r>
      <w:r>
        <w:rPr>
          <w:spacing w:val="-5"/>
        </w:rPr>
        <w:t>科目核算；盘盈的固定资产应按重置成本确定其入账价值。</w:t>
      </w:r>
    </w:p>
    <w:p>
      <w:pPr>
        <w:pStyle w:val="6"/>
        <w:spacing w:before="9"/>
        <w:ind w:left="0"/>
        <w:rPr>
          <w:sz w:val="16"/>
        </w:rPr>
      </w:pPr>
    </w:p>
    <w:p>
      <w:pPr>
        <w:pStyle w:val="5"/>
        <w:spacing w:before="0"/>
      </w:pPr>
      <w:r>
        <w:t>（二）固定资产盘亏</w:t>
      </w:r>
    </w:p>
    <w:p>
      <w:pPr>
        <w:pStyle w:val="6"/>
        <w:spacing w:before="3"/>
        <w:ind w:left="0"/>
        <w:rPr>
          <w:b/>
          <w:sz w:val="14"/>
        </w:rPr>
      </w:pPr>
      <w:r>
        <w:drawing>
          <wp:anchor distT="0" distB="0" distL="0" distR="0" simplePos="0" relativeHeight="1024" behindDoc="0" locked="0" layoutInCell="1" allowOverlap="1">
            <wp:simplePos x="0" y="0"/>
            <wp:positionH relativeFrom="page">
              <wp:posOffset>2739390</wp:posOffset>
            </wp:positionH>
            <wp:positionV relativeFrom="paragraph">
              <wp:posOffset>140970</wp:posOffset>
            </wp:positionV>
            <wp:extent cx="2383790" cy="938530"/>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png"/>
                    <pic:cNvPicPr>
                      <a:picLocks noChangeAspect="1"/>
                    </pic:cNvPicPr>
                  </pic:nvPicPr>
                  <pic:blipFill>
                    <a:blip r:embed="rId43" cstate="print"/>
                    <a:stretch>
                      <a:fillRect/>
                    </a:stretch>
                  </pic:blipFill>
                  <pic:spPr>
                    <a:xfrm>
                      <a:off x="0" y="0"/>
                      <a:ext cx="2383868" cy="938784"/>
                    </a:xfrm>
                    <a:prstGeom prst="rect">
                      <a:avLst/>
                    </a:prstGeom>
                  </pic:spPr>
                </pic:pic>
              </a:graphicData>
            </a:graphic>
          </wp:anchor>
        </w:drawing>
      </w:r>
    </w:p>
    <w:p>
      <w:pPr>
        <w:spacing w:before="165"/>
        <w:ind w:left="742" w:right="0" w:firstLine="0"/>
        <w:jc w:val="left"/>
        <w:rPr>
          <w:b/>
          <w:sz w:val="21"/>
        </w:rPr>
      </w:pPr>
      <w:bookmarkStart w:id="68" w:name="七、固定资产的减值"/>
      <w:bookmarkEnd w:id="68"/>
      <w:r>
        <w:rPr>
          <w:b/>
          <w:sz w:val="21"/>
          <w:shd w:val="clear" w:color="auto" w:fill="C0C0C0"/>
        </w:rPr>
        <w:t>七、固定资产的减值</w:t>
      </w:r>
    </w:p>
    <w:p>
      <w:pPr>
        <w:pStyle w:val="6"/>
        <w:spacing w:before="91" w:line="304" w:lineRule="auto"/>
        <w:ind w:left="322" w:right="643" w:firstLine="400"/>
      </w:pPr>
      <w:r>
        <w:rPr>
          <w:w w:val="95"/>
        </w:rPr>
        <w:t>资产负债表日，</w:t>
      </w:r>
      <w:r>
        <w:rPr>
          <w:b/>
          <w:color w:val="00AFEF"/>
          <w:w w:val="95"/>
          <w:u w:val="single" w:color="00AFEF"/>
        </w:rPr>
        <w:t>存在可能发生减值迹象时，</w:t>
      </w:r>
      <w:r>
        <w:rPr>
          <w:w w:val="95"/>
        </w:rPr>
        <w:t xml:space="preserve">其可收回金额低于账面价值的，应当将账面价值减记至可收回金   </w:t>
      </w:r>
      <w:r>
        <w:t>额，减记的金额确认减值损失，计入当期损益，同时计提减值准备。</w:t>
      </w:r>
    </w:p>
    <w:p>
      <w:pPr>
        <w:pStyle w:val="6"/>
        <w:spacing w:before="2" w:line="304" w:lineRule="auto"/>
        <w:ind w:left="1123" w:right="6062" w:hanging="401"/>
      </w:pPr>
      <w:r>
        <w:t>借：资产减值损失—计提的固定资产减值准备贷：固定资产减值准备</w:t>
      </w:r>
    </w:p>
    <w:p>
      <w:pPr>
        <w:pStyle w:val="5"/>
        <w:spacing w:before="0" w:line="256" w:lineRule="exact"/>
        <w:rPr>
          <w:b w:val="0"/>
        </w:rPr>
      </w:pPr>
      <w:r>
        <w:rPr>
          <w:b w:val="0"/>
        </w:rPr>
        <w:t>【注意】</w:t>
      </w:r>
      <w:r>
        <w:rPr>
          <w:color w:val="00AFEF"/>
          <w:u w:val="single" w:color="00AFEF"/>
        </w:rPr>
        <w:t>固定资产减值损失一经确认，在以后会计期间不得转回</w:t>
      </w:r>
      <w:r>
        <w:rPr>
          <w:b w:val="0"/>
        </w:rPr>
        <w:t>。</w:t>
      </w:r>
    </w:p>
    <w:p>
      <w:pPr>
        <w:spacing w:after="0" w:line="256" w:lineRule="exact"/>
        <w:sectPr>
          <w:pgSz w:w="11910" w:h="16160"/>
          <w:pgMar w:top="1680" w:right="360" w:bottom="860" w:left="760" w:header="0" w:footer="584" w:gutter="0"/>
        </w:sectPr>
      </w:pPr>
    </w:p>
    <w:p>
      <w:pPr>
        <w:pStyle w:val="6"/>
        <w:spacing w:before="0"/>
        <w:ind w:left="0"/>
      </w:pPr>
    </w:p>
    <w:p>
      <w:pPr>
        <w:pStyle w:val="6"/>
        <w:spacing w:before="4"/>
        <w:ind w:left="0"/>
        <w:rPr>
          <w:sz w:val="25"/>
        </w:rPr>
      </w:pPr>
    </w:p>
    <w:p>
      <w:pPr>
        <w:pStyle w:val="3"/>
        <w:tabs>
          <w:tab w:val="left" w:pos="839"/>
        </w:tabs>
        <w:spacing w:before="44"/>
        <w:ind w:left="0" w:right="399"/>
        <w:jc w:val="center"/>
        <w:rPr>
          <w:rFonts w:hint="eastAsia" w:ascii="微软雅黑" w:eastAsia="微软雅黑"/>
        </w:rPr>
      </w:pPr>
      <w:bookmarkStart w:id="69" w:name="_bookmark14"/>
      <w:bookmarkEnd w:id="69"/>
      <w:bookmarkStart w:id="70" w:name="第六节  无形资产和长期待摊费用"/>
      <w:bookmarkEnd w:id="70"/>
      <w:r>
        <w:rPr>
          <w:rFonts w:hint="eastAsia" w:ascii="微软雅黑" w:eastAsia="微软雅黑"/>
          <w:shd w:val="clear" w:color="auto" w:fill="FFFF00"/>
        </w:rPr>
        <w:t>第六节</w:t>
      </w:r>
      <w:r>
        <w:rPr>
          <w:rFonts w:hint="eastAsia" w:ascii="微软雅黑" w:eastAsia="微软雅黑"/>
          <w:shd w:val="clear" w:color="auto" w:fill="FFFF00"/>
        </w:rPr>
        <w:tab/>
      </w:r>
      <w:r>
        <w:rPr>
          <w:rFonts w:hint="eastAsia" w:ascii="微软雅黑" w:eastAsia="微软雅黑"/>
          <w:shd w:val="clear" w:color="auto" w:fill="FFFF00"/>
        </w:rPr>
        <w:t>无形资产和长期待摊费用</w:t>
      </w:r>
    </w:p>
    <w:p>
      <w:pPr>
        <w:spacing w:before="139"/>
        <w:ind w:left="742" w:right="0" w:firstLine="0"/>
        <w:jc w:val="left"/>
        <w:rPr>
          <w:b/>
          <w:sz w:val="21"/>
        </w:rPr>
      </w:pPr>
      <w:bookmarkStart w:id="71" w:name="一、无形资产"/>
      <w:bookmarkEnd w:id="71"/>
      <w:r>
        <w:rPr>
          <w:b/>
          <w:sz w:val="21"/>
          <w:shd w:val="clear" w:color="auto" w:fill="C0C0C0"/>
        </w:rPr>
        <w:t>一、无形资产</w:t>
      </w:r>
    </w:p>
    <w:p>
      <w:pPr>
        <w:pStyle w:val="5"/>
        <w:spacing w:before="91"/>
      </w:pPr>
      <w:r>
        <w:t>（一）无形资产概述</w:t>
      </w:r>
    </w:p>
    <w:p>
      <w:pPr>
        <w:pStyle w:val="13"/>
        <w:numPr>
          <w:ilvl w:val="0"/>
          <w:numId w:val="76"/>
        </w:numPr>
        <w:tabs>
          <w:tab w:val="left" w:pos="925"/>
        </w:tabs>
        <w:spacing w:before="70" w:after="0" w:line="240" w:lineRule="auto"/>
        <w:ind w:left="924" w:right="0" w:hanging="202"/>
        <w:jc w:val="left"/>
        <w:rPr>
          <w:sz w:val="20"/>
        </w:rPr>
      </w:pPr>
      <w:r>
        <w:rPr>
          <w:sz w:val="20"/>
        </w:rPr>
        <w:t>无形资产是</w:t>
      </w:r>
      <w:r>
        <w:rPr>
          <w:b/>
          <w:color w:val="00AFEF"/>
          <w:sz w:val="20"/>
          <w:u w:val="single" w:color="00AFEF"/>
        </w:rPr>
        <w:t>指企业拥有或者控制的没有实物形态</w:t>
      </w:r>
      <w:r>
        <w:rPr>
          <w:sz w:val="20"/>
        </w:rPr>
        <w:t>的</w:t>
      </w:r>
      <w:r>
        <w:rPr>
          <w:color w:val="FF0000"/>
          <w:sz w:val="20"/>
          <w:u w:val="double" w:color="FF0000"/>
        </w:rPr>
        <w:t>可辨认非货币性资产</w:t>
      </w:r>
      <w:r>
        <w:rPr>
          <w:sz w:val="20"/>
        </w:rPr>
        <w:t>。</w:t>
      </w:r>
    </w:p>
    <w:p>
      <w:pPr>
        <w:pStyle w:val="13"/>
        <w:numPr>
          <w:ilvl w:val="0"/>
          <w:numId w:val="76"/>
        </w:numPr>
        <w:tabs>
          <w:tab w:val="left" w:pos="925"/>
        </w:tabs>
        <w:spacing w:before="71" w:after="0" w:line="240" w:lineRule="auto"/>
        <w:ind w:left="924" w:right="0" w:hanging="202"/>
        <w:jc w:val="left"/>
        <w:rPr>
          <w:sz w:val="20"/>
        </w:rPr>
      </w:pPr>
      <w:r>
        <w:rPr>
          <w:spacing w:val="-33"/>
          <w:w w:val="99"/>
          <w:sz w:val="20"/>
        </w:rPr>
        <w:t>特征：</w:t>
      </w:r>
      <w:r>
        <w:rPr>
          <w:color w:val="FF0000"/>
          <w:w w:val="99"/>
          <w:sz w:val="20"/>
          <w:u w:val="double" w:color="FF0000"/>
        </w:rPr>
        <w:t>（</w:t>
      </w:r>
      <w:r>
        <w:rPr>
          <w:color w:val="FF0000"/>
          <w:spacing w:val="1"/>
          <w:w w:val="99"/>
          <w:sz w:val="20"/>
          <w:u w:val="double" w:color="FF0000"/>
        </w:rPr>
        <w:t>1</w:t>
      </w:r>
      <w:r>
        <w:rPr>
          <w:color w:val="FF0000"/>
          <w:w w:val="99"/>
          <w:sz w:val="20"/>
          <w:u w:val="double" w:color="FF0000"/>
        </w:rPr>
        <w:t>）不具有实物形态（</w:t>
      </w:r>
      <w:r>
        <w:rPr>
          <w:color w:val="FF0000"/>
          <w:spacing w:val="-2"/>
          <w:w w:val="99"/>
          <w:sz w:val="20"/>
          <w:u w:val="double" w:color="FF0000"/>
        </w:rPr>
        <w:t>2</w:t>
      </w:r>
      <w:r>
        <w:rPr>
          <w:color w:val="FF0000"/>
          <w:w w:val="99"/>
          <w:sz w:val="20"/>
          <w:u w:val="double" w:color="FF0000"/>
        </w:rPr>
        <w:t>）具有可辨认性</w:t>
      </w:r>
      <w:r>
        <w:rPr>
          <w:color w:val="FF0000"/>
          <w:spacing w:val="2"/>
          <w:w w:val="99"/>
          <w:sz w:val="20"/>
          <w:u w:val="double" w:color="FF0000"/>
        </w:rPr>
        <w:t>（</w:t>
      </w:r>
      <w:r>
        <w:rPr>
          <w:color w:val="FF0000"/>
          <w:spacing w:val="1"/>
          <w:w w:val="99"/>
          <w:sz w:val="20"/>
          <w:u w:val="double" w:color="FF0000"/>
        </w:rPr>
        <w:t>3</w:t>
      </w:r>
      <w:r>
        <w:rPr>
          <w:color w:val="FF0000"/>
          <w:w w:val="99"/>
          <w:sz w:val="20"/>
          <w:u w:val="double" w:color="FF0000"/>
        </w:rPr>
        <w:t>）属于非货币性长期资产</w:t>
      </w:r>
    </w:p>
    <w:p>
      <w:pPr>
        <w:pStyle w:val="13"/>
        <w:numPr>
          <w:ilvl w:val="0"/>
          <w:numId w:val="76"/>
        </w:numPr>
        <w:tabs>
          <w:tab w:val="left" w:pos="925"/>
        </w:tabs>
        <w:spacing w:before="70" w:after="0" w:line="240" w:lineRule="auto"/>
        <w:ind w:left="924" w:right="0" w:hanging="202"/>
        <w:jc w:val="left"/>
        <w:rPr>
          <w:sz w:val="20"/>
        </w:rPr>
      </w:pPr>
      <w:r>
        <w:rPr>
          <w:sz w:val="20"/>
        </w:rPr>
        <w:t>无形资产的内容：无形资产主要包括</w:t>
      </w:r>
      <w:r>
        <w:rPr>
          <w:b/>
          <w:color w:val="00AFEF"/>
          <w:sz w:val="20"/>
          <w:u w:val="single" w:color="00AFEF"/>
        </w:rPr>
        <w:t>专利权、非专利技术、商标权、著作权、土地使用权、特许权等</w:t>
      </w:r>
      <w:r>
        <w:rPr>
          <w:sz w:val="20"/>
        </w:rPr>
        <w:t>。</w:t>
      </w:r>
    </w:p>
    <w:p>
      <w:pPr>
        <w:pStyle w:val="6"/>
        <w:spacing w:before="67"/>
      </w:pPr>
      <w:r>
        <w:t>【注意】商誉的存在无法与企业自身分离，不具有可辨认性，</w:t>
      </w:r>
      <w:r>
        <w:rPr>
          <w:color w:val="FF0000"/>
          <w:u w:val="double" w:color="FF0000"/>
        </w:rPr>
        <w:t>故商誉不属于无形资产</w:t>
      </w:r>
      <w:r>
        <w:t>。</w:t>
      </w:r>
    </w:p>
    <w:p>
      <w:pPr>
        <w:pStyle w:val="5"/>
        <w:spacing w:before="71"/>
      </w:pPr>
      <w:r>
        <w:t>（二）无形资产的账务处理</w:t>
      </w:r>
    </w:p>
    <w:p>
      <w:pPr>
        <w:pStyle w:val="13"/>
        <w:numPr>
          <w:ilvl w:val="0"/>
          <w:numId w:val="77"/>
        </w:numPr>
        <w:tabs>
          <w:tab w:val="left" w:pos="925"/>
        </w:tabs>
        <w:spacing w:before="70" w:after="0" w:line="304" w:lineRule="auto"/>
        <w:ind w:left="723" w:right="3249" w:firstLine="0"/>
        <w:jc w:val="left"/>
        <w:rPr>
          <w:b/>
          <w:sz w:val="20"/>
        </w:rPr>
      </w:pPr>
      <w:r>
        <w:rPr>
          <w:b/>
          <w:w w:val="95"/>
          <w:sz w:val="20"/>
        </w:rPr>
        <w:t>无形资产核算应设置的会计科目：</w:t>
      </w:r>
      <w:r>
        <w:rPr>
          <w:w w:val="95"/>
          <w:sz w:val="20"/>
        </w:rPr>
        <w:t xml:space="preserve">无形资产、累计摊销、无形资产减值准备  </w:t>
      </w:r>
      <w:r>
        <w:rPr>
          <w:b/>
          <w:color w:val="00AFEF"/>
          <w:sz w:val="20"/>
          <w:u w:val="single" w:color="00AFEF"/>
        </w:rPr>
        <w:t>无形资产账面价值=无形资产账面原值-累计摊销-无形资产减值准备</w:t>
      </w:r>
    </w:p>
    <w:p>
      <w:pPr>
        <w:pStyle w:val="5"/>
        <w:numPr>
          <w:ilvl w:val="0"/>
          <w:numId w:val="77"/>
        </w:numPr>
        <w:tabs>
          <w:tab w:val="left" w:pos="925"/>
        </w:tabs>
        <w:spacing w:before="2" w:after="0" w:line="240" w:lineRule="auto"/>
        <w:ind w:left="924" w:right="0" w:hanging="202"/>
        <w:jc w:val="left"/>
      </w:pPr>
      <w:r>
        <w:t>无形资产的取得</w:t>
      </w:r>
    </w:p>
    <w:p>
      <w:pPr>
        <w:pStyle w:val="6"/>
      </w:pPr>
      <w:r>
        <w:t>无形资产应当按照</w:t>
      </w:r>
      <w:r>
        <w:rPr>
          <w:color w:val="FF0000"/>
          <w:u w:val="double" w:color="FF0000"/>
        </w:rPr>
        <w:t>成本</w:t>
      </w:r>
      <w:r>
        <w:t>进行初始计量，企业取得无形资产的方式主要有外购、直接研究开发等。</w:t>
      </w:r>
    </w:p>
    <w:p>
      <w:pPr>
        <w:pStyle w:val="13"/>
        <w:numPr>
          <w:ilvl w:val="0"/>
          <w:numId w:val="78"/>
        </w:numPr>
        <w:tabs>
          <w:tab w:val="left" w:pos="1224"/>
        </w:tabs>
        <w:spacing w:before="68" w:after="0" w:line="240" w:lineRule="auto"/>
        <w:ind w:left="1223" w:right="0" w:hanging="501"/>
        <w:jc w:val="left"/>
        <w:rPr>
          <w:sz w:val="20"/>
        </w:rPr>
      </w:pPr>
      <w:r>
        <w:rPr>
          <w:sz w:val="20"/>
        </w:rPr>
        <w:t>外购无形资产（同存货、固定资产）</w:t>
      </w:r>
    </w:p>
    <w:p>
      <w:pPr>
        <w:pStyle w:val="6"/>
      </w:pPr>
      <w:r>
        <w:t>外购的无形资产，其成本包括</w:t>
      </w:r>
      <w:r>
        <w:rPr>
          <w:color w:val="FF0000"/>
          <w:u w:val="double" w:color="FF0000"/>
        </w:rPr>
        <w:t>购买价款、相关税费以及直接归属于使该项资产达到预定用途所发生的其他支</w:t>
      </w:r>
    </w:p>
    <w:p>
      <w:pPr>
        <w:pStyle w:val="6"/>
        <w:ind w:left="322"/>
      </w:pPr>
      <w:r>
        <w:rPr>
          <w:color w:val="FF0000"/>
          <w:u w:val="double" w:color="FF0000"/>
        </w:rPr>
        <w:t>出</w:t>
      </w:r>
      <w:r>
        <w:t>。</w:t>
      </w:r>
    </w:p>
    <w:p>
      <w:pPr>
        <w:pStyle w:val="13"/>
        <w:numPr>
          <w:ilvl w:val="0"/>
          <w:numId w:val="78"/>
        </w:numPr>
        <w:tabs>
          <w:tab w:val="left" w:pos="1224"/>
        </w:tabs>
        <w:spacing w:before="70" w:after="0" w:line="240" w:lineRule="auto"/>
        <w:ind w:left="1223" w:right="0" w:hanging="501"/>
        <w:jc w:val="left"/>
        <w:rPr>
          <w:sz w:val="20"/>
        </w:rPr>
      </w:pPr>
      <w:r>
        <w:drawing>
          <wp:anchor distT="0" distB="0" distL="0" distR="0" simplePos="0" relativeHeight="1024" behindDoc="0" locked="0" layoutInCell="1" allowOverlap="1">
            <wp:simplePos x="0" y="0"/>
            <wp:positionH relativeFrom="page">
              <wp:posOffset>2675890</wp:posOffset>
            </wp:positionH>
            <wp:positionV relativeFrom="paragraph">
              <wp:posOffset>272415</wp:posOffset>
            </wp:positionV>
            <wp:extent cx="2456815" cy="873125"/>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png"/>
                    <pic:cNvPicPr>
                      <a:picLocks noChangeAspect="1"/>
                    </pic:cNvPicPr>
                  </pic:nvPicPr>
                  <pic:blipFill>
                    <a:blip r:embed="rId44" cstate="print"/>
                    <a:stretch>
                      <a:fillRect/>
                    </a:stretch>
                  </pic:blipFill>
                  <pic:spPr>
                    <a:xfrm>
                      <a:off x="0" y="0"/>
                      <a:ext cx="2456660" cy="873251"/>
                    </a:xfrm>
                    <a:prstGeom prst="rect">
                      <a:avLst/>
                    </a:prstGeom>
                  </pic:spPr>
                </pic:pic>
              </a:graphicData>
            </a:graphic>
          </wp:anchor>
        </w:drawing>
      </w:r>
      <w:r>
        <w:rPr>
          <w:sz w:val="20"/>
        </w:rPr>
        <w:t>自行研究开发无形资产：企业内部研究开发项目所发生的支出应区分</w:t>
      </w:r>
      <w:r>
        <w:rPr>
          <w:color w:val="FF0000"/>
          <w:sz w:val="20"/>
          <w:u w:val="double" w:color="FF0000"/>
        </w:rPr>
        <w:t>研究阶段支出和开发阶段支出</w:t>
      </w:r>
      <w:r>
        <w:rPr>
          <w:sz w:val="20"/>
        </w:rPr>
        <w:t>。</w:t>
      </w:r>
    </w:p>
    <w:p>
      <w:pPr>
        <w:pStyle w:val="6"/>
        <w:spacing w:before="1"/>
        <w:ind w:left="0"/>
        <w:rPr>
          <w:sz w:val="4"/>
        </w:rPr>
      </w:pPr>
    </w:p>
    <w:p>
      <w:pPr>
        <w:pStyle w:val="6"/>
        <w:spacing w:before="0"/>
        <w:ind w:left="210"/>
      </w:pPr>
      <w:r>
        <mc:AlternateContent>
          <mc:Choice Requires="wpg">
            <w:drawing>
              <wp:inline distT="0" distB="0" distL="114300" distR="114300">
                <wp:extent cx="6479540" cy="1461770"/>
                <wp:effectExtent l="1905" t="1905" r="14605" b="3175"/>
                <wp:docPr id="188" name="组合 176"/>
                <wp:cNvGraphicFramePr/>
                <a:graphic xmlns:a="http://schemas.openxmlformats.org/drawingml/2006/main">
                  <a:graphicData uri="http://schemas.microsoft.com/office/word/2010/wordprocessingGroup">
                    <wpg:wgp>
                      <wpg:cNvGrpSpPr/>
                      <wpg:grpSpPr>
                        <a:xfrm>
                          <a:off x="0" y="0"/>
                          <a:ext cx="6479540" cy="1461770"/>
                          <a:chOff x="0" y="0"/>
                          <a:chExt cx="10204" cy="2302"/>
                        </a:xfrm>
                      </wpg:grpSpPr>
                      <wps:wsp>
                        <wps:cNvPr id="186" name="文本框 177"/>
                        <wps:cNvSpPr txBox="1"/>
                        <wps:spPr>
                          <a:xfrm>
                            <a:off x="5101" y="4"/>
                            <a:ext cx="5097" cy="2292"/>
                          </a:xfrm>
                          <a:prstGeom prst="rect">
                            <a:avLst/>
                          </a:prstGeom>
                          <a:noFill/>
                          <a:ln w="6096" cap="flat" cmpd="sng">
                            <a:solidFill>
                              <a:srgbClr val="000000"/>
                            </a:solidFill>
                            <a:prstDash val="solid"/>
                            <a:miter/>
                            <a:headEnd type="none" w="med" len="med"/>
                            <a:tailEnd type="none" w="med" len="med"/>
                          </a:ln>
                        </wps:spPr>
                        <wps:txbx>
                          <w:txbxContent>
                            <w:p>
                              <w:pPr>
                                <w:spacing w:before="69"/>
                                <w:ind w:left="503" w:right="0" w:firstLine="0"/>
                                <w:jc w:val="left"/>
                                <w:rPr>
                                  <w:sz w:val="20"/>
                                </w:rPr>
                              </w:pPr>
                              <w:r>
                                <w:rPr>
                                  <w:sz w:val="20"/>
                                </w:rPr>
                                <w:t>②期末</w:t>
                              </w:r>
                            </w:p>
                            <w:p>
                              <w:pPr>
                                <w:spacing w:before="70"/>
                                <w:ind w:left="503" w:right="0" w:firstLine="0"/>
                                <w:jc w:val="left"/>
                                <w:rPr>
                                  <w:sz w:val="20"/>
                                </w:rPr>
                              </w:pPr>
                              <w:r>
                                <w:rPr>
                                  <w:sz w:val="20"/>
                                </w:rPr>
                                <w:t>借：管理费用</w:t>
                              </w:r>
                            </w:p>
                            <w:p>
                              <w:pPr>
                                <w:spacing w:before="71"/>
                                <w:ind w:left="1103" w:right="0" w:firstLine="0"/>
                                <w:jc w:val="left"/>
                                <w:rPr>
                                  <w:sz w:val="20"/>
                                </w:rPr>
                              </w:pPr>
                              <w:r>
                                <w:rPr>
                                  <w:sz w:val="20"/>
                                </w:rPr>
                                <w:t>贷：研发支出—费用化支出</w:t>
                              </w:r>
                            </w:p>
                            <w:p>
                              <w:pPr>
                                <w:spacing w:before="67" w:line="304" w:lineRule="auto"/>
                                <w:ind w:left="503" w:right="583" w:firstLine="0"/>
                                <w:jc w:val="left"/>
                                <w:rPr>
                                  <w:sz w:val="20"/>
                                </w:rPr>
                              </w:pPr>
                              <w:r>
                                <w:rPr>
                                  <w:sz w:val="20"/>
                                </w:rPr>
                                <w:t>③研究开发项目达到预定用途形成无形资产的借：无形资产</w:t>
                              </w:r>
                            </w:p>
                            <w:p>
                              <w:pPr>
                                <w:spacing w:before="2"/>
                                <w:ind w:left="1103" w:right="0" w:firstLine="0"/>
                                <w:jc w:val="left"/>
                                <w:rPr>
                                  <w:sz w:val="20"/>
                                </w:rPr>
                              </w:pPr>
                              <w:r>
                                <w:rPr>
                                  <w:sz w:val="20"/>
                                </w:rPr>
                                <w:t>贷：研发支出—资本化支出</w:t>
                              </w:r>
                            </w:p>
                          </w:txbxContent>
                        </wps:txbx>
                        <wps:bodyPr lIns="0" tIns="0" rIns="0" bIns="0" upright="1"/>
                      </wps:wsp>
                      <wps:wsp>
                        <wps:cNvPr id="187" name="文本框 178"/>
                        <wps:cNvSpPr txBox="1"/>
                        <wps:spPr>
                          <a:xfrm>
                            <a:off x="4" y="4"/>
                            <a:ext cx="5097" cy="2292"/>
                          </a:xfrm>
                          <a:prstGeom prst="rect">
                            <a:avLst/>
                          </a:prstGeom>
                          <a:noFill/>
                          <a:ln w="6096" cap="flat" cmpd="sng">
                            <a:solidFill>
                              <a:srgbClr val="000000"/>
                            </a:solidFill>
                            <a:prstDash val="solid"/>
                            <a:miter/>
                            <a:headEnd type="none" w="med" len="med"/>
                            <a:tailEnd type="none" w="med" len="med"/>
                          </a:ln>
                        </wps:spPr>
                        <wps:txbx>
                          <w:txbxContent>
                            <w:p>
                              <w:pPr>
                                <w:spacing w:before="69"/>
                                <w:ind w:left="503" w:right="0" w:firstLine="0"/>
                                <w:jc w:val="left"/>
                                <w:rPr>
                                  <w:sz w:val="20"/>
                                </w:rPr>
                              </w:pPr>
                              <w:r>
                                <w:rPr>
                                  <w:sz w:val="20"/>
                                </w:rPr>
                                <w:t>①发生研发费用</w:t>
                              </w:r>
                            </w:p>
                            <w:p>
                              <w:pPr>
                                <w:spacing w:before="70"/>
                                <w:ind w:left="503" w:right="0" w:firstLine="0"/>
                                <w:jc w:val="left"/>
                                <w:rPr>
                                  <w:sz w:val="20"/>
                                </w:rPr>
                              </w:pPr>
                              <w:r>
                                <w:rPr>
                                  <w:sz w:val="20"/>
                                </w:rPr>
                                <w:t>借：研发支出—费用化支出（不满足资本化条件）</w:t>
                              </w:r>
                            </w:p>
                            <w:p>
                              <w:pPr>
                                <w:spacing w:before="71" w:line="302" w:lineRule="auto"/>
                                <w:ind w:left="904" w:right="183" w:firstLine="799"/>
                                <w:jc w:val="left"/>
                                <w:rPr>
                                  <w:sz w:val="20"/>
                                </w:rPr>
                              </w:pPr>
                              <w:r>
                                <w:rPr>
                                  <w:sz w:val="20"/>
                                </w:rPr>
                                <w:t>—资本化支出（满足资本化条件的） 应交税费—应交增值税（进项税额）</w:t>
                              </w:r>
                            </w:p>
                            <w:p>
                              <w:pPr>
                                <w:spacing w:before="4"/>
                                <w:ind w:left="1103" w:right="0" w:firstLine="0"/>
                                <w:jc w:val="left"/>
                                <w:rPr>
                                  <w:sz w:val="20"/>
                                </w:rPr>
                              </w:pPr>
                              <w:r>
                                <w:rPr>
                                  <w:sz w:val="20"/>
                                </w:rPr>
                                <w:t>贷：原材料</w:t>
                              </w:r>
                            </w:p>
                            <w:p>
                              <w:pPr>
                                <w:spacing w:before="70"/>
                                <w:ind w:left="1804" w:right="0" w:firstLine="0"/>
                                <w:jc w:val="left"/>
                                <w:rPr>
                                  <w:sz w:val="20"/>
                                </w:rPr>
                              </w:pPr>
                              <w:r>
                                <w:rPr>
                                  <w:sz w:val="20"/>
                                </w:rPr>
                                <w:t>银行存款</w:t>
                              </w:r>
                            </w:p>
                            <w:p>
                              <w:pPr>
                                <w:spacing w:before="71"/>
                                <w:ind w:left="1804" w:right="0" w:firstLine="0"/>
                                <w:jc w:val="left"/>
                                <w:rPr>
                                  <w:sz w:val="20"/>
                                </w:rPr>
                              </w:pPr>
                              <w:r>
                                <w:rPr>
                                  <w:sz w:val="20"/>
                                </w:rPr>
                                <w:t>应付职工薪酬</w:t>
                              </w:r>
                            </w:p>
                          </w:txbxContent>
                        </wps:txbx>
                        <wps:bodyPr lIns="0" tIns="0" rIns="0" bIns="0" upright="1"/>
                      </wps:wsp>
                    </wpg:wgp>
                  </a:graphicData>
                </a:graphic>
              </wp:inline>
            </w:drawing>
          </mc:Choice>
          <mc:Fallback>
            <w:pict>
              <v:group id="组合 176" o:spid="_x0000_s1026" o:spt="203" style="height:115.1pt;width:510.2pt;" coordsize="10204,2302" o:gfxdata="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PwwmTPWAAAABgEA&#10;AA8AAAAAAAAAAQAgAAAAIgAAAGRycy9kb3ducmV2LnhtbFBLAQIUABQAAAAIAIdO4kD0l+CrjgIA&#10;AGcHAAAOAAAAAAAAAAEAIAAAACUBAABkcnMvZTJvRG9jLnhtbFBLBQYAAAAABgAGAFkBAAAlBgAA&#10;AAA=&#10;">
                <o:lock v:ext="edit" aspectratio="f"/>
                <v:shape id="文本框 177" o:spid="_x0000_s1026" o:spt="202" type="#_x0000_t202" style="position:absolute;left:5101;top:4;height:2292;width:5097;" filled="f" stroked="t" coordsize="21600,21600" o:gfxdata="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1LTR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9"/>
                          <w:ind w:left="503" w:right="0" w:firstLine="0"/>
                          <w:jc w:val="left"/>
                          <w:rPr>
                            <w:sz w:val="20"/>
                          </w:rPr>
                        </w:pPr>
                        <w:r>
                          <w:rPr>
                            <w:sz w:val="20"/>
                          </w:rPr>
                          <w:t>②期末</w:t>
                        </w:r>
                      </w:p>
                      <w:p>
                        <w:pPr>
                          <w:spacing w:before="70"/>
                          <w:ind w:left="503" w:right="0" w:firstLine="0"/>
                          <w:jc w:val="left"/>
                          <w:rPr>
                            <w:sz w:val="20"/>
                          </w:rPr>
                        </w:pPr>
                        <w:r>
                          <w:rPr>
                            <w:sz w:val="20"/>
                          </w:rPr>
                          <w:t>借：管理费用</w:t>
                        </w:r>
                      </w:p>
                      <w:p>
                        <w:pPr>
                          <w:spacing w:before="71"/>
                          <w:ind w:left="1103" w:right="0" w:firstLine="0"/>
                          <w:jc w:val="left"/>
                          <w:rPr>
                            <w:sz w:val="20"/>
                          </w:rPr>
                        </w:pPr>
                        <w:r>
                          <w:rPr>
                            <w:sz w:val="20"/>
                          </w:rPr>
                          <w:t>贷：研发支出—费用化支出</w:t>
                        </w:r>
                      </w:p>
                      <w:p>
                        <w:pPr>
                          <w:spacing w:before="67" w:line="304" w:lineRule="auto"/>
                          <w:ind w:left="503" w:right="583" w:firstLine="0"/>
                          <w:jc w:val="left"/>
                          <w:rPr>
                            <w:sz w:val="20"/>
                          </w:rPr>
                        </w:pPr>
                        <w:r>
                          <w:rPr>
                            <w:sz w:val="20"/>
                          </w:rPr>
                          <w:t>③研究开发项目达到预定用途形成无形资产的借：无形资产</w:t>
                        </w:r>
                      </w:p>
                      <w:p>
                        <w:pPr>
                          <w:spacing w:before="2"/>
                          <w:ind w:left="1103" w:right="0" w:firstLine="0"/>
                          <w:jc w:val="left"/>
                          <w:rPr>
                            <w:sz w:val="20"/>
                          </w:rPr>
                        </w:pPr>
                        <w:r>
                          <w:rPr>
                            <w:sz w:val="20"/>
                          </w:rPr>
                          <w:t>贷：研发支出—资本化支出</w:t>
                        </w:r>
                      </w:p>
                    </w:txbxContent>
                  </v:textbox>
                </v:shape>
                <v:shape id="文本框 178" o:spid="_x0000_s1026" o:spt="202" type="#_x0000_t202" style="position:absolute;left:4;top:4;height:2292;width:5097;" filled="f" stroked="t" coordsize="21600,21600" o:gfxdata="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mBFK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9"/>
                          <w:ind w:left="503" w:right="0" w:firstLine="0"/>
                          <w:jc w:val="left"/>
                          <w:rPr>
                            <w:sz w:val="20"/>
                          </w:rPr>
                        </w:pPr>
                        <w:r>
                          <w:rPr>
                            <w:sz w:val="20"/>
                          </w:rPr>
                          <w:t>①发生研发费用</w:t>
                        </w:r>
                      </w:p>
                      <w:p>
                        <w:pPr>
                          <w:spacing w:before="70"/>
                          <w:ind w:left="503" w:right="0" w:firstLine="0"/>
                          <w:jc w:val="left"/>
                          <w:rPr>
                            <w:sz w:val="20"/>
                          </w:rPr>
                        </w:pPr>
                        <w:r>
                          <w:rPr>
                            <w:sz w:val="20"/>
                          </w:rPr>
                          <w:t>借：研发支出—费用化支出（不满足资本化条件）</w:t>
                        </w:r>
                      </w:p>
                      <w:p>
                        <w:pPr>
                          <w:spacing w:before="71" w:line="302" w:lineRule="auto"/>
                          <w:ind w:left="904" w:right="183" w:firstLine="799"/>
                          <w:jc w:val="left"/>
                          <w:rPr>
                            <w:sz w:val="20"/>
                          </w:rPr>
                        </w:pPr>
                        <w:r>
                          <w:rPr>
                            <w:sz w:val="20"/>
                          </w:rPr>
                          <w:t>—资本化支出（满足资本化条件的） 应交税费—应交增值税（进项税额）</w:t>
                        </w:r>
                      </w:p>
                      <w:p>
                        <w:pPr>
                          <w:spacing w:before="4"/>
                          <w:ind w:left="1103" w:right="0" w:firstLine="0"/>
                          <w:jc w:val="left"/>
                          <w:rPr>
                            <w:sz w:val="20"/>
                          </w:rPr>
                        </w:pPr>
                        <w:r>
                          <w:rPr>
                            <w:sz w:val="20"/>
                          </w:rPr>
                          <w:t>贷：原材料</w:t>
                        </w:r>
                      </w:p>
                      <w:p>
                        <w:pPr>
                          <w:spacing w:before="70"/>
                          <w:ind w:left="1804" w:right="0" w:firstLine="0"/>
                          <w:jc w:val="left"/>
                          <w:rPr>
                            <w:sz w:val="20"/>
                          </w:rPr>
                        </w:pPr>
                        <w:r>
                          <w:rPr>
                            <w:sz w:val="20"/>
                          </w:rPr>
                          <w:t>银行存款</w:t>
                        </w:r>
                      </w:p>
                      <w:p>
                        <w:pPr>
                          <w:spacing w:before="71"/>
                          <w:ind w:left="1804" w:right="0" w:firstLine="0"/>
                          <w:jc w:val="left"/>
                          <w:rPr>
                            <w:sz w:val="20"/>
                          </w:rPr>
                        </w:pPr>
                        <w:r>
                          <w:rPr>
                            <w:sz w:val="20"/>
                          </w:rPr>
                          <w:t>应付职工薪酬</w:t>
                        </w:r>
                      </w:p>
                    </w:txbxContent>
                  </v:textbox>
                </v:shape>
                <w10:wrap type="none"/>
                <w10:anchorlock/>
              </v:group>
            </w:pict>
          </mc:Fallback>
        </mc:AlternateContent>
      </w:r>
    </w:p>
    <w:p>
      <w:pPr>
        <w:pStyle w:val="6"/>
        <w:spacing w:before="59" w:line="304" w:lineRule="auto"/>
        <w:ind w:left="322" w:right="722"/>
      </w:pPr>
      <w:r>
        <w:rPr>
          <w:spacing w:val="-5"/>
          <w:w w:val="95"/>
        </w:rPr>
        <w:t>【注意】</w:t>
      </w:r>
      <w:r>
        <w:rPr>
          <w:color w:val="FF0000"/>
          <w:spacing w:val="-2"/>
          <w:w w:val="95"/>
          <w:u w:val="double" w:color="FF0000"/>
        </w:rPr>
        <w:t xml:space="preserve">如果无法可靠区分研究阶段的支出和开发阶段的支出，应将其发生的研发支出全部费用化，计入当期损    </w:t>
      </w:r>
      <w:r>
        <w:rPr>
          <w:color w:val="FF0000"/>
          <w:spacing w:val="-2"/>
          <w:u w:val="double" w:color="FF0000"/>
        </w:rPr>
        <w:t>益</w:t>
      </w:r>
      <w:r>
        <w:rPr>
          <w:spacing w:val="-2"/>
        </w:rPr>
        <w:t>。</w:t>
      </w:r>
    </w:p>
    <w:p>
      <w:pPr>
        <w:pStyle w:val="5"/>
        <w:numPr>
          <w:ilvl w:val="0"/>
          <w:numId w:val="77"/>
        </w:numPr>
        <w:tabs>
          <w:tab w:val="left" w:pos="925"/>
        </w:tabs>
        <w:spacing w:before="2" w:after="0" w:line="240" w:lineRule="auto"/>
        <w:ind w:left="924" w:right="0" w:hanging="202"/>
        <w:jc w:val="left"/>
      </w:pPr>
      <w:r>
        <w:t>无形资产的摊销</w:t>
      </w:r>
    </w:p>
    <w:p>
      <w:pPr>
        <w:pStyle w:val="13"/>
        <w:numPr>
          <w:ilvl w:val="0"/>
          <w:numId w:val="79"/>
        </w:numPr>
        <w:tabs>
          <w:tab w:val="left" w:pos="1224"/>
        </w:tabs>
        <w:spacing w:before="68" w:after="0" w:line="304" w:lineRule="auto"/>
        <w:ind w:left="322" w:right="761" w:firstLine="400"/>
        <w:jc w:val="left"/>
        <w:rPr>
          <w:sz w:val="20"/>
        </w:rPr>
      </w:pPr>
      <w:r>
        <w:rPr>
          <w:w w:val="95"/>
          <w:sz w:val="20"/>
        </w:rPr>
        <w:t>摊销范围：</w:t>
      </w:r>
      <w:r>
        <w:rPr>
          <w:color w:val="FF0000"/>
          <w:w w:val="95"/>
          <w:sz w:val="20"/>
          <w:u w:val="double" w:color="FF0000"/>
        </w:rPr>
        <w:t>使用寿命有限的无形资产应进行摊销；通常其残值视为零。使用寿命不确定的无形资产不</w:t>
      </w:r>
      <w:r>
        <w:rPr>
          <w:color w:val="FF0000"/>
          <w:spacing w:val="-199"/>
          <w:w w:val="95"/>
          <w:sz w:val="20"/>
          <w:u w:val="double" w:color="FF0000"/>
        </w:rPr>
        <w:t>摊</w:t>
      </w:r>
      <w:r>
        <w:rPr>
          <w:color w:val="FF0000"/>
          <w:spacing w:val="161"/>
          <w:w w:val="95"/>
          <w:sz w:val="20"/>
          <w:u w:val="double" w:color="FF0000"/>
        </w:rPr>
        <w:t xml:space="preserve"> </w:t>
      </w:r>
      <w:r>
        <w:rPr>
          <w:color w:val="FF0000"/>
          <w:sz w:val="20"/>
          <w:u w:val="double" w:color="FF0000"/>
        </w:rPr>
        <w:t>销，但要计提减值准备。</w:t>
      </w:r>
    </w:p>
    <w:p>
      <w:pPr>
        <w:pStyle w:val="13"/>
        <w:numPr>
          <w:ilvl w:val="0"/>
          <w:numId w:val="79"/>
        </w:numPr>
        <w:tabs>
          <w:tab w:val="left" w:pos="1224"/>
        </w:tabs>
        <w:spacing w:before="2" w:after="0" w:line="304" w:lineRule="auto"/>
        <w:ind w:left="322" w:right="761" w:firstLine="400"/>
        <w:jc w:val="left"/>
        <w:rPr>
          <w:sz w:val="20"/>
        </w:rPr>
      </w:pPr>
      <w:r>
        <w:rPr>
          <w:w w:val="95"/>
          <w:sz w:val="20"/>
        </w:rPr>
        <w:t>摊销时间：企业应当</w:t>
      </w:r>
      <w:r>
        <w:rPr>
          <w:color w:val="FF0000"/>
          <w:w w:val="95"/>
          <w:sz w:val="20"/>
          <w:u w:val="double" w:color="FF0000"/>
        </w:rPr>
        <w:t>按月</w:t>
      </w:r>
      <w:r>
        <w:rPr>
          <w:w w:val="95"/>
          <w:sz w:val="20"/>
        </w:rPr>
        <w:t>对无形资产进行摊销。对于使用寿命有限的无形资产应当自</w:t>
      </w:r>
      <w:r>
        <w:rPr>
          <w:color w:val="FF0000"/>
          <w:w w:val="95"/>
          <w:sz w:val="20"/>
          <w:u w:val="double" w:color="FF0000"/>
        </w:rPr>
        <w:t>可供使用（即其</w:t>
      </w:r>
      <w:r>
        <w:rPr>
          <w:color w:val="FF0000"/>
          <w:spacing w:val="-199"/>
          <w:w w:val="95"/>
          <w:sz w:val="20"/>
          <w:u w:val="double" w:color="FF0000"/>
        </w:rPr>
        <w:t>达</w:t>
      </w:r>
      <w:r>
        <w:rPr>
          <w:color w:val="FF0000"/>
          <w:spacing w:val="161"/>
          <w:w w:val="95"/>
          <w:sz w:val="20"/>
          <w:u w:val="double" w:color="FF0000"/>
        </w:rPr>
        <w:t xml:space="preserve"> </w:t>
      </w:r>
      <w:r>
        <w:rPr>
          <w:color w:val="FF0000"/>
          <w:sz w:val="20"/>
          <w:u w:val="double" w:color="FF0000"/>
        </w:rPr>
        <w:t>到预定用途）当月起开始摊销，处置当月不再摊销</w:t>
      </w:r>
      <w:r>
        <w:rPr>
          <w:sz w:val="20"/>
        </w:rPr>
        <w:t>。</w:t>
      </w:r>
    </w:p>
    <w:p>
      <w:pPr>
        <w:pStyle w:val="13"/>
        <w:numPr>
          <w:ilvl w:val="0"/>
          <w:numId w:val="79"/>
        </w:numPr>
        <w:tabs>
          <w:tab w:val="left" w:pos="1224"/>
        </w:tabs>
        <w:spacing w:before="2" w:after="0" w:line="240" w:lineRule="auto"/>
        <w:ind w:left="1223" w:right="0" w:hanging="501"/>
        <w:jc w:val="left"/>
        <w:rPr>
          <w:sz w:val="20"/>
        </w:rPr>
      </w:pPr>
      <w:r>
        <w:rPr>
          <w:sz w:val="20"/>
        </w:rPr>
        <w:t>摊销方法：包括</w:t>
      </w:r>
      <w:r>
        <w:rPr>
          <w:color w:val="FF0000"/>
          <w:sz w:val="20"/>
          <w:u w:val="double" w:color="FF0000"/>
        </w:rPr>
        <w:t>直线法、生产总量法</w:t>
      </w:r>
      <w:r>
        <w:rPr>
          <w:sz w:val="20"/>
        </w:rPr>
        <w:t>等。企业选择的无形资产摊销方法，应当反映与该项无形资产有</w:t>
      </w:r>
    </w:p>
    <w:p>
      <w:pPr>
        <w:spacing w:after="0" w:line="240" w:lineRule="auto"/>
        <w:jc w:val="left"/>
        <w:rPr>
          <w:sz w:val="20"/>
        </w:rPr>
        <w:sectPr>
          <w:pgSz w:w="11910" w:h="16160"/>
          <w:pgMar w:top="1680" w:right="360" w:bottom="860" w:left="760" w:header="0" w:footer="584" w:gutter="0"/>
        </w:sectPr>
      </w:pPr>
    </w:p>
    <w:p>
      <w:pPr>
        <w:pStyle w:val="6"/>
        <w:spacing w:before="11"/>
        <w:ind w:left="0"/>
        <w:rPr>
          <w:sz w:val="13"/>
        </w:rPr>
      </w:pPr>
    </w:p>
    <w:p>
      <w:pPr>
        <w:pStyle w:val="6"/>
        <w:spacing w:before="71"/>
        <w:ind w:left="322"/>
      </w:pPr>
      <w:r>
        <w:t>关的经济利益的预期实现方式。</w:t>
      </w:r>
      <w:r>
        <w:rPr>
          <w:color w:val="FF0000"/>
          <w:u w:val="double" w:color="FF0000"/>
        </w:rPr>
        <w:t>无法可靠确定预期实现方式的，应当采用直线法摊销。</w:t>
      </w:r>
    </w:p>
    <w:p>
      <w:pPr>
        <w:pStyle w:val="13"/>
        <w:numPr>
          <w:ilvl w:val="0"/>
          <w:numId w:val="79"/>
        </w:numPr>
        <w:tabs>
          <w:tab w:val="left" w:pos="1224"/>
        </w:tabs>
        <w:spacing w:before="70" w:after="0" w:line="240" w:lineRule="auto"/>
        <w:ind w:left="1223" w:right="0" w:hanging="501"/>
        <w:jc w:val="left"/>
        <w:rPr>
          <w:sz w:val="20"/>
        </w:rPr>
      </w:pPr>
      <w:r>
        <w:rPr>
          <w:sz w:val="20"/>
        </w:rPr>
        <w:t>账务处理</w:t>
      </w:r>
    </w:p>
    <w:p>
      <w:pPr>
        <w:pStyle w:val="6"/>
        <w:spacing w:line="304" w:lineRule="auto"/>
        <w:ind w:left="1424" w:right="5462" w:hanging="701"/>
      </w:pPr>
      <w:r>
        <w:t>借：管理费用（企业自用或未指明用途的无形资产） 其他业务成本（出租的无形资产）</w:t>
      </w:r>
    </w:p>
    <w:p>
      <w:pPr>
        <w:pStyle w:val="6"/>
        <w:spacing w:before="2" w:line="302" w:lineRule="auto"/>
        <w:ind w:left="1323" w:right="5961" w:firstLine="100"/>
      </w:pPr>
      <w:r>
        <w:t>制造费用（用于生产产品的无形资产） 贷：累计摊销</w:t>
      </w:r>
    </w:p>
    <w:p>
      <w:pPr>
        <w:pStyle w:val="5"/>
        <w:numPr>
          <w:ilvl w:val="0"/>
          <w:numId w:val="77"/>
        </w:numPr>
        <w:tabs>
          <w:tab w:val="left" w:pos="925"/>
        </w:tabs>
        <w:spacing w:before="5" w:after="0" w:line="240" w:lineRule="auto"/>
        <w:ind w:left="924" w:right="0" w:hanging="202"/>
        <w:jc w:val="left"/>
      </w:pPr>
      <w:r>
        <w:t>出售和报废无形资产</w:t>
      </w:r>
    </w:p>
    <w:p>
      <w:pPr>
        <w:spacing w:before="70" w:line="304" w:lineRule="auto"/>
        <w:ind w:left="322" w:right="722" w:firstLine="400"/>
        <w:jc w:val="left"/>
        <w:rPr>
          <w:sz w:val="20"/>
        </w:rPr>
      </w:pPr>
      <w:r>
        <w:rPr>
          <w:w w:val="95"/>
          <w:sz w:val="20"/>
        </w:rPr>
        <w:t>企业</w:t>
      </w:r>
      <w:r>
        <w:rPr>
          <w:b/>
          <w:color w:val="00AFEF"/>
          <w:spacing w:val="-9"/>
          <w:w w:val="95"/>
          <w:sz w:val="20"/>
          <w:u w:val="single" w:color="00AFEF"/>
        </w:rPr>
        <w:t>出售或报废无形资产，应当将取得的价款扣除该无形资产账面价值以及出售相关税费后</w:t>
      </w:r>
      <w:r>
        <w:rPr>
          <w:w w:val="95"/>
          <w:sz w:val="20"/>
        </w:rPr>
        <w:t>的差额计入资</w:t>
      </w:r>
      <w:r>
        <w:rPr>
          <w:color w:val="FF0000"/>
          <w:spacing w:val="-98"/>
          <w:w w:val="95"/>
          <w:sz w:val="20"/>
          <w:u w:val="double" w:color="FF0000"/>
        </w:rPr>
        <w:t>产处</w:t>
      </w:r>
      <w:r>
        <w:rPr>
          <w:color w:val="FF0000"/>
          <w:spacing w:val="186"/>
          <w:w w:val="95"/>
          <w:sz w:val="20"/>
          <w:u w:val="double" w:color="FF0000"/>
        </w:rPr>
        <w:t xml:space="preserve"> </w:t>
      </w:r>
      <w:r>
        <w:rPr>
          <w:color w:val="FF0000"/>
          <w:sz w:val="20"/>
          <w:u w:val="double" w:color="FF0000"/>
        </w:rPr>
        <w:t>置损益或营业外收支</w:t>
      </w:r>
      <w:r>
        <w:rPr>
          <w:sz w:val="20"/>
        </w:rPr>
        <w:t>。</w:t>
      </w:r>
    </w:p>
    <w:p>
      <w:pPr>
        <w:pStyle w:val="6"/>
        <w:spacing w:before="2"/>
      </w:pPr>
      <w:r>
        <mc:AlternateContent>
          <mc:Choice Requires="wps">
            <w:drawing>
              <wp:anchor distT="0" distB="0" distL="114300" distR="114300" simplePos="0" relativeHeight="15819776" behindDoc="0" locked="0" layoutInCell="1" allowOverlap="1">
                <wp:simplePos x="0" y="0"/>
                <wp:positionH relativeFrom="page">
                  <wp:posOffset>1068705</wp:posOffset>
                </wp:positionH>
                <wp:positionV relativeFrom="paragraph">
                  <wp:posOffset>139700</wp:posOffset>
                </wp:positionV>
                <wp:extent cx="251460" cy="5715"/>
                <wp:effectExtent l="0" t="0" r="0" b="0"/>
                <wp:wrapNone/>
                <wp:docPr id="137" name="任意多边形 17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79" o:spid="_x0000_s1026" o:spt="100" style="position:absolute;left:0pt;margin-left:84.15pt;margin-top:11pt;height:0.45pt;width:19.8pt;mso-position-horizontal-relative:page;z-index:15819776;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Hqwj2AAA&#10;AAkBAAAPAAAAAAAAAAEAIAAAACIAAABkcnMvZG93bnJldi54bWxQSwECFAAUAAAACACHTuJAOBDB&#10;mpACAABXBwAADgAAAAAAAAABACAAAAAnAQAAZHJzL2Uyb0RvYy54bWxQSwUGAAAAAAYABgBZAQAA&#10;KQ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】①固定资产处置通过“</w:t>
      </w:r>
      <w:r>
        <w:rPr>
          <w:b/>
          <w:color w:val="00AFEF"/>
          <w:u w:val="single" w:color="00AFEF"/>
        </w:rPr>
        <w:t>固定资产清理</w:t>
      </w:r>
      <w:r>
        <w:t>”科目核算，无形资产处置没有专门科目核算。</w:t>
      </w:r>
    </w:p>
    <w:p>
      <w:pPr>
        <w:spacing w:before="70" w:line="302" w:lineRule="auto"/>
        <w:ind w:left="723" w:right="3060" w:firstLine="799"/>
        <w:jc w:val="left"/>
        <w:rPr>
          <w:b/>
          <w:sz w:val="20"/>
        </w:rPr>
      </w:pPr>
      <w:r>
        <w:rPr>
          <w:sz w:val="20"/>
        </w:rPr>
        <w:t>②出售无形资产计入资产处置损益；报废无形资产应计入营业外收支。</w:t>
      </w:r>
      <w:r>
        <w:rPr>
          <w:b/>
          <w:sz w:val="20"/>
        </w:rPr>
        <w:t>5.无形资产减值</w:t>
      </w:r>
    </w:p>
    <w:p>
      <w:pPr>
        <w:pStyle w:val="6"/>
        <w:spacing w:before="5" w:line="304" w:lineRule="auto"/>
        <w:ind w:right="2861"/>
      </w:pPr>
      <w:r>
        <w:rPr>
          <w:w w:val="95"/>
        </w:rPr>
        <w:t xml:space="preserve">无形资产在资产负债表日存在可能发生减值的迹象时，其可收回金额低于账面价值  </w:t>
      </w:r>
      <w:r>
        <w:t>借：资产减值损失</w:t>
      </w:r>
    </w:p>
    <w:p>
      <w:pPr>
        <w:pStyle w:val="6"/>
        <w:spacing w:before="2"/>
        <w:ind w:left="1323"/>
      </w:pPr>
      <w:r>
        <w:t>贷：无形资产减值准备</w:t>
      </w:r>
    </w:p>
    <w:p>
      <w:pPr>
        <w:pStyle w:val="6"/>
      </w:pPr>
      <w:r>
        <w:t>【注意】无形资产减值损失一经确认，在以后会计期间不得转回。同固定资产。</w:t>
      </w:r>
    </w:p>
    <w:p>
      <w:pPr>
        <w:spacing w:before="22"/>
        <w:ind w:left="742" w:right="0" w:firstLine="0"/>
        <w:jc w:val="left"/>
        <w:rPr>
          <w:b/>
          <w:sz w:val="21"/>
        </w:rPr>
      </w:pPr>
      <w:bookmarkStart w:id="72" w:name="二、长期待摊费用"/>
      <w:bookmarkEnd w:id="72"/>
      <w:r>
        <w:rPr>
          <w:b/>
          <w:sz w:val="21"/>
          <w:shd w:val="clear" w:color="auto" w:fill="C0C0C0"/>
        </w:rPr>
        <w:t>二、长期待摊费用</w:t>
      </w:r>
    </w:p>
    <w:p>
      <w:pPr>
        <w:pStyle w:val="6"/>
        <w:spacing w:before="91" w:line="302" w:lineRule="auto"/>
        <w:ind w:left="322" w:right="722" w:firstLine="400"/>
      </w:pPr>
      <w:r>
        <w:t>长期待摊费用是指</w:t>
      </w:r>
      <w:r>
        <w:rPr>
          <w:b/>
          <w:color w:val="00AFEF"/>
          <w:u w:val="single" w:color="00AFEF"/>
        </w:rPr>
        <w:t>企业已经发生</w:t>
      </w:r>
      <w:r>
        <w:t>但应由</w:t>
      </w:r>
      <w:r>
        <w:rPr>
          <w:color w:val="FF0000"/>
          <w:spacing w:val="-4"/>
          <w:u w:val="double" w:color="FF0000"/>
        </w:rPr>
        <w:t xml:space="preserve">本期和以后各期负担的分摊期限在 </w:t>
      </w:r>
      <w:r>
        <w:rPr>
          <w:color w:val="FF0000"/>
          <w:u w:val="double" w:color="FF0000"/>
        </w:rPr>
        <w:t>1</w:t>
      </w:r>
      <w:r>
        <w:rPr>
          <w:color w:val="FF0000"/>
          <w:spacing w:val="-15"/>
          <w:u w:val="double" w:color="FF0000"/>
        </w:rPr>
        <w:t xml:space="preserve"> 年以上</w:t>
      </w:r>
      <w:r>
        <w:rPr>
          <w:spacing w:val="-10"/>
        </w:rPr>
        <w:t>的各项费用，如</w:t>
      </w:r>
      <w:r>
        <w:rPr>
          <w:color w:val="FF0000"/>
          <w:u w:val="double" w:color="FF0000"/>
        </w:rPr>
        <w:t>以租赁方</w:t>
      </w:r>
      <w:r>
        <w:rPr>
          <w:color w:val="FF0000"/>
          <w:spacing w:val="-199"/>
          <w:u w:val="double" w:color="FF0000"/>
        </w:rPr>
        <w:t>式</w:t>
      </w:r>
      <w:r>
        <w:rPr>
          <w:color w:val="FF0000"/>
          <w:u w:val="double" w:color="FF0000"/>
        </w:rPr>
        <w:t>租入的使用权资产发生的改良支出、固定资产大修理支出</w:t>
      </w:r>
      <w:r>
        <w:t>等。</w:t>
      </w:r>
    </w:p>
    <w:p>
      <w:pPr>
        <w:pStyle w:val="6"/>
        <w:spacing w:before="4"/>
      </w:pPr>
      <w:r>
        <w:t>摊销长期待摊费用时，应当记入“管理费用”、“销售费用”等科目。</w:t>
      </w:r>
    </w:p>
    <w:p>
      <w:pPr>
        <w:pStyle w:val="6"/>
        <w:spacing w:before="71"/>
      </w:pPr>
      <w:r>
        <w:t>【注意】固定资产更新改造支出符合资本化条件的计入固定资产成本。</w:t>
      </w:r>
    </w:p>
    <w:p>
      <w:pPr>
        <w:pStyle w:val="6"/>
        <w:ind w:left="4992"/>
      </w:pPr>
      <w:bookmarkStart w:id="73" w:name="本章总结"/>
      <w:bookmarkEnd w:id="73"/>
      <w:r>
        <w:rPr>
          <w:color w:val="FF0000"/>
          <w:u w:val="double" w:color="FF0000"/>
        </w:rPr>
        <w:t>本章总结</w:t>
      </w:r>
    </w:p>
    <w:p>
      <w:pPr>
        <w:pStyle w:val="13"/>
        <w:numPr>
          <w:ilvl w:val="0"/>
          <w:numId w:val="80"/>
        </w:numPr>
        <w:tabs>
          <w:tab w:val="left" w:pos="925"/>
        </w:tabs>
        <w:spacing w:before="70" w:after="0" w:line="240" w:lineRule="auto"/>
        <w:ind w:left="924" w:right="0" w:hanging="202"/>
        <w:jc w:val="left"/>
        <w:rPr>
          <w:sz w:val="20"/>
        </w:rPr>
      </w:pPr>
      <w:r>
        <w:rPr>
          <w:sz w:val="20"/>
        </w:rPr>
        <w:t>掌握现金管理的主要内容和现金核算、现金清查；银行结算制度的主要内容；其他货币资金的核算</w:t>
      </w:r>
    </w:p>
    <w:p>
      <w:pPr>
        <w:pStyle w:val="13"/>
        <w:numPr>
          <w:ilvl w:val="0"/>
          <w:numId w:val="80"/>
        </w:numPr>
        <w:tabs>
          <w:tab w:val="left" w:pos="925"/>
        </w:tabs>
        <w:spacing w:before="70" w:after="0" w:line="240" w:lineRule="auto"/>
        <w:ind w:left="924" w:right="0" w:hanging="202"/>
        <w:jc w:val="left"/>
        <w:rPr>
          <w:sz w:val="20"/>
        </w:rPr>
      </w:pPr>
      <w:r>
        <w:rPr>
          <w:sz w:val="20"/>
        </w:rPr>
        <w:t>掌握应收票据、应收账款、预付账款、应收股利、应收利息和其他应收款的核算</w:t>
      </w:r>
    </w:p>
    <w:p>
      <w:pPr>
        <w:pStyle w:val="13"/>
        <w:numPr>
          <w:ilvl w:val="0"/>
          <w:numId w:val="80"/>
        </w:numPr>
        <w:tabs>
          <w:tab w:val="left" w:pos="925"/>
        </w:tabs>
        <w:spacing w:before="68" w:after="0" w:line="240" w:lineRule="auto"/>
        <w:ind w:left="924" w:right="0" w:hanging="202"/>
        <w:jc w:val="left"/>
        <w:rPr>
          <w:sz w:val="20"/>
        </w:rPr>
      </w:pPr>
      <w:r>
        <w:rPr>
          <w:sz w:val="20"/>
        </w:rPr>
        <w:t>掌握交易性金融资产的核算</w:t>
      </w:r>
    </w:p>
    <w:p>
      <w:pPr>
        <w:pStyle w:val="13"/>
        <w:numPr>
          <w:ilvl w:val="0"/>
          <w:numId w:val="80"/>
        </w:numPr>
        <w:tabs>
          <w:tab w:val="left" w:pos="925"/>
        </w:tabs>
        <w:spacing w:before="70" w:after="0" w:line="240" w:lineRule="auto"/>
        <w:ind w:left="924" w:right="0" w:hanging="202"/>
        <w:jc w:val="left"/>
        <w:rPr>
          <w:sz w:val="20"/>
        </w:rPr>
      </w:pPr>
      <w:r>
        <w:rPr>
          <w:spacing w:val="-5"/>
          <w:sz w:val="20"/>
        </w:rPr>
        <w:t>掌握存货成本的确定发出存货的计价方法、存货清查；原材料、周转材料、委托加工物资、库存商品的核</w:t>
      </w:r>
    </w:p>
    <w:p>
      <w:pPr>
        <w:pStyle w:val="6"/>
        <w:ind w:left="322"/>
      </w:pPr>
      <w:r>
        <w:rPr>
          <w:w w:val="99"/>
        </w:rPr>
        <w:t>算</w:t>
      </w:r>
    </w:p>
    <w:p>
      <w:pPr>
        <w:pStyle w:val="13"/>
        <w:numPr>
          <w:ilvl w:val="0"/>
          <w:numId w:val="80"/>
        </w:numPr>
        <w:tabs>
          <w:tab w:val="left" w:pos="925"/>
        </w:tabs>
        <w:spacing w:before="70" w:after="0" w:line="240" w:lineRule="auto"/>
        <w:ind w:left="924" w:right="0" w:hanging="202"/>
        <w:jc w:val="left"/>
        <w:rPr>
          <w:sz w:val="20"/>
        </w:rPr>
      </w:pPr>
      <w:r>
        <w:rPr>
          <w:sz w:val="20"/>
        </w:rPr>
        <w:t>掌握固定资产的核算</w:t>
      </w:r>
    </w:p>
    <w:p>
      <w:pPr>
        <w:pStyle w:val="13"/>
        <w:numPr>
          <w:ilvl w:val="0"/>
          <w:numId w:val="80"/>
        </w:numPr>
        <w:tabs>
          <w:tab w:val="left" w:pos="925"/>
        </w:tabs>
        <w:spacing w:before="70" w:after="0" w:line="240" w:lineRule="auto"/>
        <w:ind w:left="924" w:right="0" w:hanging="202"/>
        <w:jc w:val="left"/>
        <w:rPr>
          <w:sz w:val="20"/>
        </w:rPr>
      </w:pPr>
      <w:r>
        <w:rPr>
          <w:sz w:val="20"/>
        </w:rPr>
        <w:t>掌握无形资产的核算；熟悉无形资产的内容</w:t>
      </w:r>
    </w:p>
    <w:p>
      <w:pPr>
        <w:pStyle w:val="13"/>
        <w:numPr>
          <w:ilvl w:val="0"/>
          <w:numId w:val="80"/>
        </w:numPr>
        <w:tabs>
          <w:tab w:val="left" w:pos="925"/>
        </w:tabs>
        <w:spacing w:before="71" w:after="0" w:line="240" w:lineRule="auto"/>
        <w:ind w:left="924" w:right="0" w:hanging="202"/>
        <w:jc w:val="left"/>
        <w:rPr>
          <w:sz w:val="20"/>
        </w:rPr>
      </w:pPr>
      <w:r>
        <w:rPr>
          <w:sz w:val="20"/>
        </w:rPr>
        <w:t>熟悉长期待摊费用的核算</w:t>
      </w:r>
    </w:p>
    <w:p>
      <w:pPr>
        <w:pStyle w:val="2"/>
        <w:tabs>
          <w:tab w:val="left" w:pos="1120"/>
        </w:tabs>
        <w:spacing w:before="116"/>
      </w:pPr>
      <w:bookmarkStart w:id="74" w:name="第三章　负债"/>
      <w:bookmarkEnd w:id="74"/>
      <w:bookmarkStart w:id="75" w:name="_bookmark15"/>
      <w:bookmarkEnd w:id="75"/>
      <w:r>
        <w:rPr>
          <w:color w:val="FF0000"/>
        </w:rPr>
        <w:t>第</w:t>
      </w:r>
      <w:r>
        <w:rPr>
          <w:color w:val="FF0000"/>
          <w:spacing w:val="-3"/>
        </w:rPr>
        <w:t>三</w:t>
      </w:r>
      <w:r>
        <w:rPr>
          <w:color w:val="FF0000"/>
        </w:rPr>
        <w:t>章</w:t>
      </w:r>
      <w:r>
        <w:rPr>
          <w:color w:val="FF0000"/>
        </w:rPr>
        <w:tab/>
      </w:r>
      <w:r>
        <w:rPr>
          <w:color w:val="FF0000"/>
        </w:rPr>
        <w:t>负债</w:t>
      </w:r>
    </w:p>
    <w:p>
      <w:pPr>
        <w:pStyle w:val="5"/>
        <w:spacing w:before="184"/>
        <w:ind w:left="4592"/>
      </w:pPr>
      <w:bookmarkStart w:id="76" w:name="【本章考情分析】"/>
      <w:bookmarkEnd w:id="76"/>
      <w:r>
        <w:rPr>
          <w:color w:val="00AFEF"/>
          <w:u w:val="single" w:color="00AFEF"/>
        </w:rPr>
        <w:t>【本章考情分析】</w:t>
      </w:r>
    </w:p>
    <w:p>
      <w:pPr>
        <w:pStyle w:val="6"/>
        <w:spacing w:line="304" w:lineRule="auto"/>
        <w:ind w:left="322" w:right="651" w:firstLine="400"/>
      </w:pPr>
      <w:r>
        <w:rPr>
          <w:w w:val="95"/>
        </w:rPr>
        <w:t>本章是比较重要的一章。应</w:t>
      </w:r>
      <w:r>
        <w:rPr>
          <w:color w:val="FF0000"/>
          <w:w w:val="95"/>
          <w:u w:val="double" w:color="FF0000"/>
        </w:rPr>
        <w:t>特别</w:t>
      </w:r>
      <w:r>
        <w:rPr>
          <w:w w:val="95"/>
        </w:rPr>
        <w:t xml:space="preserve">注意应付职工薪酬、应交税费、银行借款等知识与资产、收入这些知识的结   </w:t>
      </w:r>
      <w:r>
        <w:t xml:space="preserve">合。预计 2020 年考试分值在 </w:t>
      </w:r>
      <w:r>
        <w:rPr>
          <w:color w:val="FF0000"/>
          <w:u w:val="double" w:color="FF0000"/>
        </w:rPr>
        <w:t>15 分</w:t>
      </w:r>
      <w:r>
        <w:t>左右。</w:t>
      </w:r>
    </w:p>
    <w:p>
      <w:pPr>
        <w:pStyle w:val="3"/>
        <w:tabs>
          <w:tab w:val="left" w:pos="839"/>
        </w:tabs>
        <w:spacing w:before="50"/>
        <w:ind w:left="0" w:right="402"/>
        <w:jc w:val="center"/>
        <w:rPr>
          <w:rFonts w:hint="eastAsia" w:ascii="微软雅黑" w:eastAsia="微软雅黑"/>
        </w:rPr>
      </w:pPr>
      <w:bookmarkStart w:id="77" w:name="第一节　短期借款"/>
      <w:bookmarkEnd w:id="77"/>
      <w:bookmarkStart w:id="78" w:name="_bookmark16"/>
      <w:bookmarkEnd w:id="78"/>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短期借款</w:t>
      </w:r>
    </w:p>
    <w:p>
      <w:pPr>
        <w:spacing w:before="141"/>
        <w:ind w:left="742" w:right="0" w:firstLine="0"/>
        <w:jc w:val="left"/>
        <w:rPr>
          <w:b/>
          <w:sz w:val="21"/>
        </w:rPr>
      </w:pPr>
      <w:bookmarkStart w:id="79" w:name="一、短期借款概述"/>
      <w:bookmarkEnd w:id="79"/>
      <w:r>
        <w:rPr>
          <w:b/>
          <w:sz w:val="21"/>
          <w:shd w:val="clear" w:color="auto" w:fill="C0C0C0"/>
        </w:rPr>
        <w:t>一、短期借款概述</w:t>
      </w:r>
    </w:p>
    <w:p>
      <w:pPr>
        <w:spacing w:after="0"/>
        <w:jc w:val="left"/>
        <w:rPr>
          <w:sz w:val="21"/>
        </w:rPr>
        <w:sectPr>
          <w:pgSz w:w="11910" w:h="16160"/>
          <w:pgMar w:top="1680" w:right="360" w:bottom="860" w:left="760" w:header="0" w:footer="584" w:gutter="0"/>
        </w:sectPr>
      </w:pPr>
    </w:p>
    <w:p>
      <w:pPr>
        <w:pStyle w:val="6"/>
        <w:spacing w:before="11"/>
        <w:ind w:left="0"/>
        <w:rPr>
          <w:b/>
          <w:sz w:val="13"/>
        </w:rPr>
      </w:pPr>
    </w:p>
    <w:p>
      <w:pPr>
        <w:pStyle w:val="6"/>
        <w:spacing w:before="71" w:line="304" w:lineRule="auto"/>
        <w:ind w:left="322" w:right="722" w:firstLine="400"/>
      </w:pPr>
      <w:r>
        <w:rPr>
          <w:color w:val="FF0000"/>
          <w:u w:val="double" w:color="FF0000"/>
        </w:rPr>
        <w:t>短期借款</w:t>
      </w:r>
      <w:r>
        <w:rPr>
          <w:spacing w:val="-3"/>
        </w:rPr>
        <w:t xml:space="preserve">是指企业向银行或其他金融机构等借入的期限在 </w:t>
      </w:r>
      <w:r>
        <w:rPr>
          <w:color w:val="FF0000"/>
          <w:u w:val="double" w:color="FF0000"/>
        </w:rPr>
        <w:t>1</w:t>
      </w:r>
      <w:r>
        <w:rPr>
          <w:color w:val="FF0000"/>
          <w:spacing w:val="-19"/>
          <w:u w:val="double" w:color="FF0000"/>
        </w:rPr>
        <w:t xml:space="preserve"> 年以下</w:t>
      </w:r>
      <w:r>
        <w:rPr>
          <w:color w:val="FF0000"/>
          <w:u w:val="double" w:color="FF0000"/>
        </w:rPr>
        <w:t>（</w:t>
      </w:r>
      <w:r>
        <w:rPr>
          <w:color w:val="FF0000"/>
          <w:spacing w:val="-27"/>
          <w:u w:val="double" w:color="FF0000"/>
        </w:rPr>
        <w:t xml:space="preserve">含 </w:t>
      </w:r>
      <w:r>
        <w:rPr>
          <w:color w:val="FF0000"/>
          <w:u w:val="double" w:color="FF0000"/>
        </w:rPr>
        <w:t>1</w:t>
      </w:r>
      <w:r>
        <w:rPr>
          <w:color w:val="FF0000"/>
          <w:spacing w:val="-28"/>
          <w:u w:val="double" w:color="FF0000"/>
        </w:rPr>
        <w:t xml:space="preserve"> 年</w:t>
      </w:r>
      <w:r>
        <w:rPr>
          <w:color w:val="FF0000"/>
          <w:spacing w:val="-19"/>
          <w:u w:val="double" w:color="FF0000"/>
        </w:rPr>
        <w:t>）</w:t>
      </w:r>
      <w:r>
        <w:rPr>
          <w:spacing w:val="-4"/>
        </w:rPr>
        <w:t>的各种借款，一般是企业为了满足正常生产经营所需的资金或者是为了抵偿某项债务而借入的。</w:t>
      </w:r>
    </w:p>
    <w:p>
      <w:pPr>
        <w:spacing w:before="0" w:line="223" w:lineRule="exact"/>
        <w:ind w:left="742" w:right="0" w:firstLine="0"/>
        <w:jc w:val="left"/>
        <w:rPr>
          <w:b/>
          <w:sz w:val="21"/>
        </w:rPr>
      </w:pPr>
      <w:bookmarkStart w:id="80" w:name="二、短期借款的账务处理"/>
      <w:bookmarkEnd w:id="80"/>
      <w:r>
        <w:rPr>
          <w:b/>
          <w:sz w:val="21"/>
          <w:shd w:val="clear" w:color="auto" w:fill="C0C0C0"/>
        </w:rPr>
        <w:t>二、短期借款的账务处理</w:t>
      </w:r>
    </w:p>
    <w:p>
      <w:pPr>
        <w:pStyle w:val="6"/>
        <w:spacing w:before="3"/>
        <w:ind w:left="0"/>
        <w:rPr>
          <w:b/>
          <w:sz w:val="8"/>
        </w:rPr>
      </w:pPr>
      <w:r>
        <w:drawing>
          <wp:anchor distT="0" distB="0" distL="0" distR="0" simplePos="0" relativeHeight="1024" behindDoc="0" locked="0" layoutInCell="1" allowOverlap="1">
            <wp:simplePos x="0" y="0"/>
            <wp:positionH relativeFrom="page">
              <wp:posOffset>2997200</wp:posOffset>
            </wp:positionH>
            <wp:positionV relativeFrom="paragraph">
              <wp:posOffset>91440</wp:posOffset>
            </wp:positionV>
            <wp:extent cx="1821180" cy="1249045"/>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png"/>
                    <pic:cNvPicPr>
                      <a:picLocks noChangeAspect="1"/>
                    </pic:cNvPicPr>
                  </pic:nvPicPr>
                  <pic:blipFill>
                    <a:blip r:embed="rId45" cstate="print"/>
                    <a:stretch>
                      <a:fillRect/>
                    </a:stretch>
                  </pic:blipFill>
                  <pic:spPr>
                    <a:xfrm>
                      <a:off x="0" y="0"/>
                      <a:ext cx="1821284" cy="1249013"/>
                    </a:xfrm>
                    <a:prstGeom prst="rect">
                      <a:avLst/>
                    </a:prstGeom>
                  </pic:spPr>
                </pic:pic>
              </a:graphicData>
            </a:graphic>
          </wp:anchor>
        </w:drawing>
      </w:r>
    </w:p>
    <w:p>
      <w:pPr>
        <w:pStyle w:val="6"/>
        <w:spacing w:before="135" w:line="304" w:lineRule="auto"/>
        <w:ind w:left="322" w:right="646" w:firstLine="400"/>
      </w:pPr>
      <w:r>
        <w:rPr>
          <w:w w:val="95"/>
        </w:rPr>
        <w:t>【</w:t>
      </w:r>
      <w:r>
        <w:rPr>
          <w:b/>
          <w:color w:val="00AFEF"/>
          <w:w w:val="95"/>
        </w:rPr>
        <w:t>提示</w:t>
      </w:r>
      <w:r>
        <w:rPr>
          <w:w w:val="95"/>
        </w:rPr>
        <w:t xml:space="preserve">】1.如果短期借款的利息是按期支付的，如按季度支付利息，或者利息是在借款到期时连同本金一起   </w:t>
      </w:r>
      <w:r>
        <w:t>归还，并且其数额较大的，企业应采用</w:t>
      </w:r>
      <w:r>
        <w:rPr>
          <w:color w:val="FF0000"/>
          <w:u w:val="double" w:color="FF0000"/>
        </w:rPr>
        <w:t>月末预提方式</w:t>
      </w:r>
      <w:r>
        <w:t>进行短期借款利息的核算。</w:t>
      </w:r>
    </w:p>
    <w:p>
      <w:pPr>
        <w:pStyle w:val="6"/>
        <w:spacing w:before="2" w:line="302" w:lineRule="auto"/>
        <w:ind w:left="322" w:right="722" w:firstLine="400"/>
      </w:pPr>
      <w:r>
        <mc:AlternateContent>
          <mc:Choice Requires="wps">
            <w:drawing>
              <wp:anchor distT="0" distB="0" distL="114300" distR="114300" simplePos="0" relativeHeight="482455552" behindDoc="1" locked="0" layoutInCell="1" allowOverlap="1">
                <wp:simplePos x="0" y="0"/>
                <wp:positionH relativeFrom="page">
                  <wp:posOffset>1068705</wp:posOffset>
                </wp:positionH>
                <wp:positionV relativeFrom="paragraph">
                  <wp:posOffset>-274955</wp:posOffset>
                </wp:positionV>
                <wp:extent cx="251460" cy="5715"/>
                <wp:effectExtent l="0" t="0" r="0" b="0"/>
                <wp:wrapNone/>
                <wp:docPr id="284" name="任意多边形 180"/>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80" o:spid="_x0000_s1026" o:spt="100" style="position:absolute;left:0pt;margin-left:84.15pt;margin-top:-21.65pt;height:0.45pt;width:19.8pt;mso-position-horizontal-relative:page;z-index:-20860928;mso-width-relative:page;mso-height-relative:page;" filled="f" stroked="t" coordsize="396,9" o:gfxdata="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ODCq4HbAAAACwEAAA8AAAAAAAAAAQAgAAAAIgAAAGRycy9kb3ducmV2LnhtbFBLAQIUABQAAAAI&#10;AIdO4kDggzsllQIAAFcHAAAOAAAAAAAAAAEAIAAAACoBAABkcnMvZTJvRG9jLnhtbFBLBQYAAAAA&#10;BgAGAFkBAAAx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2</w:t>
      </w:r>
      <w:r>
        <w:rPr>
          <w:spacing w:val="-4"/>
          <w:w w:val="95"/>
        </w:rPr>
        <w:t xml:space="preserve">.如果企业短期借款利息是按月支付的，或者利息是在借款到期时连同本金一起归还，但是数额不大的，可   </w:t>
      </w:r>
      <w:r>
        <w:rPr>
          <w:spacing w:val="-4"/>
        </w:rPr>
        <w:t>以不采用预提的方法，而在实际支付或收到银行的计息通知时，</w:t>
      </w:r>
      <w:r>
        <w:rPr>
          <w:color w:val="FF0000"/>
          <w:spacing w:val="-4"/>
          <w:u w:val="double" w:color="FF0000"/>
        </w:rPr>
        <w:t>直接计入当期损益。</w:t>
      </w:r>
    </w:p>
    <w:p>
      <w:pPr>
        <w:pStyle w:val="6"/>
        <w:spacing w:before="3"/>
        <w:ind w:left="0"/>
        <w:rPr>
          <w:sz w:val="26"/>
        </w:rPr>
      </w:pPr>
    </w:p>
    <w:p>
      <w:pPr>
        <w:pStyle w:val="3"/>
        <w:tabs>
          <w:tab w:val="left" w:pos="839"/>
        </w:tabs>
        <w:spacing w:before="45"/>
        <w:ind w:left="0" w:right="399"/>
        <w:jc w:val="center"/>
        <w:rPr>
          <w:rFonts w:hint="eastAsia" w:ascii="微软雅黑" w:eastAsia="微软雅黑"/>
        </w:rPr>
      </w:pPr>
      <w:bookmarkStart w:id="81" w:name="第二节　应付及预收款项"/>
      <w:bookmarkEnd w:id="81"/>
      <w:bookmarkStart w:id="82" w:name="_bookmark17"/>
      <w:bookmarkEnd w:id="82"/>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应付及预收款项</w:t>
      </w:r>
    </w:p>
    <w:p>
      <w:pPr>
        <w:spacing w:before="138"/>
        <w:ind w:left="742" w:right="0" w:firstLine="0"/>
        <w:jc w:val="left"/>
        <w:rPr>
          <w:b/>
          <w:sz w:val="21"/>
        </w:rPr>
      </w:pPr>
      <w:bookmarkStart w:id="83" w:name="一、应付票据（对比应收票据）"/>
      <w:bookmarkEnd w:id="83"/>
      <w:r>
        <w:rPr>
          <w:b/>
          <w:sz w:val="21"/>
          <w:shd w:val="clear" w:color="auto" w:fill="C0C0C0"/>
        </w:rPr>
        <w:t>一、应付票据（对比应收票据）</w:t>
      </w:r>
    </w:p>
    <w:p>
      <w:pPr>
        <w:pStyle w:val="5"/>
        <w:spacing w:before="91"/>
      </w:pPr>
      <w:r>
        <w:t>（一）应付票据概述</w:t>
      </w:r>
    </w:p>
    <w:p>
      <w:pPr>
        <w:pStyle w:val="6"/>
        <w:spacing w:line="304" w:lineRule="auto"/>
        <w:ind w:left="322" w:right="722" w:firstLine="400"/>
      </w:pPr>
      <w:r>
        <w:rPr>
          <w:spacing w:val="-4"/>
          <w:w w:val="95"/>
        </w:rPr>
        <w:t>应付票据是指企业购买材料、商品和接受劳务供应等而开出、承兑的商业汇票，包括</w:t>
      </w:r>
      <w:r>
        <w:rPr>
          <w:color w:val="FF0000"/>
          <w:w w:val="95"/>
          <w:u w:val="double" w:color="FF0000"/>
        </w:rPr>
        <w:t>商业承兑汇票和银行承</w:t>
      </w:r>
      <w:r>
        <w:rPr>
          <w:color w:val="FF0000"/>
          <w:spacing w:val="-199"/>
          <w:w w:val="95"/>
          <w:u w:val="double" w:color="FF0000"/>
        </w:rPr>
        <w:t>兑</w:t>
      </w:r>
      <w:r>
        <w:rPr>
          <w:color w:val="FF0000"/>
          <w:spacing w:val="188"/>
          <w:w w:val="95"/>
          <w:u w:val="double" w:color="FF0000"/>
        </w:rPr>
        <w:t xml:space="preserve"> </w:t>
      </w:r>
      <w:r>
        <w:rPr>
          <w:color w:val="FF0000"/>
          <w:u w:val="double" w:color="FF0000"/>
        </w:rPr>
        <w:t>汇票</w:t>
      </w:r>
      <w:r>
        <w:t>。</w:t>
      </w:r>
    </w:p>
    <w:p>
      <w:pPr>
        <w:pStyle w:val="6"/>
        <w:spacing w:before="2"/>
      </w:pPr>
      <w:r>
        <mc:AlternateContent>
          <mc:Choice Requires="wps">
            <w:drawing>
              <wp:anchor distT="0" distB="0" distL="114300" distR="114300" simplePos="0" relativeHeight="482456576" behindDoc="1" locked="0" layoutInCell="1" allowOverlap="1">
                <wp:simplePos x="0" y="0"/>
                <wp:positionH relativeFrom="page">
                  <wp:posOffset>1068705</wp:posOffset>
                </wp:positionH>
                <wp:positionV relativeFrom="paragraph">
                  <wp:posOffset>138430</wp:posOffset>
                </wp:positionV>
                <wp:extent cx="251460" cy="5715"/>
                <wp:effectExtent l="0" t="0" r="0" b="0"/>
                <wp:wrapNone/>
                <wp:docPr id="288" name="任意多边形 181"/>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81" o:spid="_x0000_s1026" o:spt="100" style="position:absolute;left:0pt;margin-left:84.15pt;margin-top:10.9pt;height:0.45pt;width:19.8pt;mso-position-horizontal-relative:page;z-index:-20859904;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aG&#10;EJ3ZAAAACQEAAA8AAAAAAAAAAQAgAAAAIgAAAGRycy9kb3ducmV2LnhtbFBLAQIUABQAAAAIAIdO&#10;4kD6lI02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】①支票支付，通过</w:t>
      </w:r>
      <w:r>
        <w:rPr>
          <w:color w:val="FF0000"/>
          <w:u w:val="double" w:color="FF0000"/>
        </w:rPr>
        <w:t>银行存款</w:t>
      </w:r>
      <w:r>
        <w:t>核算；②银行汇票、银行本票支付，通过</w:t>
      </w:r>
      <w:r>
        <w:rPr>
          <w:color w:val="FF0000"/>
          <w:u w:val="double" w:color="FF0000"/>
        </w:rPr>
        <w:t>其他货币资金</w:t>
      </w:r>
      <w:r>
        <w:t>核算；</w:t>
      </w:r>
    </w:p>
    <w:p>
      <w:pPr>
        <w:pStyle w:val="6"/>
        <w:spacing w:before="68"/>
        <w:ind w:left="1522"/>
      </w:pPr>
      <w:r>
        <w:t>③商业汇票支付，通过</w:t>
      </w:r>
      <w:r>
        <w:rPr>
          <w:color w:val="FF0000"/>
          <w:u w:val="double" w:color="FF0000"/>
        </w:rPr>
        <w:t>应付票据</w:t>
      </w:r>
      <w:r>
        <w:t>核算。</w:t>
      </w:r>
    </w:p>
    <w:p>
      <w:pPr>
        <w:pStyle w:val="5"/>
      </w:pPr>
      <w:r>
        <w:t>（二）账务处理</w:t>
      </w:r>
    </w:p>
    <w:p>
      <w:pPr>
        <w:pStyle w:val="6"/>
        <w:tabs>
          <w:tab w:val="left" w:pos="5823"/>
        </w:tabs>
      </w:pPr>
      <w:r>
        <w:t>1.开出、承兑的商业汇票</w:t>
      </w:r>
      <w:r>
        <w:tab/>
      </w:r>
      <w:r>
        <w:t>2.应付票据转销（到期无法支付的商业汇票）</w:t>
      </w:r>
    </w:p>
    <w:p>
      <w:pPr>
        <w:pStyle w:val="6"/>
        <w:tabs>
          <w:tab w:val="left" w:pos="6022"/>
        </w:tabs>
        <w:spacing w:before="71"/>
      </w:pPr>
      <w:r>
        <w:t>企业因开出银行承兑汇票而支付银行的承</w:t>
      </w:r>
      <w:r>
        <w:tab/>
      </w:r>
      <w:r>
        <w:t>借：应付票据</w:t>
      </w:r>
    </w:p>
    <w:p>
      <w:pPr>
        <w:pStyle w:val="6"/>
        <w:tabs>
          <w:tab w:val="left" w:pos="6322"/>
        </w:tabs>
      </w:pPr>
      <w:r>
        <w:t>兑汇票手续费，应当计入当期财务费用。</w:t>
      </w:r>
      <w:r>
        <w:tab/>
      </w:r>
      <w:r>
        <w:t>贷：应付账款（商业承兑汇票）</w:t>
      </w:r>
    </w:p>
    <w:p>
      <w:pPr>
        <w:pStyle w:val="6"/>
        <w:tabs>
          <w:tab w:val="left" w:pos="7123"/>
        </w:tabs>
        <w:spacing w:line="302" w:lineRule="auto"/>
        <w:ind w:left="1123" w:right="1260" w:hanging="401"/>
      </w:pPr>
      <w:r>
        <w:t>借：材料采购/原材料等</w:t>
      </w:r>
      <w:r>
        <w:tab/>
      </w:r>
      <w:r>
        <w:t>短期借款（银行承兑汇票</w:t>
      </w:r>
      <w:r>
        <w:rPr>
          <w:spacing w:val="-13"/>
        </w:rPr>
        <w:t xml:space="preserve">） </w:t>
      </w:r>
      <w:r>
        <w:t>财务费用（承兑手续费）</w:t>
      </w:r>
    </w:p>
    <w:p>
      <w:pPr>
        <w:pStyle w:val="6"/>
        <w:spacing w:before="5" w:line="304" w:lineRule="auto"/>
        <w:ind w:left="1123" w:right="6463"/>
      </w:pPr>
      <w:r>
        <w:t>应交税费—应交增值税（进项税额） 贷：银行存款</w:t>
      </w:r>
    </w:p>
    <w:p>
      <w:pPr>
        <w:spacing w:before="0" w:line="223" w:lineRule="exact"/>
        <w:ind w:left="742" w:right="0" w:firstLine="0"/>
        <w:jc w:val="left"/>
        <w:rPr>
          <w:b/>
          <w:sz w:val="21"/>
        </w:rPr>
      </w:pPr>
      <w:bookmarkStart w:id="84" w:name="二、应付账款（对比应收账款）"/>
      <w:bookmarkEnd w:id="84"/>
      <w:r>
        <w:rPr>
          <w:b/>
          <w:sz w:val="21"/>
          <w:shd w:val="clear" w:color="auto" w:fill="C0C0C0"/>
        </w:rPr>
        <w:t>二、应付账款（对比应收账款）</w:t>
      </w:r>
    </w:p>
    <w:p>
      <w:pPr>
        <w:pStyle w:val="6"/>
        <w:spacing w:before="91" w:line="304" w:lineRule="auto"/>
        <w:ind w:right="3062"/>
      </w:pPr>
      <w:r>
        <mc:AlternateContent>
          <mc:Choice Requires="wps">
            <w:drawing>
              <wp:anchor distT="0" distB="0" distL="114300" distR="114300" simplePos="0" relativeHeight="482456576" behindDoc="1" locked="0" layoutInCell="1" allowOverlap="1">
                <wp:simplePos x="0" y="0"/>
                <wp:positionH relativeFrom="page">
                  <wp:posOffset>941705</wp:posOffset>
                </wp:positionH>
                <wp:positionV relativeFrom="paragraph">
                  <wp:posOffset>417830</wp:posOffset>
                </wp:positionV>
                <wp:extent cx="3745865" cy="0"/>
                <wp:effectExtent l="0" t="0" r="0" b="0"/>
                <wp:wrapNone/>
                <wp:docPr id="289" name="直线 182"/>
                <wp:cNvGraphicFramePr/>
                <a:graphic xmlns:a="http://schemas.openxmlformats.org/drawingml/2006/main">
                  <a:graphicData uri="http://schemas.microsoft.com/office/word/2010/wordprocessingShape">
                    <wps:wsp>
                      <wps:cNvCnPr/>
                      <wps:spPr>
                        <a:xfrm>
                          <a:off x="0" y="0"/>
                          <a:ext cx="3745865" cy="0"/>
                        </a:xfrm>
                        <a:prstGeom prst="line">
                          <a:avLst/>
                        </a:prstGeom>
                        <a:ln w="6096" cap="flat" cmpd="sng">
                          <a:solidFill>
                            <a:srgbClr val="FF0000"/>
                          </a:solidFill>
                          <a:prstDash val="solid"/>
                          <a:headEnd type="none" w="med" len="med"/>
                          <a:tailEnd type="none" w="med" len="med"/>
                        </a:ln>
                      </wps:spPr>
                      <wps:bodyPr upright="1"/>
                    </wps:wsp>
                  </a:graphicData>
                </a:graphic>
              </wp:anchor>
            </w:drawing>
          </mc:Choice>
          <mc:Fallback>
            <w:pict>
              <v:line id="直线 182" o:spid="_x0000_s1026" o:spt="20" style="position:absolute;left:0pt;margin-left:74.15pt;margin-top:32.9pt;height:0pt;width:294.95pt;mso-position-horizontal-relative:page;z-index:-20859904;mso-width-relative:page;mso-height-relative:page;" filled="f" stroked="t" coordsize="21600,21600" o:gfxdata="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6rkcC2QAAAAkBAAAPAAAAAAAAAAEA&#10;IAAAACIAAABkcnMvZG93bnJldi54bWxQSwECFAAUAAAACACHTuJAnnW0QNUBAACRAwAADgAAAAAA&#10;AAABACAAAAAoAQAAZHJzL2Uyb0RvYy54bWxQSwUGAAAAAAYABgBZAQAAbwUAAAAA&#10;">
                <v:fill on="f" focussize="0,0"/>
                <v:stroke weight="0.48pt" color="#FF0000" joinstyle="round"/>
                <v:imagedata o:title=""/>
                <o:lock v:ext="edit" aspectratio="f"/>
              </v:line>
            </w:pict>
          </mc:Fallback>
        </mc:AlternateContent>
      </w:r>
      <w:r>
        <mc:AlternateContent>
          <mc:Choice Requires="wps">
            <w:drawing>
              <wp:anchor distT="0" distB="0" distL="114300" distR="114300" simplePos="0" relativeHeight="482458624" behindDoc="1" locked="0" layoutInCell="1" allowOverlap="1">
                <wp:simplePos x="0" y="0"/>
                <wp:positionH relativeFrom="page">
                  <wp:posOffset>954405</wp:posOffset>
                </wp:positionH>
                <wp:positionV relativeFrom="paragraph">
                  <wp:posOffset>421005</wp:posOffset>
                </wp:positionV>
                <wp:extent cx="1873885" cy="192405"/>
                <wp:effectExtent l="0" t="0" r="12065" b="17145"/>
                <wp:wrapNone/>
                <wp:docPr id="292" name="文本框 183"/>
                <wp:cNvGraphicFramePr/>
                <a:graphic xmlns:a="http://schemas.openxmlformats.org/drawingml/2006/main">
                  <a:graphicData uri="http://schemas.microsoft.com/office/word/2010/wordprocessingShape">
                    <wps:wsp>
                      <wps:cNvSpPr txBox="1"/>
                      <wps:spPr>
                        <a:xfrm>
                          <a:off x="0" y="0"/>
                          <a:ext cx="1873885" cy="192405"/>
                        </a:xfrm>
                        <a:prstGeom prst="rect">
                          <a:avLst/>
                        </a:prstGeom>
                        <a:solidFill>
                          <a:srgbClr val="C0C0C0"/>
                        </a:solidFill>
                        <a:ln>
                          <a:noFill/>
                        </a:ln>
                      </wps:spPr>
                      <wps:txbx>
                        <w:txbxContent>
                          <w:p>
                            <w:pPr>
                              <w:spacing w:before="32"/>
                              <w:ind w:left="-1" w:right="0" w:firstLine="0"/>
                              <w:jc w:val="left"/>
                              <w:rPr>
                                <w:b/>
                                <w:sz w:val="21"/>
                              </w:rPr>
                            </w:pPr>
                            <w:r>
                              <w:rPr>
                                <w:b/>
                                <w:sz w:val="21"/>
                              </w:rPr>
                              <w:t>三、预收账款（对比预付账款）</w:t>
                            </w:r>
                          </w:p>
                        </w:txbxContent>
                      </wps:txbx>
                      <wps:bodyPr lIns="0" tIns="0" rIns="0" bIns="0" upright="1"/>
                    </wps:wsp>
                  </a:graphicData>
                </a:graphic>
              </wp:anchor>
            </w:drawing>
          </mc:Choice>
          <mc:Fallback>
            <w:pict>
              <v:shape id="文本框 183" o:spid="_x0000_s1026" o:spt="202" type="#_x0000_t202" style="position:absolute;left:0pt;margin-left:75.15pt;margin-top:33.15pt;height:15.15pt;width:147.55pt;mso-position-horizontal-relative:page;z-index:-20857856;mso-width-relative:page;mso-height-relative:page;" fillcolor="#C0C0C0" filled="t" stroked="f" coordsize="21600,21600" o:gfxdata="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fwwnNkAAAAJAQAADwAAAAAAAAABACAAAAAiAAAAZHJzL2Rvd25yZXYueG1sUEsBAhQA&#10;FAAAAAgAh07iQDnAMza4AQAAUQMAAA4AAAAAAAAAAQAgAAAAKAEAAGRycy9lMm9Eb2MueG1sUEsF&#10;BgAAAAAGAAYAWQEAAFIFAAAAAA==&#10;">
                <v:fill on="t" focussize="0,0"/>
                <v:stroke on="f"/>
                <v:imagedata o:title=""/>
                <o:lock v:ext="edit" aspectratio="f"/>
                <v:textbox inset="0mm,0mm,0mm,0mm">
                  <w:txbxContent>
                    <w:p>
                      <w:pPr>
                        <w:spacing w:before="32"/>
                        <w:ind w:left="-1" w:right="0" w:firstLine="0"/>
                        <w:jc w:val="left"/>
                        <w:rPr>
                          <w:b/>
                          <w:sz w:val="21"/>
                        </w:rPr>
                      </w:pPr>
                      <w:r>
                        <w:rPr>
                          <w:b/>
                          <w:sz w:val="21"/>
                        </w:rPr>
                        <w:t>三、预收账款（对比预付账款）</w:t>
                      </w:r>
                    </w:p>
                  </w:txbxContent>
                </v:textbox>
              </v:shape>
            </w:pict>
          </mc:Fallback>
        </mc:AlternateContent>
      </w:r>
      <w:r>
        <w:rPr>
          <w:w w:val="95"/>
        </w:rPr>
        <w:t xml:space="preserve">应付账款是指企业因购买材料、商品或接受劳务供应等经营活动应支付的款项。  </w:t>
      </w:r>
      <w:r>
        <w:rPr>
          <w:color w:val="FF0000"/>
          <w:u w:val="single" w:color="FF0000"/>
        </w:rPr>
        <w:t>应付账款的入账价值=应付的货款＋增值税进项税额＋对方代垫费用</w:t>
      </w:r>
    </w:p>
    <w:p>
      <w:pPr>
        <w:pStyle w:val="6"/>
        <w:spacing w:before="12"/>
        <w:ind w:left="0"/>
        <w:rPr>
          <w:sz w:val="18"/>
        </w:rPr>
      </w:pPr>
    </w:p>
    <w:p>
      <w:pPr>
        <w:pStyle w:val="5"/>
        <w:spacing w:before="71"/>
      </w:pPr>
      <w:bookmarkStart w:id="85" w:name="三、预收账款（对比预付账款）"/>
      <w:bookmarkEnd w:id="85"/>
      <w:r>
        <w:t>（一）概述</w:t>
      </w:r>
    </w:p>
    <w:p>
      <w:pPr>
        <w:pStyle w:val="6"/>
        <w:spacing w:before="68" w:line="304" w:lineRule="auto"/>
        <w:ind w:left="322" w:right="624" w:firstLine="420"/>
      </w:pPr>
      <w:r>
        <mc:AlternateContent>
          <mc:Choice Requires="wpg">
            <w:drawing>
              <wp:anchor distT="0" distB="0" distL="114300" distR="114300" simplePos="0" relativeHeight="482455552" behindDoc="1" locked="0" layoutInCell="1" allowOverlap="1">
                <wp:simplePos x="0" y="0"/>
                <wp:positionH relativeFrom="page">
                  <wp:posOffset>2651760</wp:posOffset>
                </wp:positionH>
                <wp:positionV relativeFrom="paragraph">
                  <wp:posOffset>570230</wp:posOffset>
                </wp:positionV>
                <wp:extent cx="2209800" cy="1068705"/>
                <wp:effectExtent l="0" t="0" r="0" b="17145"/>
                <wp:wrapNone/>
                <wp:docPr id="287" name="组合 184"/>
                <wp:cNvGraphicFramePr/>
                <a:graphic xmlns:a="http://schemas.openxmlformats.org/drawingml/2006/main">
                  <a:graphicData uri="http://schemas.microsoft.com/office/word/2010/wordprocessingGroup">
                    <wpg:wgp>
                      <wpg:cNvGrpSpPr/>
                      <wpg:grpSpPr>
                        <a:xfrm>
                          <a:off x="0" y="0"/>
                          <a:ext cx="2209800" cy="1068705"/>
                          <a:chOff x="4176" y="898"/>
                          <a:chExt cx="3480" cy="1683"/>
                        </a:xfrm>
                      </wpg:grpSpPr>
                      <pic:pic xmlns:pic="http://schemas.openxmlformats.org/drawingml/2006/picture">
                        <pic:nvPicPr>
                          <pic:cNvPr id="285" name="图片 185"/>
                          <pic:cNvPicPr>
                            <a:picLocks noChangeAspect="1"/>
                          </pic:cNvPicPr>
                        </pic:nvPicPr>
                        <pic:blipFill>
                          <a:blip r:embed="rId46"/>
                          <a:stretch>
                            <a:fillRect/>
                          </a:stretch>
                        </pic:blipFill>
                        <pic:spPr>
                          <a:xfrm>
                            <a:off x="4176" y="898"/>
                            <a:ext cx="3480" cy="1683"/>
                          </a:xfrm>
                          <a:prstGeom prst="rect">
                            <a:avLst/>
                          </a:prstGeom>
                          <a:noFill/>
                          <a:ln>
                            <a:noFill/>
                          </a:ln>
                        </pic:spPr>
                      </pic:pic>
                      <wps:wsp>
                        <wps:cNvPr id="286" name="文本框 186"/>
                        <wps:cNvSpPr txBox="1"/>
                        <wps:spPr>
                          <a:xfrm>
                            <a:off x="5860" y="1868"/>
                            <a:ext cx="203" cy="180"/>
                          </a:xfrm>
                          <a:prstGeom prst="rect">
                            <a:avLst/>
                          </a:prstGeom>
                          <a:noFill/>
                          <a:ln>
                            <a:noFill/>
                          </a:ln>
                        </wps:spPr>
                        <wps:txbx>
                          <w:txbxContent>
                            <w:p>
                              <w:pPr>
                                <w:spacing w:before="0" w:line="180" w:lineRule="exact"/>
                                <w:ind w:left="0" w:right="0" w:firstLine="0"/>
                                <w:jc w:val="left"/>
                                <w:rPr>
                                  <w:rFonts w:ascii="Calibri"/>
                                  <w:sz w:val="18"/>
                                </w:rPr>
                              </w:pPr>
                              <w:r>
                                <w:rPr>
                                  <w:rFonts w:ascii="Calibri"/>
                                  <w:sz w:val="18"/>
                                </w:rPr>
                                <w:t>62</w:t>
                              </w:r>
                            </w:p>
                          </w:txbxContent>
                        </wps:txbx>
                        <wps:bodyPr lIns="0" tIns="0" rIns="0" bIns="0" upright="1"/>
                      </wps:wsp>
                    </wpg:wgp>
                  </a:graphicData>
                </a:graphic>
              </wp:anchor>
            </w:drawing>
          </mc:Choice>
          <mc:Fallback>
            <w:pict>
              <v:group id="组合 184" o:spid="_x0000_s1026" o:spt="203" style="position:absolute;left:0pt;margin-left:208.8pt;margin-top:44.9pt;height:84.15pt;width:174pt;mso-position-horizontal-relative:page;z-index:-20860928;mso-width-relative:page;mso-height-relative:page;" coordorigin="4176,898" coordsize="3480,1683" o:gfxdata="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">
                <o:lock v:ext="edit" aspectratio="f"/>
                <v:shape id="图片 185" o:spid="_x0000_s1026" o:spt="75" type="#_x0000_t75" style="position:absolute;left:4176;top:898;height:1683;width:3480;" filled="f" o:preferrelative="t" stroked="f" coordsize="21600,21600" o:gfxdata="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tUeDvQAA&#10;ANwAAAAPAAAAAAAAAAEAIAAAACIAAABkcnMvZG93bnJldi54bWxQSwECFAAUAAAACACHTuJAMy8F&#10;njsAAAA5AAAAEAAAAAAAAAABACAAAAAMAQAAZHJzL3NoYXBleG1sLnhtbFBLBQYAAAAABgAGAFsB&#10;AAC2AwAAAAA=&#10;">
                  <v:fill on="f" focussize="0,0"/>
                  <v:stroke on="f"/>
                  <v:imagedata r:id="rId46" o:title=""/>
                  <o:lock v:ext="edit" aspectratio="t"/>
                </v:shape>
                <v:shape id="文本框 186" o:spid="_x0000_s1026" o:spt="202" type="#_x0000_t202" style="position:absolute;left:5860;top:1868;height:180;width:203;" filled="f" stroked="f" coordsize="21600,21600" o:gfxdata="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MJq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libri"/>
                            <w:sz w:val="18"/>
                          </w:rPr>
                        </w:pPr>
                        <w:r>
                          <w:rPr>
                            <w:rFonts w:ascii="Calibri"/>
                            <w:sz w:val="18"/>
                          </w:rPr>
                          <w:t>62</w:t>
                        </w:r>
                      </w:p>
                    </w:txbxContent>
                  </v:textbox>
                </v:shape>
              </v:group>
            </w:pict>
          </mc:Fallback>
        </mc:AlternateContent>
      </w:r>
      <w:r>
        <mc:AlternateContent>
          <mc:Choice Requires="wps">
            <w:drawing>
              <wp:anchor distT="0" distB="0" distL="114300" distR="114300" simplePos="0" relativeHeight="482457600" behindDoc="1" locked="0" layoutInCell="1" allowOverlap="1">
                <wp:simplePos x="0" y="0"/>
                <wp:positionH relativeFrom="page">
                  <wp:posOffset>954405</wp:posOffset>
                </wp:positionH>
                <wp:positionV relativeFrom="paragraph">
                  <wp:posOffset>180975</wp:posOffset>
                </wp:positionV>
                <wp:extent cx="502920" cy="5715"/>
                <wp:effectExtent l="0" t="0" r="0" b="0"/>
                <wp:wrapNone/>
                <wp:docPr id="290" name="任意多边形 187"/>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87" o:spid="_x0000_s1026" o:spt="100" style="position:absolute;left:0pt;margin-left:75.15pt;margin-top:14.25pt;height:0.45pt;width:39.6pt;mso-position-horizontal-relative:page;z-index:-20858880;mso-width-relative:page;mso-height-relative:page;" filled="f" stroked="t" coordsize="792,9" o:gfxdata="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&#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B4qThN1gAAAAkBAAAPAAAAAAAAAAEAIAAAACIAAABk&#10;cnMvZG93bnJldi54bWxQSwECFAAUAAAACACHTuJARQDHSOwCAACbCgAADgAAAAAAAAABACAAAAAl&#10;AQAAZHJzL2Uyb0RvYy54bWxQSwUGAAAAAAYABgBZAQAAgw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57600" behindDoc="1" locked="0" layoutInCell="1" allowOverlap="1">
                <wp:simplePos x="0" y="0"/>
                <wp:positionH relativeFrom="page">
                  <wp:posOffset>1433830</wp:posOffset>
                </wp:positionH>
                <wp:positionV relativeFrom="paragraph">
                  <wp:posOffset>388620</wp:posOffset>
                </wp:positionV>
                <wp:extent cx="502920" cy="5715"/>
                <wp:effectExtent l="0" t="0" r="0" b="0"/>
                <wp:wrapNone/>
                <wp:docPr id="291" name="任意多边形 18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88" o:spid="_x0000_s1026" o:spt="100" style="position:absolute;left:0pt;margin-left:112.9pt;margin-top:30.6pt;height:0.45pt;width:39.6pt;mso-position-horizontal-relative:page;z-index:-20858880;mso-width-relative:page;mso-height-relative:page;" filled="f" stroked="t" coordsize="792,9" o:gfxdata="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xTUmXdYAAAAJAQAADwAAAAAAAAABACAAAAAi&#10;AAAAZHJzL2Rvd25yZXYueG1sUEsBAhQAFAAAAAgAh07iQNMt+jDwAgAAmwoAAA4AAAAAAAAAAQAg&#10;AAAAJQ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rPr>
        <w:t>预收账款</w:t>
      </w:r>
      <w:r>
        <w:rPr>
          <w:spacing w:val="-4"/>
        </w:rPr>
        <w:t>是指企业按照合同规定向购货单位预收的款项。与应付账款不同，预收账款形成的负债不是以货币</w:t>
      </w:r>
      <w:r>
        <w:rPr>
          <w:spacing w:val="-7"/>
          <w:w w:val="95"/>
        </w:rPr>
        <w:t>支付，而是以</w:t>
      </w:r>
      <w:r>
        <w:rPr>
          <w:b/>
          <w:color w:val="00AFEF"/>
          <w:w w:val="95"/>
        </w:rPr>
        <w:t>货物清偿</w:t>
      </w:r>
      <w:r>
        <w:rPr>
          <w:spacing w:val="-11"/>
          <w:w w:val="95"/>
        </w:rPr>
        <w:t xml:space="preserve">。预收账款情况不多的，也可不设“预收账款”科目，将预收的款项直接记入“应收账款”    </w:t>
      </w:r>
      <w:r>
        <w:rPr>
          <w:spacing w:val="-11"/>
        </w:rPr>
        <w:t>科目的贷方。</w:t>
      </w:r>
    </w:p>
    <w:p>
      <w:pPr>
        <w:spacing w:after="0" w:line="304" w:lineRule="auto"/>
        <w:sectPr>
          <w:headerReference r:id="rId6" w:type="default"/>
          <w:footerReference r:id="rId7" w:type="default"/>
          <w:pgSz w:w="11910" w:h="16160"/>
          <w:pgMar w:top="1680" w:right="360" w:bottom="0" w:left="760" w:header="0" w:footer="0" w:gutter="0"/>
        </w:sectPr>
      </w:pPr>
    </w:p>
    <w:p>
      <w:pPr>
        <w:pStyle w:val="6"/>
        <w:spacing w:before="11"/>
        <w:ind w:left="0"/>
        <w:rPr>
          <w:sz w:val="13"/>
        </w:rPr>
      </w:pPr>
    </w:p>
    <w:p>
      <w:pPr>
        <w:pStyle w:val="5"/>
        <w:spacing w:before="71"/>
      </w:pPr>
      <w:r>
        <w:t>（二）账务处理</w:t>
      </w:r>
    </w:p>
    <w:p>
      <w:pPr>
        <w:pStyle w:val="6"/>
        <w:spacing w:before="0"/>
        <w:ind w:left="0"/>
        <w:rPr>
          <w:b/>
        </w:rPr>
      </w:pPr>
    </w:p>
    <w:p>
      <w:pPr>
        <w:pStyle w:val="6"/>
        <w:spacing w:before="2"/>
        <w:ind w:left="0"/>
        <w:rPr>
          <w:b/>
          <w:sz w:val="27"/>
        </w:rPr>
      </w:pPr>
    </w:p>
    <w:p>
      <w:pPr>
        <w:spacing w:before="70"/>
        <w:ind w:left="742" w:right="0" w:firstLine="0"/>
        <w:jc w:val="left"/>
        <w:rPr>
          <w:b/>
          <w:sz w:val="21"/>
        </w:rPr>
      </w:pPr>
      <w:bookmarkStart w:id="86" w:name="四、应付利息和应付股利"/>
      <w:bookmarkEnd w:id="86"/>
      <w:r>
        <w:rPr>
          <w:b/>
          <w:sz w:val="21"/>
          <w:shd w:val="clear" w:color="auto" w:fill="C0C0C0"/>
        </w:rPr>
        <w:t>四、应付利息和应付股利</w:t>
      </w:r>
    </w:p>
    <w:p>
      <w:pPr>
        <w:pStyle w:val="5"/>
        <w:spacing w:before="92"/>
      </w:pPr>
      <w:r>
        <w:t>（一）应付利息</w:t>
      </w:r>
    </w:p>
    <w:p>
      <w:pPr>
        <w:pStyle w:val="6"/>
        <w:spacing w:line="302" w:lineRule="auto"/>
        <w:ind w:left="322" w:right="722" w:firstLine="400"/>
      </w:pPr>
      <w:r>
        <mc:AlternateContent>
          <mc:Choice Requires="wps">
            <w:drawing>
              <wp:anchor distT="0" distB="0" distL="114300" distR="114300" simplePos="0" relativeHeight="15825920" behindDoc="0" locked="0" layoutInCell="1" allowOverlap="1">
                <wp:simplePos x="0" y="0"/>
                <wp:positionH relativeFrom="page">
                  <wp:posOffset>1537335</wp:posOffset>
                </wp:positionH>
                <wp:positionV relativeFrom="paragraph">
                  <wp:posOffset>413385</wp:posOffset>
                </wp:positionV>
                <wp:extent cx="4488180" cy="640080"/>
                <wp:effectExtent l="0" t="0" r="0" b="0"/>
                <wp:wrapNone/>
                <wp:docPr id="138" name="文本框 189"/>
                <wp:cNvGraphicFramePr/>
                <a:graphic xmlns:a="http://schemas.openxmlformats.org/drawingml/2006/main">
                  <a:graphicData uri="http://schemas.microsoft.com/office/word/2010/wordprocessingShape">
                    <wps:wsp>
                      <wps:cNvSpPr txBox="1"/>
                      <wps:spPr>
                        <a:xfrm>
                          <a:off x="0" y="0"/>
                          <a:ext cx="4488180" cy="64008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26"/>
                              <w:gridCol w:w="3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526" w:type="dxa"/>
                                  <w:shd w:val="clear" w:color="auto" w:fill="C0C0C0"/>
                                </w:tcPr>
                                <w:p>
                                  <w:pPr>
                                    <w:pStyle w:val="14"/>
                                    <w:spacing w:before="68" w:line="238" w:lineRule="exact"/>
                                    <w:ind w:left="506"/>
                                    <w:rPr>
                                      <w:sz w:val="20"/>
                                    </w:rPr>
                                  </w:pPr>
                                  <w:r>
                                    <w:rPr>
                                      <w:sz w:val="20"/>
                                    </w:rPr>
                                    <w:t>①计提利息</w:t>
                                  </w:r>
                                </w:p>
                              </w:tc>
                              <w:tc>
                                <w:tcPr>
                                  <w:tcW w:w="3527" w:type="dxa"/>
                                  <w:shd w:val="clear" w:color="auto" w:fill="C0C0C0"/>
                                </w:tcPr>
                                <w:p>
                                  <w:pPr>
                                    <w:pStyle w:val="14"/>
                                    <w:spacing w:before="68" w:line="238" w:lineRule="exact"/>
                                    <w:ind w:left="508"/>
                                    <w:rPr>
                                      <w:sz w:val="20"/>
                                    </w:rPr>
                                  </w:pPr>
                                  <w:r>
                                    <w:rPr>
                                      <w:sz w:val="20"/>
                                    </w:rPr>
                                    <w:t>②实际支付利息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526" w:type="dxa"/>
                                </w:tcPr>
                                <w:p>
                                  <w:pPr>
                                    <w:pStyle w:val="14"/>
                                    <w:spacing w:before="7" w:line="326" w:lineRule="exact"/>
                                    <w:ind w:left="506" w:right="206" w:hanging="399"/>
                                    <w:rPr>
                                      <w:sz w:val="20"/>
                                    </w:rPr>
                                  </w:pPr>
                                  <w:r>
                                    <w:rPr>
                                      <w:sz w:val="20"/>
                                    </w:rPr>
                                    <w:t>借：在建工程、财务费用、研发支出贷：应付利息</w:t>
                                  </w:r>
                                </w:p>
                              </w:tc>
                              <w:tc>
                                <w:tcPr>
                                  <w:tcW w:w="3527" w:type="dxa"/>
                                </w:tcPr>
                                <w:p>
                                  <w:pPr>
                                    <w:pStyle w:val="14"/>
                                    <w:spacing w:before="68"/>
                                    <w:ind w:left="107"/>
                                    <w:rPr>
                                      <w:sz w:val="20"/>
                                    </w:rPr>
                                  </w:pPr>
                                  <w:r>
                                    <w:rPr>
                                      <w:sz w:val="20"/>
                                    </w:rPr>
                                    <w:t>借：应付利息</w:t>
                                  </w:r>
                                </w:p>
                                <w:p>
                                  <w:pPr>
                                    <w:pStyle w:val="14"/>
                                    <w:spacing w:before="70" w:line="237" w:lineRule="exact"/>
                                    <w:ind w:left="508"/>
                                    <w:rPr>
                                      <w:sz w:val="20"/>
                                    </w:rPr>
                                  </w:pPr>
                                  <w:r>
                                    <w:rPr>
                                      <w:sz w:val="20"/>
                                    </w:rPr>
                                    <w:t>贷：银行存款</w:t>
                                  </w:r>
                                </w:p>
                              </w:tc>
                            </w:tr>
                          </w:tbl>
                          <w:p>
                            <w:pPr>
                              <w:pStyle w:val="6"/>
                              <w:spacing w:before="0"/>
                              <w:ind w:left="0"/>
                            </w:pPr>
                          </w:p>
                        </w:txbxContent>
                      </wps:txbx>
                      <wps:bodyPr lIns="0" tIns="0" rIns="0" bIns="0" upright="1"/>
                    </wps:wsp>
                  </a:graphicData>
                </a:graphic>
              </wp:anchor>
            </w:drawing>
          </mc:Choice>
          <mc:Fallback>
            <w:pict>
              <v:shape id="文本框 189" o:spid="_x0000_s1026" o:spt="202" type="#_x0000_t202" style="position:absolute;left:0pt;margin-left:121.05pt;margin-top:32.55pt;height:50.4pt;width:353.4pt;mso-position-horizontal-relative:page;z-index:15825920;mso-width-relative:page;mso-height-relative:page;" filled="f" stroked="f" coordsize="21600,21600" o:gfxdata="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S5jlmNkAAAAKAQAADwAAAAAA&#10;AAABACAAAAAiAAAAZHJzL2Rvd25yZXYueG1sUEsBAhQAFAAAAAgAh07iQK60fI+gAQAAKAMAAA4A&#10;AAAAAAAAAQAgAAAAKAEAAGRycy9lMm9Eb2MueG1sUEsFBgAAAAAGAAYAWQEAADo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26"/>
                        <w:gridCol w:w="3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526" w:type="dxa"/>
                            <w:shd w:val="clear" w:color="auto" w:fill="C0C0C0"/>
                          </w:tcPr>
                          <w:p>
                            <w:pPr>
                              <w:pStyle w:val="14"/>
                              <w:spacing w:before="68" w:line="238" w:lineRule="exact"/>
                              <w:ind w:left="506"/>
                              <w:rPr>
                                <w:sz w:val="20"/>
                              </w:rPr>
                            </w:pPr>
                            <w:r>
                              <w:rPr>
                                <w:sz w:val="20"/>
                              </w:rPr>
                              <w:t>①计提利息</w:t>
                            </w:r>
                          </w:p>
                        </w:tc>
                        <w:tc>
                          <w:tcPr>
                            <w:tcW w:w="3527" w:type="dxa"/>
                            <w:shd w:val="clear" w:color="auto" w:fill="C0C0C0"/>
                          </w:tcPr>
                          <w:p>
                            <w:pPr>
                              <w:pStyle w:val="14"/>
                              <w:spacing w:before="68" w:line="238" w:lineRule="exact"/>
                              <w:ind w:left="508"/>
                              <w:rPr>
                                <w:sz w:val="20"/>
                              </w:rPr>
                            </w:pPr>
                            <w:r>
                              <w:rPr>
                                <w:sz w:val="20"/>
                              </w:rPr>
                              <w:t>②实际支付利息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526" w:type="dxa"/>
                          </w:tcPr>
                          <w:p>
                            <w:pPr>
                              <w:pStyle w:val="14"/>
                              <w:spacing w:before="7" w:line="326" w:lineRule="exact"/>
                              <w:ind w:left="506" w:right="206" w:hanging="399"/>
                              <w:rPr>
                                <w:sz w:val="20"/>
                              </w:rPr>
                            </w:pPr>
                            <w:r>
                              <w:rPr>
                                <w:sz w:val="20"/>
                              </w:rPr>
                              <w:t>借：在建工程、财务费用、研发支出贷：应付利息</w:t>
                            </w:r>
                          </w:p>
                        </w:tc>
                        <w:tc>
                          <w:tcPr>
                            <w:tcW w:w="3527" w:type="dxa"/>
                          </w:tcPr>
                          <w:p>
                            <w:pPr>
                              <w:pStyle w:val="14"/>
                              <w:spacing w:before="68"/>
                              <w:ind w:left="107"/>
                              <w:rPr>
                                <w:sz w:val="20"/>
                              </w:rPr>
                            </w:pPr>
                            <w:r>
                              <w:rPr>
                                <w:sz w:val="20"/>
                              </w:rPr>
                              <w:t>借：应付利息</w:t>
                            </w:r>
                          </w:p>
                          <w:p>
                            <w:pPr>
                              <w:pStyle w:val="14"/>
                              <w:spacing w:before="70" w:line="237" w:lineRule="exact"/>
                              <w:ind w:left="508"/>
                              <w:rPr>
                                <w:sz w:val="20"/>
                              </w:rPr>
                            </w:pPr>
                            <w:r>
                              <w:rPr>
                                <w:sz w:val="20"/>
                              </w:rPr>
                              <w:t>贷：银行存款</w:t>
                            </w:r>
                          </w:p>
                        </w:tc>
                      </w:tr>
                    </w:tbl>
                    <w:p>
                      <w:pPr>
                        <w:pStyle w:val="6"/>
                        <w:spacing w:before="0"/>
                        <w:ind w:left="0"/>
                      </w:pPr>
                    </w:p>
                  </w:txbxContent>
                </v:textbox>
              </v:shape>
            </w:pict>
          </mc:Fallback>
        </mc:AlternateContent>
      </w:r>
      <w:r>
        <w:rPr>
          <w:spacing w:val="-1"/>
          <w:w w:val="95"/>
        </w:rPr>
        <w:t>应付利息是指企业按照合同约定应支付的利息，包括</w:t>
      </w:r>
      <w:r>
        <w:rPr>
          <w:color w:val="FF0000"/>
          <w:spacing w:val="-5"/>
          <w:w w:val="95"/>
          <w:u w:val="double" w:color="FF0000"/>
        </w:rPr>
        <w:t>短期借款、分期付息到期还本的长期借款，企业债券等</w:t>
      </w:r>
      <w:r>
        <w:rPr>
          <w:color w:val="FF0000"/>
          <w:spacing w:val="-199"/>
          <w:w w:val="95"/>
          <w:u w:val="double" w:color="FF0000"/>
        </w:rPr>
        <w:t>应</w:t>
      </w:r>
      <w:r>
        <w:rPr>
          <w:color w:val="FF0000"/>
          <w:spacing w:val="188"/>
          <w:w w:val="95"/>
          <w:u w:val="double" w:color="FF0000"/>
        </w:rPr>
        <w:t xml:space="preserve"> </w:t>
      </w:r>
      <w:r>
        <w:rPr>
          <w:color w:val="FF0000"/>
          <w:u w:val="double" w:color="FF0000"/>
        </w:rPr>
        <w:t>支付的利息</w:t>
      </w:r>
      <w:r>
        <w:t>。</w:t>
      </w:r>
    </w:p>
    <w:p>
      <w:pPr>
        <w:pStyle w:val="6"/>
        <w:spacing w:before="0"/>
        <w:ind w:left="0"/>
      </w:pPr>
    </w:p>
    <w:p>
      <w:pPr>
        <w:pStyle w:val="6"/>
        <w:spacing w:before="0"/>
        <w:ind w:left="0"/>
      </w:pPr>
    </w:p>
    <w:p>
      <w:pPr>
        <w:pStyle w:val="6"/>
        <w:spacing w:before="0"/>
        <w:ind w:left="0"/>
      </w:pPr>
    </w:p>
    <w:p>
      <w:pPr>
        <w:pStyle w:val="6"/>
        <w:spacing w:before="0"/>
        <w:ind w:left="0"/>
        <w:rPr>
          <w:sz w:val="19"/>
        </w:rPr>
      </w:pPr>
    </w:p>
    <w:p>
      <w:pPr>
        <w:pStyle w:val="5"/>
        <w:spacing w:before="0"/>
      </w:pPr>
      <w:r>
        <w:t>（二）应付股利</w:t>
      </w:r>
    </w:p>
    <w:p>
      <w:pPr>
        <w:pStyle w:val="6"/>
      </w:pPr>
      <w:r>
        <w:t>应付股利是指</w:t>
      </w:r>
      <w:r>
        <w:rPr>
          <w:color w:val="FF0000"/>
          <w:u w:val="double" w:color="FF0000"/>
        </w:rPr>
        <w:t>企业根据股东大会或类似机构审议批准的利润分配方案确定分配给投资者的现金股利或利润。</w:t>
      </w:r>
    </w:p>
    <w:p>
      <w:pPr>
        <w:pStyle w:val="6"/>
        <w:tabs>
          <w:tab w:val="left" w:pos="5823"/>
        </w:tabs>
        <w:spacing w:before="71"/>
      </w:pPr>
      <w:r>
        <w:t>①宣告分派股利</w:t>
      </w:r>
      <w:r>
        <w:tab/>
      </w:r>
      <w:r>
        <w:t>②实际支付股利</w:t>
      </w:r>
    </w:p>
    <w:p>
      <w:pPr>
        <w:pStyle w:val="6"/>
        <w:tabs>
          <w:tab w:val="left" w:pos="5923"/>
        </w:tabs>
      </w:pPr>
      <w:r>
        <w:t>借：利润分配—应付现金股利或利润</w:t>
      </w:r>
      <w:r>
        <w:tab/>
      </w:r>
      <w:r>
        <w:t>借：应付股利</w:t>
      </w:r>
    </w:p>
    <w:p>
      <w:pPr>
        <w:pStyle w:val="6"/>
        <w:tabs>
          <w:tab w:val="left" w:pos="6423"/>
        </w:tabs>
        <w:ind w:left="1123"/>
      </w:pPr>
      <w:r>
        <w:t>贷：应付股利</w:t>
      </w:r>
      <w:r>
        <w:tab/>
      </w:r>
      <w:r>
        <w:t>贷：银行存款</w:t>
      </w:r>
    </w:p>
    <w:p>
      <w:pPr>
        <w:pStyle w:val="6"/>
        <w:spacing w:before="68" w:line="304" w:lineRule="auto"/>
        <w:ind w:left="322" w:right="645" w:firstLine="400"/>
      </w:pPr>
      <w:r>
        <mc:AlternateContent>
          <mc:Choice Requires="wps">
            <w:drawing>
              <wp:anchor distT="0" distB="0" distL="114300" distR="114300" simplePos="0" relativeHeight="482459648" behindDoc="1" locked="0" layoutInCell="1" allowOverlap="1">
                <wp:simplePos x="0" y="0"/>
                <wp:positionH relativeFrom="page">
                  <wp:posOffset>1068705</wp:posOffset>
                </wp:positionH>
                <wp:positionV relativeFrom="paragraph">
                  <wp:posOffset>181610</wp:posOffset>
                </wp:positionV>
                <wp:extent cx="251460" cy="5715"/>
                <wp:effectExtent l="0" t="0" r="0" b="0"/>
                <wp:wrapNone/>
                <wp:docPr id="293" name="任意多边形 190"/>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90" o:spid="_x0000_s1026" o:spt="100" style="position:absolute;left:0pt;margin-left:84.15pt;margin-top:14.3pt;height:0.45pt;width:19.8pt;mso-position-horizontal-relative:page;z-index:-20856832;mso-width-relative:page;mso-height-relative:page;" filled="f" stroked="t" coordsize="396,9" o:gfxdata="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zn&#10;4D7ZAAAACQEAAA8AAAAAAAAAAQAgAAAAIgAAAGRycy9kb3ducmV2LnhtbFBLAQIUABQAAAAIAIdO&#10;4kCMhcLS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w w:val="95"/>
        </w:rPr>
        <w:t>】1.企业董事会或类似机构通过的利润分配方案中</w:t>
      </w:r>
      <w:r>
        <w:rPr>
          <w:color w:val="FF0000"/>
          <w:w w:val="95"/>
          <w:u w:val="double" w:color="FF0000"/>
        </w:rPr>
        <w:t>拟分配的现金股利或利润，不做账务处理</w:t>
      </w:r>
      <w:r>
        <w:rPr>
          <w:w w:val="95"/>
        </w:rPr>
        <w:t xml:space="preserve">，但应在   </w:t>
      </w:r>
      <w:r>
        <w:t>附注中披露。2.</w:t>
      </w:r>
      <w:r>
        <w:rPr>
          <w:color w:val="FF0000"/>
          <w:u w:val="double" w:color="FF0000"/>
        </w:rPr>
        <w:t>企业分配股票股利不通过“应付股利”科目核算</w:t>
      </w:r>
      <w:r>
        <w:t>，其账务处理为：</w:t>
      </w:r>
    </w:p>
    <w:p>
      <w:pPr>
        <w:pStyle w:val="6"/>
        <w:spacing w:before="2"/>
        <w:ind w:left="0" w:right="8861"/>
        <w:jc w:val="right"/>
      </w:pPr>
      <w:r>
        <w:rPr>
          <w:w w:val="95"/>
        </w:rPr>
        <w:t>借：利润分配</w:t>
      </w:r>
    </w:p>
    <w:p>
      <w:pPr>
        <w:pStyle w:val="6"/>
        <w:ind w:left="0" w:right="8762"/>
        <w:jc w:val="right"/>
      </w:pPr>
      <w:r>
        <w:rPr>
          <w:w w:val="95"/>
        </w:rPr>
        <w:t>贷：股本</w:t>
      </w:r>
    </w:p>
    <w:p>
      <w:pPr>
        <w:spacing w:before="21"/>
        <w:ind w:left="742" w:right="0" w:firstLine="0"/>
        <w:jc w:val="left"/>
        <w:rPr>
          <w:b/>
          <w:sz w:val="21"/>
        </w:rPr>
      </w:pPr>
      <w:bookmarkStart w:id="87" w:name="五、其他应付款"/>
      <w:bookmarkEnd w:id="87"/>
      <w:r>
        <w:rPr>
          <w:b/>
          <w:sz w:val="21"/>
          <w:shd w:val="clear" w:color="auto" w:fill="C0C0C0"/>
        </w:rPr>
        <w:t>五、其他应付款</w:t>
      </w:r>
    </w:p>
    <w:p>
      <w:pPr>
        <w:pStyle w:val="5"/>
        <w:spacing w:before="92"/>
      </w:pPr>
      <w:r>
        <w:t>（一）概述</w:t>
      </w:r>
    </w:p>
    <w:p>
      <w:pPr>
        <w:pStyle w:val="6"/>
        <w:spacing w:line="302" w:lineRule="auto"/>
        <w:ind w:left="322" w:right="722" w:firstLine="400"/>
      </w:pPr>
      <w:r>
        <w:rPr>
          <w:spacing w:val="-5"/>
          <w:w w:val="95"/>
        </w:rPr>
        <w:t xml:space="preserve">其他应付款是指企业除应付票据、应付账款、预收账款、应付职工薪酬、应交税费、应付股利等经营活动以   </w:t>
      </w:r>
      <w:r>
        <w:rPr>
          <w:spacing w:val="-5"/>
        </w:rPr>
        <w:t>外的其他各项应付、暂收的款项，如</w:t>
      </w:r>
      <w:r>
        <w:rPr>
          <w:color w:val="FF0000"/>
          <w:spacing w:val="-5"/>
          <w:u w:val="double" w:color="FF0000"/>
        </w:rPr>
        <w:t>应付短期租赁固定资产租金、租入包装物租金、存入保证金</w:t>
      </w:r>
      <w:r>
        <w:rPr>
          <w:spacing w:val="-5"/>
        </w:rPr>
        <w:t>等。</w:t>
      </w:r>
    </w:p>
    <w:p>
      <w:pPr>
        <w:pStyle w:val="5"/>
        <w:spacing w:before="5"/>
      </w:pPr>
      <w:r>
        <w:t>（二）其他应付款的账务处理</w:t>
      </w:r>
    </w:p>
    <w:p>
      <w:pPr>
        <w:pStyle w:val="6"/>
        <w:tabs>
          <w:tab w:val="left" w:pos="5623"/>
        </w:tabs>
      </w:pPr>
      <w:r>
        <w:t>1.计提应付的租金</w:t>
      </w:r>
      <w:r>
        <w:tab/>
      </w:r>
      <w:r>
        <w:t>2.先收后还的押金</w:t>
      </w:r>
    </w:p>
    <w:p>
      <w:pPr>
        <w:pStyle w:val="6"/>
        <w:spacing w:before="11"/>
        <w:ind w:left="0"/>
        <w:rPr>
          <w:sz w:val="11"/>
        </w:rPr>
      </w:pPr>
      <w:r>
        <w:drawing>
          <wp:anchor distT="0" distB="0" distL="0" distR="0" simplePos="0" relativeHeight="1024" behindDoc="0" locked="0" layoutInCell="1" allowOverlap="1">
            <wp:simplePos x="0" y="0"/>
            <wp:positionH relativeFrom="page">
              <wp:posOffset>972185</wp:posOffset>
            </wp:positionH>
            <wp:positionV relativeFrom="paragraph">
              <wp:posOffset>276225</wp:posOffset>
            </wp:positionV>
            <wp:extent cx="2483485" cy="452120"/>
            <wp:effectExtent l="0" t="0" r="0" b="0"/>
            <wp:wrapTopAndBottom/>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png"/>
                    <pic:cNvPicPr>
                      <a:picLocks noChangeAspect="1"/>
                    </pic:cNvPicPr>
                  </pic:nvPicPr>
                  <pic:blipFill>
                    <a:blip r:embed="rId47" cstate="print"/>
                    <a:stretch>
                      <a:fillRect/>
                    </a:stretch>
                  </pic:blipFill>
                  <pic:spPr>
                    <a:xfrm>
                      <a:off x="0" y="0"/>
                      <a:ext cx="2483298" cy="451961"/>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3975735</wp:posOffset>
            </wp:positionH>
            <wp:positionV relativeFrom="paragraph">
              <wp:posOffset>121285</wp:posOffset>
            </wp:positionV>
            <wp:extent cx="1579880" cy="569595"/>
            <wp:effectExtent l="0" t="0" r="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0.png"/>
                    <pic:cNvPicPr>
                      <a:picLocks noChangeAspect="1"/>
                    </pic:cNvPicPr>
                  </pic:nvPicPr>
                  <pic:blipFill>
                    <a:blip r:embed="rId48" cstate="print"/>
                    <a:stretch>
                      <a:fillRect/>
                    </a:stretch>
                  </pic:blipFill>
                  <pic:spPr>
                    <a:xfrm>
                      <a:off x="0" y="0"/>
                      <a:ext cx="1579994" cy="569594"/>
                    </a:xfrm>
                    <a:prstGeom prst="rect">
                      <a:avLst/>
                    </a:prstGeom>
                  </pic:spPr>
                </pic:pic>
              </a:graphicData>
            </a:graphic>
          </wp:anchor>
        </w:drawing>
      </w:r>
    </w:p>
    <w:p>
      <w:pPr>
        <w:pStyle w:val="6"/>
        <w:spacing w:before="0"/>
        <w:ind w:left="0"/>
      </w:pPr>
    </w:p>
    <w:p>
      <w:pPr>
        <w:pStyle w:val="6"/>
        <w:spacing w:before="5"/>
        <w:ind w:left="0"/>
      </w:pPr>
    </w:p>
    <w:p>
      <w:pPr>
        <w:pStyle w:val="3"/>
        <w:tabs>
          <w:tab w:val="left" w:pos="839"/>
        </w:tabs>
        <w:spacing w:before="1"/>
        <w:ind w:left="0" w:right="399"/>
        <w:jc w:val="center"/>
        <w:rPr>
          <w:rFonts w:hint="eastAsia" w:ascii="微软雅黑" w:eastAsia="微软雅黑"/>
        </w:rPr>
      </w:pPr>
      <w:bookmarkStart w:id="88" w:name="_bookmark18"/>
      <w:bookmarkEnd w:id="88"/>
      <w:bookmarkStart w:id="89" w:name="第三节　应付职工薪酬"/>
      <w:bookmarkEnd w:id="89"/>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应付职工薪酬</w:t>
      </w:r>
    </w:p>
    <w:p>
      <w:pPr>
        <w:spacing w:before="138"/>
        <w:ind w:left="742" w:right="0" w:firstLine="0"/>
        <w:jc w:val="left"/>
        <w:rPr>
          <w:b/>
          <w:sz w:val="21"/>
        </w:rPr>
      </w:pPr>
      <w:bookmarkStart w:id="90" w:name="一、职工薪酬的内容"/>
      <w:bookmarkEnd w:id="90"/>
      <w:r>
        <w:rPr>
          <w:b/>
          <w:sz w:val="21"/>
          <w:shd w:val="clear" w:color="auto" w:fill="C0C0C0"/>
        </w:rPr>
        <w:t>一、职工薪酬的内容</w:t>
      </w:r>
    </w:p>
    <w:p>
      <w:pPr>
        <w:pStyle w:val="6"/>
        <w:spacing w:before="91"/>
      </w:pPr>
      <w:r>
        <w:t>企业为获得职工提供的服务或解除劳动关系而给予的各种形式的报酬或补偿。</w:t>
      </w:r>
    </w:p>
    <w:p>
      <w:pPr>
        <w:pStyle w:val="6"/>
        <w:spacing w:line="302" w:lineRule="auto"/>
        <w:ind w:right="1461"/>
      </w:pPr>
      <w:r>
        <w:rPr>
          <w:w w:val="95"/>
        </w:rPr>
        <w:t>企业提供给</w:t>
      </w:r>
      <w:r>
        <w:rPr>
          <w:color w:val="FF0000"/>
          <w:w w:val="95"/>
          <w:u w:val="double" w:color="FF0000"/>
        </w:rPr>
        <w:t>职工配偶、子女、受赡养人、已故员工遗属及其他受益人</w:t>
      </w:r>
      <w:r>
        <w:rPr>
          <w:w w:val="95"/>
        </w:rPr>
        <w:t xml:space="preserve">等的福利，也属于职工福利。   </w:t>
      </w:r>
      <w:r>
        <w:t>职工主要包括三类人员：</w:t>
      </w:r>
    </w:p>
    <w:p>
      <w:pPr>
        <w:pStyle w:val="6"/>
        <w:spacing w:before="5"/>
      </w:pPr>
      <w:r>
        <w:t>一是与</w:t>
      </w:r>
      <w:r>
        <w:rPr>
          <w:color w:val="FF0000"/>
          <w:u w:val="double" w:color="FF0000"/>
        </w:rPr>
        <w:t>企业订立劳动合同</w:t>
      </w:r>
      <w:r>
        <w:t>的所有人员，含全职、兼职和临时职工；</w:t>
      </w:r>
    </w:p>
    <w:p>
      <w:pPr>
        <w:pStyle w:val="6"/>
      </w:pPr>
      <w:r>
        <w:t>二是未</w:t>
      </w:r>
      <w:r>
        <w:rPr>
          <w:b/>
          <w:color w:val="00AFEF"/>
          <w:u w:val="single" w:color="00AFEF"/>
        </w:rPr>
        <w:t>与企业订立劳动合同</w:t>
      </w:r>
      <w:r>
        <w:t>、但由企业正式任命的企业治理层和管理层人员，如</w:t>
      </w:r>
      <w:r>
        <w:rPr>
          <w:color w:val="FF0000"/>
          <w:u w:val="double" w:color="FF0000"/>
        </w:rPr>
        <w:t>董事会成员、监事会成员</w:t>
      </w:r>
      <w:r>
        <w:t>等；</w:t>
      </w:r>
    </w:p>
    <w:p>
      <w:pPr>
        <w:spacing w:after="0"/>
        <w:sectPr>
          <w:headerReference r:id="rId8" w:type="default"/>
          <w:footerReference r:id="rId9" w:type="default"/>
          <w:pgSz w:w="11910" w:h="16160"/>
          <w:pgMar w:top="1680" w:right="360" w:bottom="740" w:left="760" w:header="0" w:footer="548" w:gutter="0"/>
          <w:pgNumType w:start="63"/>
        </w:sectPr>
      </w:pPr>
    </w:p>
    <w:p>
      <w:pPr>
        <w:pStyle w:val="6"/>
        <w:spacing w:before="11"/>
        <w:ind w:left="0"/>
        <w:rPr>
          <w:sz w:val="13"/>
        </w:rPr>
      </w:pPr>
    </w:p>
    <w:p>
      <w:pPr>
        <w:pStyle w:val="6"/>
        <w:spacing w:before="71" w:line="304" w:lineRule="auto"/>
        <w:ind w:left="322" w:right="662" w:firstLine="400"/>
      </w:pPr>
      <w:r>
        <w:t>三是在</w:t>
      </w:r>
      <w:r>
        <w:rPr>
          <w:b/>
          <w:color w:val="00AFEF"/>
          <w:u w:val="single" w:color="00AFEF"/>
        </w:rPr>
        <w:t>企业的计划和控制下</w:t>
      </w:r>
      <w:r>
        <w:rPr>
          <w:spacing w:val="-8"/>
        </w:rPr>
        <w:t>，虽未与企业订立劳动合同或未由其正式任命，但向企业所提供服务与职工所提</w:t>
      </w:r>
      <w:r>
        <w:rPr>
          <w:spacing w:val="-8"/>
          <w:w w:val="95"/>
        </w:rPr>
        <w:t>供服务类似的人员，也属于职工的范畴，包括</w:t>
      </w:r>
      <w:r>
        <w:rPr>
          <w:color w:val="FF0000"/>
          <w:spacing w:val="-8"/>
          <w:w w:val="95"/>
          <w:u w:val="double" w:color="FF0000"/>
        </w:rPr>
        <w:t>通过企业与劳务中介公司签订用工合同而向企业提供服务的人员</w:t>
      </w:r>
      <w:r>
        <w:rPr>
          <w:spacing w:val="-8"/>
          <w:w w:val="95"/>
        </w:rPr>
        <w:t>。</w:t>
      </w:r>
    </w:p>
    <w:p>
      <w:pPr>
        <w:pStyle w:val="6"/>
        <w:spacing w:before="2" w:line="304" w:lineRule="auto"/>
        <w:ind w:right="3861"/>
        <w:rPr>
          <w:b/>
        </w:rPr>
      </w:pPr>
      <w:r>
        <w:rPr>
          <w:color w:val="FF0000"/>
          <w:u w:val="double" w:color="FF0000"/>
        </w:rPr>
        <w:t>职工薪酬包括短期薪酬、离职后福利、辞退福利和其他长期职工福利</w:t>
      </w:r>
      <w:r>
        <w:t>。</w:t>
      </w:r>
      <w:r>
        <w:rPr>
          <w:b/>
        </w:rPr>
        <w:t>1.短期薪酬</w:t>
      </w:r>
    </w:p>
    <w:p>
      <w:pPr>
        <w:pStyle w:val="6"/>
        <w:spacing w:before="2" w:line="302" w:lineRule="auto"/>
        <w:ind w:left="322" w:right="662" w:firstLine="400"/>
      </w:pPr>
      <w:r>
        <w:rPr>
          <w:w w:val="95"/>
        </w:rPr>
        <w:t xml:space="preserve">短期薪酬，是指企业在职工提供相关服务的年度报告期间结束后十二个月内需要全部予以支付的职工薪酬，   </w:t>
      </w:r>
      <w:r>
        <w:rPr>
          <w:color w:val="FF0000"/>
          <w:u w:val="double" w:color="FF0000"/>
        </w:rPr>
        <w:t>因解除与职工的劳动关系给予的补偿除外（辞退福利</w:t>
      </w:r>
      <w:r>
        <w:rPr>
          <w:color w:val="FF0000"/>
          <w:spacing w:val="-99"/>
          <w:u w:val="double" w:color="FF0000"/>
        </w:rPr>
        <w:t>）</w:t>
      </w:r>
      <w:r>
        <w:t>。</w:t>
      </w:r>
    </w:p>
    <w:p>
      <w:pPr>
        <w:pStyle w:val="5"/>
        <w:spacing w:before="4"/>
      </w:pPr>
      <w:r>
        <w:rPr>
          <w:color w:val="00AFEF"/>
          <w:u w:val="single" w:color="00AFEF"/>
        </w:rPr>
        <w:t>短期薪酬具体包括：</w:t>
      </w:r>
    </w:p>
    <w:p>
      <w:pPr>
        <w:pStyle w:val="6"/>
        <w:spacing w:before="71"/>
      </w:pPr>
      <w:r>
        <w:t>①职工工资、奖金、津贴和补贴;②职工福利费;③医疗保险费、工伤保险费和生育保险费等社会保险费</w:t>
      </w:r>
    </w:p>
    <w:p>
      <w:pPr>
        <w:pStyle w:val="6"/>
      </w:pPr>
      <w:r>
        <w:t>④住房公积金;⑤工会经费和职工教育经费;⑥短期带薪缺勤;⑦短期利润分享计划;⑧其他短期薪酬</w:t>
      </w:r>
    </w:p>
    <w:p>
      <w:pPr>
        <w:pStyle w:val="5"/>
      </w:pPr>
      <w:r>
        <w:t>（二）离职后福利</w:t>
      </w:r>
    </w:p>
    <w:p>
      <w:pPr>
        <w:pStyle w:val="6"/>
        <w:spacing w:line="302" w:lineRule="auto"/>
        <w:ind w:left="322" w:right="667" w:firstLine="400"/>
      </w:pPr>
      <w:r>
        <w:t>离职后福利，是指企业为获得职工提供的服务而在</w:t>
      </w:r>
      <w:r>
        <w:rPr>
          <w:color w:val="FF0000"/>
          <w:u w:val="double" w:color="FF0000"/>
        </w:rPr>
        <w:t>职工退休或与企业解除劳动关系后</w:t>
      </w:r>
      <w:r>
        <w:t>，提供的各种形式的报酬和福利，</w:t>
      </w:r>
      <w:r>
        <w:rPr>
          <w:color w:val="FF0000"/>
          <w:u w:val="double" w:color="FF0000"/>
        </w:rPr>
        <w:t>短期薪酬和辞退福利除外</w:t>
      </w:r>
      <w:r>
        <w:t>。</w:t>
      </w:r>
    </w:p>
    <w:p>
      <w:pPr>
        <w:pStyle w:val="6"/>
        <w:spacing w:before="5"/>
      </w:pPr>
      <w:r>
        <w:rPr>
          <w:color w:val="FF0000"/>
          <w:u w:val="double" w:color="FF0000"/>
        </w:rPr>
        <w:t>离职后福利计划分类为设定提存计划和设定受益计划。</w:t>
      </w:r>
    </w:p>
    <w:p>
      <w:pPr>
        <w:pStyle w:val="6"/>
        <w:spacing w:line="304" w:lineRule="auto"/>
        <w:ind w:left="322" w:right="722" w:firstLine="400"/>
      </w:pPr>
      <w:r>
        <w:rPr>
          <w:spacing w:val="-5"/>
          <w:w w:val="95"/>
        </w:rPr>
        <w:t xml:space="preserve">设定提存计划，是指向独立的基金缴存固定费用后，企业不再承担进一步支付义务的离职后福利计划；如养   </w:t>
      </w:r>
      <w:r>
        <w:rPr>
          <w:spacing w:val="-5"/>
        </w:rPr>
        <w:t>老保险、失业保险。</w:t>
      </w:r>
    </w:p>
    <w:p>
      <w:pPr>
        <w:pStyle w:val="6"/>
        <w:spacing w:before="2"/>
      </w:pPr>
      <w:r>
        <w:t>设定受益计划是指除设定提存计划以外的离职后福利计划。</w:t>
      </w:r>
    </w:p>
    <w:p>
      <w:pPr>
        <w:pStyle w:val="5"/>
      </w:pPr>
      <w:r>
        <w:t>（三）辞退福利</w:t>
      </w:r>
    </w:p>
    <w:p>
      <w:pPr>
        <w:pStyle w:val="6"/>
        <w:spacing w:before="68" w:line="304" w:lineRule="auto"/>
        <w:ind w:left="322" w:right="649" w:firstLine="400"/>
      </w:pPr>
      <w:r>
        <mc:AlternateContent>
          <mc:Choice Requires="wps">
            <w:drawing>
              <wp:anchor distT="0" distB="0" distL="114300" distR="114300" simplePos="0" relativeHeight="482461696" behindDoc="1" locked="0" layoutInCell="1" allowOverlap="1">
                <wp:simplePos x="0" y="0"/>
                <wp:positionH relativeFrom="page">
                  <wp:posOffset>941705</wp:posOffset>
                </wp:positionH>
                <wp:positionV relativeFrom="paragraph">
                  <wp:posOffset>180975</wp:posOffset>
                </wp:positionV>
                <wp:extent cx="502920" cy="5715"/>
                <wp:effectExtent l="0" t="0" r="0" b="0"/>
                <wp:wrapNone/>
                <wp:docPr id="294" name="任意多边形 191"/>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91" o:spid="_x0000_s1026" o:spt="100" style="position:absolute;left:0pt;margin-left:74.15pt;margin-top:14.25pt;height:0.45pt;width:39.6pt;mso-position-horizontal-relative:page;z-index:-20854784;mso-width-relative:page;mso-height-relative:page;" filled="f" stroked="t" coordsize="792,9" o:gfxdata="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OqFBCbXAAAACQEAAA8AAAAAAAAAAQAgAAAA&#10;IgAAAGRycy9kb3ducmV2LnhtbFBLAQIUABQAAAAIAIdO4kD2On0A8AIAAJsKAAAOAAAAAAAAAAEA&#10;IAAAACYBAABkcnMvZTJvRG9jLnhtbFBLBQYAAAAABgAGAFkBAACI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w w:val="95"/>
        </w:rPr>
        <w:t>辞退福利</w:t>
      </w:r>
      <w:r>
        <w:rPr>
          <w:w w:val="95"/>
        </w:rPr>
        <w:t>是指企业在职工劳动</w:t>
      </w:r>
      <w:r>
        <w:rPr>
          <w:color w:val="FF0000"/>
          <w:w w:val="95"/>
          <w:u w:val="double" w:color="FF0000"/>
        </w:rPr>
        <w:t>合同到期之前</w:t>
      </w:r>
      <w:r>
        <w:rPr>
          <w:w w:val="95"/>
        </w:rPr>
        <w:t xml:space="preserve">解除与职工的劳动关系，或者为鼓励职工自愿接受裁减而给予职   </w:t>
      </w:r>
      <w:r>
        <w:t>工的补偿。</w:t>
      </w:r>
    </w:p>
    <w:p>
      <w:pPr>
        <w:pStyle w:val="5"/>
        <w:spacing w:before="2"/>
      </w:pPr>
      <w:r>
        <w:t>（四）其他长期职工福利</w:t>
      </w:r>
    </w:p>
    <w:p>
      <w:pPr>
        <w:pStyle w:val="6"/>
        <w:spacing w:line="304" w:lineRule="auto"/>
        <w:ind w:left="322" w:right="722" w:firstLine="400"/>
      </w:pPr>
      <w:r>
        <w:rPr>
          <w:spacing w:val="-6"/>
          <w:w w:val="95"/>
        </w:rPr>
        <w:t xml:space="preserve">其他长期职工福利，是指除短期薪酬、离职后福利、辞退福利之外所有的职工薪酬，包括长期带薪缺勤、长   </w:t>
      </w:r>
      <w:r>
        <w:rPr>
          <w:spacing w:val="-6"/>
        </w:rPr>
        <w:t>期残疾福利、长期利润分享计划等</w:t>
      </w:r>
    </w:p>
    <w:p>
      <w:pPr>
        <w:spacing w:before="0" w:after="21" w:line="223" w:lineRule="exact"/>
        <w:ind w:left="742" w:right="0" w:firstLine="0"/>
        <w:jc w:val="left"/>
        <w:rPr>
          <w:b/>
          <w:sz w:val="21"/>
        </w:rPr>
      </w:pPr>
      <w:bookmarkStart w:id="91" w:name="二、应付职工薪酬科目设置"/>
      <w:bookmarkEnd w:id="91"/>
      <w:r>
        <w:rPr>
          <w:b/>
          <w:sz w:val="21"/>
          <w:shd w:val="clear" w:color="auto" w:fill="C0C0C0"/>
        </w:rPr>
        <w:t>二、应付职工薪酬科目设置</w:t>
      </w:r>
    </w:p>
    <w:tbl>
      <w:tblPr>
        <w:tblStyle w:val="10"/>
        <w:tblW w:w="0" w:type="auto"/>
        <w:tblInd w:w="9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17"/>
        <w:gridCol w:w="4164"/>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1517" w:type="dxa"/>
            <w:tcBorders>
              <w:bottom w:val="nil"/>
            </w:tcBorders>
          </w:tcPr>
          <w:p>
            <w:pPr>
              <w:pStyle w:val="14"/>
              <w:spacing w:before="70"/>
              <w:ind w:left="158"/>
              <w:rPr>
                <w:sz w:val="20"/>
              </w:rPr>
            </w:pPr>
            <w:r>
              <w:rPr>
                <w:sz w:val="20"/>
              </w:rPr>
              <w:t>应付职工薪酬</w:t>
            </w:r>
          </w:p>
        </w:tc>
        <w:tc>
          <w:tcPr>
            <w:tcW w:w="4164" w:type="dxa"/>
            <w:tcBorders>
              <w:bottom w:val="nil"/>
            </w:tcBorders>
          </w:tcPr>
          <w:p>
            <w:pPr>
              <w:pStyle w:val="14"/>
              <w:spacing w:before="70"/>
              <w:ind w:left="508"/>
              <w:rPr>
                <w:sz w:val="20"/>
              </w:rPr>
            </w:pPr>
            <w:r>
              <w:rPr>
                <w:sz w:val="20"/>
              </w:rPr>
              <w:t>—工资、奖金、津贴和补贴</w:t>
            </w:r>
          </w:p>
        </w:tc>
        <w:tc>
          <w:tcPr>
            <w:tcW w:w="2841" w:type="dxa"/>
            <w:tcBorders>
              <w:bottom w:val="nil"/>
            </w:tcBorders>
          </w:tcPr>
          <w:p>
            <w:pPr>
              <w:pStyle w:val="14"/>
              <w:spacing w:before="70"/>
              <w:ind w:left="508"/>
              <w:rPr>
                <w:sz w:val="20"/>
              </w:rPr>
            </w:pPr>
            <w:r>
              <w:rPr>
                <w:sz w:val="20"/>
              </w:rPr>
              <w:t>—带薪缺勤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17" w:type="dxa"/>
            <w:tcBorders>
              <w:top w:val="nil"/>
              <w:bottom w:val="nil"/>
            </w:tcBorders>
          </w:tcPr>
          <w:p>
            <w:pPr>
              <w:pStyle w:val="14"/>
              <w:rPr>
                <w:rFonts w:ascii="Times New Roman"/>
                <w:sz w:val="18"/>
              </w:rPr>
            </w:pPr>
          </w:p>
        </w:tc>
        <w:tc>
          <w:tcPr>
            <w:tcW w:w="4164" w:type="dxa"/>
            <w:tcBorders>
              <w:top w:val="nil"/>
              <w:bottom w:val="nil"/>
            </w:tcBorders>
          </w:tcPr>
          <w:p>
            <w:pPr>
              <w:pStyle w:val="14"/>
              <w:spacing w:before="34"/>
              <w:ind w:left="508"/>
              <w:rPr>
                <w:sz w:val="20"/>
              </w:rPr>
            </w:pPr>
            <w:r>
              <w:rPr>
                <w:sz w:val="20"/>
              </w:rPr>
              <w:t>—职工福利费</w:t>
            </w:r>
          </w:p>
        </w:tc>
        <w:tc>
          <w:tcPr>
            <w:tcW w:w="2841" w:type="dxa"/>
            <w:tcBorders>
              <w:top w:val="nil"/>
              <w:bottom w:val="nil"/>
            </w:tcBorders>
          </w:tcPr>
          <w:p>
            <w:pPr>
              <w:pStyle w:val="14"/>
              <w:spacing w:before="34"/>
              <w:ind w:left="508"/>
              <w:rPr>
                <w:sz w:val="20"/>
              </w:rPr>
            </w:pPr>
            <w:r>
              <w:rPr>
                <w:sz w:val="20"/>
              </w:rPr>
              <w:t>—利润分享计划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17" w:type="dxa"/>
            <w:tcBorders>
              <w:top w:val="nil"/>
              <w:bottom w:val="nil"/>
            </w:tcBorders>
          </w:tcPr>
          <w:p>
            <w:pPr>
              <w:pStyle w:val="14"/>
              <w:rPr>
                <w:rFonts w:ascii="Times New Roman"/>
                <w:sz w:val="18"/>
              </w:rPr>
            </w:pPr>
          </w:p>
        </w:tc>
        <w:tc>
          <w:tcPr>
            <w:tcW w:w="4164" w:type="dxa"/>
            <w:tcBorders>
              <w:top w:val="nil"/>
              <w:bottom w:val="nil"/>
            </w:tcBorders>
          </w:tcPr>
          <w:p>
            <w:pPr>
              <w:pStyle w:val="14"/>
              <w:spacing w:before="33"/>
              <w:ind w:left="508"/>
              <w:rPr>
                <w:sz w:val="20"/>
              </w:rPr>
            </w:pPr>
            <w:r>
              <w:rPr>
                <w:sz w:val="20"/>
              </w:rPr>
              <w:t>—非货币性福利</w:t>
            </w:r>
          </w:p>
        </w:tc>
        <w:tc>
          <w:tcPr>
            <w:tcW w:w="2841" w:type="dxa"/>
            <w:tcBorders>
              <w:top w:val="nil"/>
              <w:bottom w:val="nil"/>
            </w:tcBorders>
          </w:tcPr>
          <w:p>
            <w:pPr>
              <w:pStyle w:val="14"/>
              <w:spacing w:before="33"/>
              <w:ind w:left="508"/>
              <w:rPr>
                <w:sz w:val="20"/>
              </w:rPr>
            </w:pPr>
            <w:r>
              <w:rPr>
                <w:sz w:val="20"/>
              </w:rPr>
              <w:t>—设定提存计划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17" w:type="dxa"/>
            <w:tcBorders>
              <w:top w:val="nil"/>
              <w:bottom w:val="nil"/>
            </w:tcBorders>
          </w:tcPr>
          <w:p>
            <w:pPr>
              <w:pStyle w:val="14"/>
              <w:rPr>
                <w:rFonts w:ascii="Times New Roman"/>
                <w:sz w:val="18"/>
              </w:rPr>
            </w:pPr>
          </w:p>
        </w:tc>
        <w:tc>
          <w:tcPr>
            <w:tcW w:w="4164" w:type="dxa"/>
            <w:tcBorders>
              <w:top w:val="nil"/>
              <w:bottom w:val="nil"/>
            </w:tcBorders>
          </w:tcPr>
          <w:p>
            <w:pPr>
              <w:pStyle w:val="14"/>
              <w:spacing w:before="34"/>
              <w:ind w:left="508"/>
              <w:rPr>
                <w:sz w:val="20"/>
              </w:rPr>
            </w:pPr>
            <w:r>
              <w:rPr>
                <w:sz w:val="20"/>
              </w:rPr>
              <w:t>—社会保险费</w:t>
            </w:r>
          </w:p>
        </w:tc>
        <w:tc>
          <w:tcPr>
            <w:tcW w:w="2841" w:type="dxa"/>
            <w:tcBorders>
              <w:top w:val="nil"/>
              <w:bottom w:val="nil"/>
            </w:tcBorders>
          </w:tcPr>
          <w:p>
            <w:pPr>
              <w:pStyle w:val="14"/>
              <w:spacing w:before="34"/>
              <w:ind w:left="508"/>
              <w:rPr>
                <w:sz w:val="20"/>
              </w:rPr>
            </w:pPr>
            <w:r>
              <w:rPr>
                <w:sz w:val="20"/>
              </w:rPr>
              <w:t>—设定受益计划义务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17" w:type="dxa"/>
            <w:tcBorders>
              <w:top w:val="nil"/>
              <w:bottom w:val="nil"/>
            </w:tcBorders>
          </w:tcPr>
          <w:p>
            <w:pPr>
              <w:pStyle w:val="14"/>
              <w:rPr>
                <w:rFonts w:ascii="Times New Roman"/>
                <w:sz w:val="18"/>
              </w:rPr>
            </w:pPr>
          </w:p>
        </w:tc>
        <w:tc>
          <w:tcPr>
            <w:tcW w:w="4164" w:type="dxa"/>
            <w:tcBorders>
              <w:top w:val="nil"/>
              <w:bottom w:val="nil"/>
            </w:tcBorders>
          </w:tcPr>
          <w:p>
            <w:pPr>
              <w:pStyle w:val="14"/>
              <w:spacing w:before="34"/>
              <w:ind w:left="508"/>
              <w:rPr>
                <w:sz w:val="20"/>
              </w:rPr>
            </w:pPr>
            <w:r>
              <w:rPr>
                <w:sz w:val="20"/>
              </w:rPr>
              <w:t>—住房公积金</w:t>
            </w:r>
          </w:p>
        </w:tc>
        <w:tc>
          <w:tcPr>
            <w:tcW w:w="2841" w:type="dxa"/>
            <w:tcBorders>
              <w:top w:val="nil"/>
              <w:bottom w:val="nil"/>
            </w:tcBorders>
          </w:tcPr>
          <w:p>
            <w:pPr>
              <w:pStyle w:val="14"/>
              <w:spacing w:before="34"/>
              <w:ind w:left="508"/>
              <w:rPr>
                <w:sz w:val="20"/>
              </w:rPr>
            </w:pPr>
            <w:r>
              <w:rPr>
                <w:sz w:val="20"/>
              </w:rPr>
              <w:t>—辞退福利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1517" w:type="dxa"/>
            <w:tcBorders>
              <w:top w:val="nil"/>
            </w:tcBorders>
          </w:tcPr>
          <w:p>
            <w:pPr>
              <w:pStyle w:val="14"/>
              <w:rPr>
                <w:rFonts w:ascii="Times New Roman"/>
                <w:sz w:val="18"/>
              </w:rPr>
            </w:pPr>
          </w:p>
        </w:tc>
        <w:tc>
          <w:tcPr>
            <w:tcW w:w="4164" w:type="dxa"/>
            <w:tcBorders>
              <w:top w:val="nil"/>
            </w:tcBorders>
          </w:tcPr>
          <w:p>
            <w:pPr>
              <w:pStyle w:val="14"/>
              <w:spacing w:before="34" w:line="237" w:lineRule="exact"/>
              <w:ind w:left="508"/>
              <w:rPr>
                <w:sz w:val="20"/>
              </w:rPr>
            </w:pPr>
            <w:r>
              <w:rPr>
                <w:sz w:val="20"/>
              </w:rPr>
              <w:t>—工会经费和职工教育经费</w:t>
            </w:r>
          </w:p>
        </w:tc>
        <w:tc>
          <w:tcPr>
            <w:tcW w:w="2841" w:type="dxa"/>
            <w:tcBorders>
              <w:top w:val="nil"/>
            </w:tcBorders>
          </w:tcPr>
          <w:p>
            <w:pPr>
              <w:pStyle w:val="14"/>
              <w:rPr>
                <w:rFonts w:ascii="Times New Roman"/>
                <w:sz w:val="18"/>
              </w:rPr>
            </w:pPr>
          </w:p>
        </w:tc>
      </w:tr>
    </w:tbl>
    <w:p>
      <w:pPr>
        <w:pStyle w:val="6"/>
        <w:spacing w:before="0"/>
        <w:ind w:left="743"/>
      </w:pPr>
      <w:r>
        <mc:AlternateContent>
          <mc:Choice Requires="wps">
            <w:drawing>
              <wp:inline distT="0" distB="0" distL="114300" distR="114300">
                <wp:extent cx="1204595" cy="185420"/>
                <wp:effectExtent l="0" t="0" r="14605" b="5080"/>
                <wp:docPr id="181" name="文本框 192"/>
                <wp:cNvGraphicFramePr/>
                <a:graphic xmlns:a="http://schemas.openxmlformats.org/drawingml/2006/main">
                  <a:graphicData uri="http://schemas.microsoft.com/office/word/2010/wordprocessingShape">
                    <wps:wsp>
                      <wps:cNvSpPr txBox="1"/>
                      <wps:spPr>
                        <a:xfrm>
                          <a:off x="0" y="0"/>
                          <a:ext cx="1204595" cy="185420"/>
                        </a:xfrm>
                        <a:prstGeom prst="rect">
                          <a:avLst/>
                        </a:prstGeom>
                        <a:solidFill>
                          <a:srgbClr val="C0C0C0"/>
                        </a:solidFill>
                        <a:ln>
                          <a:noFill/>
                        </a:ln>
                      </wps:spPr>
                      <wps:txbx>
                        <w:txbxContent>
                          <w:p>
                            <w:pPr>
                              <w:spacing w:before="21"/>
                              <w:ind w:left="-1" w:right="0" w:firstLine="0"/>
                              <w:jc w:val="left"/>
                              <w:rPr>
                                <w:b/>
                                <w:sz w:val="21"/>
                              </w:rPr>
                            </w:pPr>
                            <w:bookmarkStart w:id="181" w:name="三、短期薪酬的核算"/>
                            <w:bookmarkEnd w:id="181"/>
                            <w:r>
                              <w:rPr>
                                <w:b/>
                                <w:sz w:val="21"/>
                              </w:rPr>
                              <w:t>三、短期薪酬的核算</w:t>
                            </w:r>
                          </w:p>
                        </w:txbxContent>
                      </wps:txbx>
                      <wps:bodyPr lIns="0" tIns="0" rIns="0" bIns="0" upright="1"/>
                    </wps:wsp>
                  </a:graphicData>
                </a:graphic>
              </wp:inline>
            </w:drawing>
          </mc:Choice>
          <mc:Fallback>
            <w:pict>
              <v:shape id="文本框 192" o:spid="_x0000_s1026" o:spt="202" type="#_x0000_t202" style="height:14.6pt;width:94.85pt;" fillcolor="#C0C0C0" filled="t" stroked="f" coordsize="21600,21600" o:gfxdata="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cW5XUAAAABAEAAA8AAAAAAAAAAQAgAAAAIgAAAGRycy9kb3ducmV2LnhtbFBLAQIUABQAAAAI&#10;AIdO4kC3+yixuAEAAFEDAAAOAAAAAAAAAAEAIAAAACMBAABkcnMvZTJvRG9jLnhtbFBLBQYAAAAA&#10;BgAGAFkBAABNBQAAAAA=&#10;">
                <v:fill on="t" focussize="0,0"/>
                <v:stroke on="f"/>
                <v:imagedata o:title=""/>
                <o:lock v:ext="edit" aspectratio="f"/>
                <v:textbox inset="0mm,0mm,0mm,0mm">
                  <w:txbxContent>
                    <w:p>
                      <w:pPr>
                        <w:spacing w:before="21"/>
                        <w:ind w:left="-1" w:right="0" w:firstLine="0"/>
                        <w:jc w:val="left"/>
                        <w:rPr>
                          <w:b/>
                          <w:sz w:val="21"/>
                        </w:rPr>
                      </w:pPr>
                      <w:bookmarkStart w:id="181" w:name="三、短期薪酬的核算"/>
                      <w:bookmarkEnd w:id="181"/>
                      <w:r>
                        <w:rPr>
                          <w:b/>
                          <w:sz w:val="21"/>
                        </w:rPr>
                        <w:t>三、短期薪酬的核算</w:t>
                      </w:r>
                    </w:p>
                  </w:txbxContent>
                </v:textbox>
                <w10:wrap type="none"/>
                <w10:anchorlock/>
              </v:shape>
            </w:pict>
          </mc:Fallback>
        </mc:AlternateContent>
      </w:r>
    </w:p>
    <w:p>
      <w:pPr>
        <w:pStyle w:val="5"/>
        <w:spacing w:before="66"/>
      </w:pPr>
      <w:r>
        <w:t>（一）货币性职工薪酬</w:t>
      </w:r>
    </w:p>
    <w:p>
      <w:pPr>
        <w:pStyle w:val="5"/>
        <w:numPr>
          <w:ilvl w:val="0"/>
          <w:numId w:val="81"/>
        </w:numPr>
        <w:tabs>
          <w:tab w:val="left" w:pos="925"/>
        </w:tabs>
        <w:spacing w:before="70" w:after="0" w:line="240" w:lineRule="auto"/>
        <w:ind w:left="924" w:right="0" w:hanging="202"/>
        <w:jc w:val="left"/>
      </w:pPr>
      <w:r>
        <w:t>工资、奖金、津贴和补贴</w:t>
      </w:r>
    </w:p>
    <w:tbl>
      <w:tblPr>
        <w:tblStyle w:val="10"/>
        <w:tblW w:w="0" w:type="auto"/>
        <w:tblInd w:w="3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06"/>
        <w:gridCol w:w="5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606" w:type="dxa"/>
            <w:shd w:val="clear" w:color="auto" w:fill="C0C0C0"/>
          </w:tcPr>
          <w:p>
            <w:pPr>
              <w:pStyle w:val="14"/>
              <w:spacing w:before="70" w:line="236" w:lineRule="exact"/>
              <w:ind w:left="106"/>
              <w:rPr>
                <w:sz w:val="20"/>
              </w:rPr>
            </w:pPr>
            <w:r>
              <w:rPr>
                <w:sz w:val="20"/>
              </w:rPr>
              <w:t>（1）计提货币性职工薪酬时</w:t>
            </w:r>
          </w:p>
        </w:tc>
        <w:tc>
          <w:tcPr>
            <w:tcW w:w="5127" w:type="dxa"/>
            <w:shd w:val="clear" w:color="auto" w:fill="C0C0C0"/>
          </w:tcPr>
          <w:p>
            <w:pPr>
              <w:pStyle w:val="14"/>
              <w:spacing w:before="70" w:line="236" w:lineRule="exact"/>
              <w:ind w:left="108"/>
              <w:rPr>
                <w:sz w:val="20"/>
              </w:rPr>
            </w:pPr>
            <w:r>
              <w:rPr>
                <w:sz w:val="20"/>
              </w:rPr>
              <w:t>（2）支付工资时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0" w:hRule="atLeast"/>
        </w:trPr>
        <w:tc>
          <w:tcPr>
            <w:tcW w:w="4606" w:type="dxa"/>
          </w:tcPr>
          <w:p>
            <w:pPr>
              <w:pStyle w:val="14"/>
              <w:spacing w:before="69"/>
              <w:ind w:left="106"/>
              <w:rPr>
                <w:sz w:val="20"/>
              </w:rPr>
            </w:pPr>
            <w:r>
              <w:rPr>
                <w:sz w:val="20"/>
              </w:rPr>
              <w:t>借：管理费用</w:t>
            </w:r>
          </w:p>
          <w:p>
            <w:pPr>
              <w:pStyle w:val="14"/>
              <w:spacing w:before="71" w:line="304" w:lineRule="auto"/>
              <w:ind w:left="507" w:right="3088"/>
              <w:rPr>
                <w:sz w:val="20"/>
              </w:rPr>
            </w:pPr>
            <w:r>
              <w:rPr>
                <w:sz w:val="20"/>
              </w:rPr>
              <w:t xml:space="preserve">生产成本 制造费用 </w:t>
            </w:r>
            <w:r>
              <w:rPr>
                <w:spacing w:val="-4"/>
                <w:sz w:val="20"/>
              </w:rPr>
              <w:t>劳务成本等</w:t>
            </w:r>
          </w:p>
          <w:p>
            <w:pPr>
              <w:pStyle w:val="14"/>
              <w:spacing w:line="237" w:lineRule="exact"/>
              <w:ind w:left="406"/>
              <w:rPr>
                <w:sz w:val="20"/>
              </w:rPr>
            </w:pPr>
            <w:r>
              <w:rPr>
                <w:sz w:val="20"/>
              </w:rPr>
              <w:t>贷：应付职工薪酬—工资、奖金、津贴和补贴</w:t>
            </w:r>
          </w:p>
        </w:tc>
        <w:tc>
          <w:tcPr>
            <w:tcW w:w="5127" w:type="dxa"/>
          </w:tcPr>
          <w:p>
            <w:pPr>
              <w:pStyle w:val="14"/>
              <w:spacing w:before="69" w:line="304" w:lineRule="auto"/>
              <w:ind w:left="607" w:right="1008" w:hanging="500"/>
              <w:rPr>
                <w:sz w:val="20"/>
              </w:rPr>
            </w:pPr>
            <w:r>
              <w:rPr>
                <w:w w:val="95"/>
                <w:sz w:val="20"/>
              </w:rPr>
              <w:t xml:space="preserve">借：应付职工薪酬—工资、奖金、津贴和补贴 </w:t>
            </w:r>
            <w:r>
              <w:rPr>
                <w:sz w:val="20"/>
              </w:rPr>
              <w:t>贷：银行存款/库存现金</w:t>
            </w:r>
          </w:p>
          <w:p>
            <w:pPr>
              <w:pStyle w:val="14"/>
              <w:spacing w:line="256" w:lineRule="exact"/>
              <w:ind w:left="1008"/>
              <w:rPr>
                <w:sz w:val="20"/>
              </w:rPr>
            </w:pPr>
            <w:r>
              <w:rPr>
                <w:sz w:val="20"/>
              </w:rPr>
              <w:t>其他应收款（代垫的各种款项）</w:t>
            </w:r>
          </w:p>
          <w:p>
            <w:pPr>
              <w:pStyle w:val="14"/>
              <w:spacing w:before="71"/>
              <w:ind w:left="1008" w:right="-15"/>
              <w:rPr>
                <w:sz w:val="20"/>
              </w:rPr>
            </w:pPr>
            <w:r>
              <w:rPr>
                <w:spacing w:val="-8"/>
                <w:sz w:val="20"/>
              </w:rPr>
              <w:t>应交税费—应交个人所得税</w:t>
            </w:r>
            <w:r>
              <w:rPr>
                <w:sz w:val="20"/>
              </w:rPr>
              <w:t>（代扣个人所得税）</w:t>
            </w:r>
          </w:p>
        </w:tc>
      </w:tr>
    </w:tbl>
    <w:p>
      <w:pPr>
        <w:spacing w:after="0"/>
        <w:rPr>
          <w:sz w:val="20"/>
        </w:rPr>
        <w:sectPr>
          <w:pgSz w:w="11910" w:h="16160"/>
          <w:pgMar w:top="1680" w:right="360" w:bottom="860" w:left="760" w:header="0" w:footer="548" w:gutter="0"/>
        </w:sectPr>
      </w:pPr>
    </w:p>
    <w:p>
      <w:pPr>
        <w:pStyle w:val="6"/>
        <w:spacing w:before="11"/>
        <w:ind w:left="0"/>
        <w:rPr>
          <w:b/>
          <w:sz w:val="13"/>
        </w:rPr>
      </w:pPr>
    </w:p>
    <w:p>
      <w:pPr>
        <w:pStyle w:val="5"/>
        <w:numPr>
          <w:ilvl w:val="0"/>
          <w:numId w:val="81"/>
        </w:numPr>
        <w:tabs>
          <w:tab w:val="left" w:pos="925"/>
        </w:tabs>
        <w:spacing w:before="71" w:after="0" w:line="240" w:lineRule="auto"/>
        <w:ind w:left="924" w:right="0" w:hanging="202"/>
        <w:jc w:val="left"/>
      </w:pPr>
      <w:r>
        <w:t>职工福利费和按国家规定计提标准的职工薪酬</w:t>
      </w:r>
    </w:p>
    <w:p>
      <w:pPr>
        <w:pStyle w:val="13"/>
        <w:numPr>
          <w:ilvl w:val="0"/>
          <w:numId w:val="82"/>
        </w:numPr>
        <w:tabs>
          <w:tab w:val="left" w:pos="1224"/>
        </w:tabs>
        <w:spacing w:before="70" w:after="0" w:line="240" w:lineRule="auto"/>
        <w:ind w:left="1223" w:right="0" w:hanging="501"/>
        <w:jc w:val="left"/>
        <w:rPr>
          <w:sz w:val="20"/>
        </w:rPr>
      </w:pPr>
      <w:r>
        <w:rPr>
          <w:sz w:val="20"/>
        </w:rPr>
        <w:t>对于职工福利费，企业应当在</w:t>
      </w:r>
      <w:r>
        <w:rPr>
          <w:color w:val="FF0000"/>
          <w:sz w:val="20"/>
          <w:u w:val="double" w:color="FF0000"/>
        </w:rPr>
        <w:t>实际发生</w:t>
      </w:r>
      <w:r>
        <w:rPr>
          <w:sz w:val="20"/>
        </w:rPr>
        <w:t>时根据实际发生额</w:t>
      </w:r>
      <w:r>
        <w:rPr>
          <w:color w:val="FF0000"/>
          <w:sz w:val="20"/>
          <w:u w:val="double" w:color="FF0000"/>
        </w:rPr>
        <w:t>计入当期损益或相关资产成本</w:t>
      </w:r>
      <w:r>
        <w:rPr>
          <w:sz w:val="20"/>
        </w:rPr>
        <w:t>；</w:t>
      </w:r>
    </w:p>
    <w:p>
      <w:pPr>
        <w:pStyle w:val="13"/>
        <w:numPr>
          <w:ilvl w:val="0"/>
          <w:numId w:val="82"/>
        </w:numPr>
        <w:tabs>
          <w:tab w:val="left" w:pos="1224"/>
        </w:tabs>
        <w:spacing w:before="70" w:after="0" w:line="304" w:lineRule="auto"/>
        <w:ind w:left="322" w:right="761" w:firstLine="400"/>
        <w:jc w:val="left"/>
        <w:rPr>
          <w:sz w:val="20"/>
        </w:rPr>
      </w:pPr>
      <w:r>
        <mc:AlternateContent>
          <mc:Choice Requires="wps">
            <w:drawing>
              <wp:anchor distT="0" distB="0" distL="114300" distR="114300" simplePos="0" relativeHeight="15827968" behindDoc="0" locked="0" layoutInCell="1" allowOverlap="1">
                <wp:simplePos x="0" y="0"/>
                <wp:positionH relativeFrom="page">
                  <wp:posOffset>615950</wp:posOffset>
                </wp:positionH>
                <wp:positionV relativeFrom="paragraph">
                  <wp:posOffset>414020</wp:posOffset>
                </wp:positionV>
                <wp:extent cx="6482715" cy="1675130"/>
                <wp:effectExtent l="0" t="0" r="0" b="0"/>
                <wp:wrapNone/>
                <wp:docPr id="139" name="文本框 193"/>
                <wp:cNvGraphicFramePr/>
                <a:graphic xmlns:a="http://schemas.openxmlformats.org/drawingml/2006/main">
                  <a:graphicData uri="http://schemas.microsoft.com/office/word/2010/wordprocessingShape">
                    <wps:wsp>
                      <wps:cNvSpPr txBox="1"/>
                      <wps:spPr>
                        <a:xfrm>
                          <a:off x="0" y="0"/>
                          <a:ext cx="6482715" cy="167513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97"/>
                              <w:gridCol w:w="5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097" w:type="dxa"/>
                                  <w:shd w:val="clear" w:color="auto" w:fill="C0C0C0"/>
                                </w:tcPr>
                                <w:p>
                                  <w:pPr>
                                    <w:pStyle w:val="14"/>
                                    <w:spacing w:before="70" w:line="236" w:lineRule="exact"/>
                                    <w:ind w:left="507"/>
                                    <w:rPr>
                                      <w:sz w:val="20"/>
                                    </w:rPr>
                                  </w:pPr>
                                  <w:r>
                                    <w:rPr>
                                      <w:sz w:val="20"/>
                                    </w:rPr>
                                    <w:t>①计提公司承担的各项费用</w:t>
                                  </w:r>
                                </w:p>
                              </w:tc>
                              <w:tc>
                                <w:tcPr>
                                  <w:tcW w:w="5097" w:type="dxa"/>
                                  <w:shd w:val="clear" w:color="auto" w:fill="C0C0C0"/>
                                </w:tcPr>
                                <w:p>
                                  <w:pPr>
                                    <w:pStyle w:val="14"/>
                                    <w:spacing w:before="70" w:line="236" w:lineRule="exact"/>
                                    <w:ind w:left="508"/>
                                    <w:rPr>
                                      <w:sz w:val="20"/>
                                    </w:rPr>
                                  </w:pPr>
                                  <w:r>
                                    <w:rPr>
                                      <w:sz w:val="20"/>
                                    </w:rPr>
                                    <w:t>②从应付职工薪酬中代扣应有职工负担的费用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2" w:hRule="atLeast"/>
                              </w:trPr>
                              <w:tc>
                                <w:tcPr>
                                  <w:tcW w:w="5097" w:type="dxa"/>
                                </w:tcPr>
                                <w:p>
                                  <w:pPr>
                                    <w:pStyle w:val="14"/>
                                    <w:spacing w:before="69"/>
                                    <w:ind w:left="507"/>
                                    <w:rPr>
                                      <w:sz w:val="20"/>
                                    </w:rPr>
                                  </w:pPr>
                                  <w:r>
                                    <w:rPr>
                                      <w:sz w:val="20"/>
                                    </w:rPr>
                                    <w:t>借：生产成本</w:t>
                                  </w:r>
                                </w:p>
                                <w:p>
                                  <w:pPr>
                                    <w:pStyle w:val="14"/>
                                    <w:spacing w:before="71" w:line="304" w:lineRule="auto"/>
                                    <w:ind w:left="1208" w:right="3077"/>
                                    <w:jc w:val="both"/>
                                    <w:rPr>
                                      <w:sz w:val="20"/>
                                    </w:rPr>
                                  </w:pPr>
                                  <w:r>
                                    <w:rPr>
                                      <w:sz w:val="20"/>
                                    </w:rPr>
                                    <w:t>制造费用管理费用销售费用</w:t>
                                  </w:r>
                                </w:p>
                                <w:p>
                                  <w:pPr>
                                    <w:pStyle w:val="14"/>
                                    <w:ind w:left="1007"/>
                                    <w:rPr>
                                      <w:sz w:val="20"/>
                                    </w:rPr>
                                  </w:pPr>
                                  <w:r>
                                    <w:rPr>
                                      <w:sz w:val="20"/>
                                    </w:rPr>
                                    <w:t>贷：应付职工薪酬—工会经费、职工教育经费</w:t>
                                  </w:r>
                                </w:p>
                                <w:p>
                                  <w:pPr>
                                    <w:pStyle w:val="14"/>
                                    <w:spacing w:before="70"/>
                                    <w:ind w:left="2108"/>
                                    <w:rPr>
                                      <w:sz w:val="20"/>
                                    </w:rPr>
                                  </w:pPr>
                                  <w:r>
                                    <w:rPr>
                                      <w:sz w:val="20"/>
                                    </w:rPr>
                                    <w:t>—职工福利费</w:t>
                                  </w:r>
                                </w:p>
                                <w:p>
                                  <w:pPr>
                                    <w:pStyle w:val="14"/>
                                    <w:spacing w:before="70" w:line="236" w:lineRule="exact"/>
                                    <w:ind w:left="2108"/>
                                    <w:rPr>
                                      <w:sz w:val="20"/>
                                    </w:rPr>
                                  </w:pPr>
                                  <w:r>
                                    <w:rPr>
                                      <w:sz w:val="20"/>
                                    </w:rPr>
                                    <w:t>—社会保险费、住房公积金</w:t>
                                  </w:r>
                                </w:p>
                              </w:tc>
                              <w:tc>
                                <w:tcPr>
                                  <w:tcW w:w="5097" w:type="dxa"/>
                                </w:tcPr>
                                <w:p>
                                  <w:pPr>
                                    <w:pStyle w:val="14"/>
                                    <w:spacing w:before="69"/>
                                    <w:ind w:right="1778"/>
                                    <w:jc w:val="right"/>
                                    <w:rPr>
                                      <w:sz w:val="20"/>
                                    </w:rPr>
                                  </w:pPr>
                                  <w:r>
                                    <w:rPr>
                                      <w:w w:val="95"/>
                                      <w:sz w:val="20"/>
                                    </w:rPr>
                                    <w:t>借：应付职工薪酬—社会保险费</w:t>
                                  </w:r>
                                </w:p>
                                <w:p>
                                  <w:pPr>
                                    <w:pStyle w:val="14"/>
                                    <w:spacing w:before="71"/>
                                    <w:ind w:right="1778"/>
                                    <w:jc w:val="right"/>
                                    <w:rPr>
                                      <w:sz w:val="20"/>
                                    </w:rPr>
                                  </w:pPr>
                                  <w:r>
                                    <w:rPr>
                                      <w:w w:val="95"/>
                                      <w:sz w:val="20"/>
                                    </w:rPr>
                                    <w:t>—住房公积金</w:t>
                                  </w:r>
                                </w:p>
                                <w:p>
                                  <w:pPr>
                                    <w:pStyle w:val="14"/>
                                    <w:spacing w:before="67"/>
                                    <w:ind w:left="1088" w:right="1359"/>
                                    <w:jc w:val="center"/>
                                    <w:rPr>
                                      <w:sz w:val="20"/>
                                    </w:rPr>
                                  </w:pPr>
                                  <w:r>
                                    <w:rPr>
                                      <w:sz w:val="20"/>
                                    </w:rPr>
                                    <w:t>贷：其他应付款—社会保险费</w:t>
                                  </w:r>
                                </w:p>
                                <w:p>
                                  <w:pPr>
                                    <w:pStyle w:val="14"/>
                                    <w:spacing w:before="71"/>
                                    <w:ind w:left="1088" w:right="762"/>
                                    <w:jc w:val="center"/>
                                    <w:rPr>
                                      <w:sz w:val="20"/>
                                    </w:rPr>
                                  </w:pPr>
                                  <w:r>
                                    <w:rPr>
                                      <w:sz w:val="20"/>
                                    </w:rPr>
                                    <w:t>—住房公积金</w:t>
                                  </w:r>
                                </w:p>
                              </w:tc>
                            </w:tr>
                          </w:tbl>
                          <w:p>
                            <w:pPr>
                              <w:pStyle w:val="6"/>
                              <w:spacing w:before="0"/>
                              <w:ind w:left="0"/>
                            </w:pPr>
                          </w:p>
                        </w:txbxContent>
                      </wps:txbx>
                      <wps:bodyPr lIns="0" tIns="0" rIns="0" bIns="0" upright="1"/>
                    </wps:wsp>
                  </a:graphicData>
                </a:graphic>
              </wp:anchor>
            </w:drawing>
          </mc:Choice>
          <mc:Fallback>
            <w:pict>
              <v:shape id="文本框 193" o:spid="_x0000_s1026" o:spt="202" type="#_x0000_t202" style="position:absolute;left:0pt;margin-left:48.5pt;margin-top:32.6pt;height:131.9pt;width:510.45pt;mso-position-horizontal-relative:page;z-index:15827968;mso-width-relative:page;mso-height-relative:page;" filled="f" stroked="f" coordsize="21600,21600" o:gfxdata="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XkCxX2QAAAAoBAAAP&#10;AAAAAAAAAAEAIAAAACIAAABkcnMvZG93bnJldi54bWxQSwECFAAUAAAACACHTuJAZT53uqUBAAAp&#10;AwAADgAAAAAAAAABACAAAAAoAQAAZHJzL2Uyb0RvYy54bWxQSwUGAAAAAAYABgBZAQAAPw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97"/>
                        <w:gridCol w:w="5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097" w:type="dxa"/>
                            <w:shd w:val="clear" w:color="auto" w:fill="C0C0C0"/>
                          </w:tcPr>
                          <w:p>
                            <w:pPr>
                              <w:pStyle w:val="14"/>
                              <w:spacing w:before="70" w:line="236" w:lineRule="exact"/>
                              <w:ind w:left="507"/>
                              <w:rPr>
                                <w:sz w:val="20"/>
                              </w:rPr>
                            </w:pPr>
                            <w:r>
                              <w:rPr>
                                <w:sz w:val="20"/>
                              </w:rPr>
                              <w:t>①计提公司承担的各项费用</w:t>
                            </w:r>
                          </w:p>
                        </w:tc>
                        <w:tc>
                          <w:tcPr>
                            <w:tcW w:w="5097" w:type="dxa"/>
                            <w:shd w:val="clear" w:color="auto" w:fill="C0C0C0"/>
                          </w:tcPr>
                          <w:p>
                            <w:pPr>
                              <w:pStyle w:val="14"/>
                              <w:spacing w:before="70" w:line="236" w:lineRule="exact"/>
                              <w:ind w:left="508"/>
                              <w:rPr>
                                <w:sz w:val="20"/>
                              </w:rPr>
                            </w:pPr>
                            <w:r>
                              <w:rPr>
                                <w:sz w:val="20"/>
                              </w:rPr>
                              <w:t>②从应付职工薪酬中代扣应有职工负担的费用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2" w:hRule="atLeast"/>
                        </w:trPr>
                        <w:tc>
                          <w:tcPr>
                            <w:tcW w:w="5097" w:type="dxa"/>
                          </w:tcPr>
                          <w:p>
                            <w:pPr>
                              <w:pStyle w:val="14"/>
                              <w:spacing w:before="69"/>
                              <w:ind w:left="507"/>
                              <w:rPr>
                                <w:sz w:val="20"/>
                              </w:rPr>
                            </w:pPr>
                            <w:r>
                              <w:rPr>
                                <w:sz w:val="20"/>
                              </w:rPr>
                              <w:t>借：生产成本</w:t>
                            </w:r>
                          </w:p>
                          <w:p>
                            <w:pPr>
                              <w:pStyle w:val="14"/>
                              <w:spacing w:before="71" w:line="304" w:lineRule="auto"/>
                              <w:ind w:left="1208" w:right="3077"/>
                              <w:jc w:val="both"/>
                              <w:rPr>
                                <w:sz w:val="20"/>
                              </w:rPr>
                            </w:pPr>
                            <w:r>
                              <w:rPr>
                                <w:sz w:val="20"/>
                              </w:rPr>
                              <w:t>制造费用管理费用销售费用</w:t>
                            </w:r>
                          </w:p>
                          <w:p>
                            <w:pPr>
                              <w:pStyle w:val="14"/>
                              <w:ind w:left="1007"/>
                              <w:rPr>
                                <w:sz w:val="20"/>
                              </w:rPr>
                            </w:pPr>
                            <w:r>
                              <w:rPr>
                                <w:sz w:val="20"/>
                              </w:rPr>
                              <w:t>贷：应付职工薪酬—工会经费、职工教育经费</w:t>
                            </w:r>
                          </w:p>
                          <w:p>
                            <w:pPr>
                              <w:pStyle w:val="14"/>
                              <w:spacing w:before="70"/>
                              <w:ind w:left="2108"/>
                              <w:rPr>
                                <w:sz w:val="20"/>
                              </w:rPr>
                            </w:pPr>
                            <w:r>
                              <w:rPr>
                                <w:sz w:val="20"/>
                              </w:rPr>
                              <w:t>—职工福利费</w:t>
                            </w:r>
                          </w:p>
                          <w:p>
                            <w:pPr>
                              <w:pStyle w:val="14"/>
                              <w:spacing w:before="70" w:line="236" w:lineRule="exact"/>
                              <w:ind w:left="2108"/>
                              <w:rPr>
                                <w:sz w:val="20"/>
                              </w:rPr>
                            </w:pPr>
                            <w:r>
                              <w:rPr>
                                <w:sz w:val="20"/>
                              </w:rPr>
                              <w:t>—社会保险费、住房公积金</w:t>
                            </w:r>
                          </w:p>
                        </w:tc>
                        <w:tc>
                          <w:tcPr>
                            <w:tcW w:w="5097" w:type="dxa"/>
                          </w:tcPr>
                          <w:p>
                            <w:pPr>
                              <w:pStyle w:val="14"/>
                              <w:spacing w:before="69"/>
                              <w:ind w:right="1778"/>
                              <w:jc w:val="right"/>
                              <w:rPr>
                                <w:sz w:val="20"/>
                              </w:rPr>
                            </w:pPr>
                            <w:r>
                              <w:rPr>
                                <w:w w:val="95"/>
                                <w:sz w:val="20"/>
                              </w:rPr>
                              <w:t>借：应付职工薪酬—社会保险费</w:t>
                            </w:r>
                          </w:p>
                          <w:p>
                            <w:pPr>
                              <w:pStyle w:val="14"/>
                              <w:spacing w:before="71"/>
                              <w:ind w:right="1778"/>
                              <w:jc w:val="right"/>
                              <w:rPr>
                                <w:sz w:val="20"/>
                              </w:rPr>
                            </w:pPr>
                            <w:r>
                              <w:rPr>
                                <w:w w:val="95"/>
                                <w:sz w:val="20"/>
                              </w:rPr>
                              <w:t>—住房公积金</w:t>
                            </w:r>
                          </w:p>
                          <w:p>
                            <w:pPr>
                              <w:pStyle w:val="14"/>
                              <w:spacing w:before="67"/>
                              <w:ind w:left="1088" w:right="1359"/>
                              <w:jc w:val="center"/>
                              <w:rPr>
                                <w:sz w:val="20"/>
                              </w:rPr>
                            </w:pPr>
                            <w:r>
                              <w:rPr>
                                <w:sz w:val="20"/>
                              </w:rPr>
                              <w:t>贷：其他应付款—社会保险费</w:t>
                            </w:r>
                          </w:p>
                          <w:p>
                            <w:pPr>
                              <w:pStyle w:val="14"/>
                              <w:spacing w:before="71"/>
                              <w:ind w:left="1088" w:right="762"/>
                              <w:jc w:val="center"/>
                              <w:rPr>
                                <w:sz w:val="20"/>
                              </w:rPr>
                            </w:pPr>
                            <w:r>
                              <w:rPr>
                                <w:sz w:val="20"/>
                              </w:rPr>
                              <w:t>—住房公积金</w:t>
                            </w:r>
                          </w:p>
                        </w:tc>
                      </w:tr>
                    </w:tbl>
                    <w:p>
                      <w:pPr>
                        <w:pStyle w:val="6"/>
                        <w:spacing w:before="0"/>
                        <w:ind w:left="0"/>
                      </w:pPr>
                    </w:p>
                  </w:txbxContent>
                </v:textbox>
              </v:shape>
            </w:pict>
          </mc:Fallback>
        </mc:AlternateContent>
      </w:r>
      <w:r>
        <w:rPr>
          <w:w w:val="95"/>
          <w:sz w:val="20"/>
        </w:rPr>
        <w:t xml:space="preserve">对于国家规定了计提基础和计提比例的医疗保险费、工伤保险费、生育保险费等社会保险费和住房公   </w:t>
      </w:r>
      <w:r>
        <w:rPr>
          <w:sz w:val="20"/>
        </w:rPr>
        <w:t>积金，以及按规定提取的工会经费和职工教育经费，应按照受益对象</w:t>
      </w:r>
      <w:r>
        <w:rPr>
          <w:color w:val="FF0000"/>
          <w:sz w:val="20"/>
          <w:u w:val="double" w:color="FF0000"/>
        </w:rPr>
        <w:t>计入当期损益或相关资产成本</w:t>
      </w:r>
      <w:r>
        <w:rPr>
          <w:sz w:val="20"/>
        </w:rP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rPr>
          <w:sz w:val="26"/>
        </w:rPr>
      </w:pPr>
    </w:p>
    <w:p>
      <w:pPr>
        <w:pStyle w:val="5"/>
        <w:numPr>
          <w:ilvl w:val="0"/>
          <w:numId w:val="81"/>
        </w:numPr>
        <w:tabs>
          <w:tab w:val="left" w:pos="925"/>
        </w:tabs>
        <w:spacing w:before="0" w:after="0" w:line="240" w:lineRule="auto"/>
        <w:ind w:left="924" w:right="0" w:hanging="202"/>
        <w:jc w:val="left"/>
      </w:pPr>
      <w:r>
        <w:t>短期带薪缺勤</w:t>
      </w:r>
    </w:p>
    <w:p>
      <w:pPr>
        <w:pStyle w:val="13"/>
        <w:numPr>
          <w:ilvl w:val="0"/>
          <w:numId w:val="83"/>
        </w:numPr>
        <w:tabs>
          <w:tab w:val="left" w:pos="1224"/>
        </w:tabs>
        <w:spacing w:before="71" w:after="0" w:line="302" w:lineRule="auto"/>
        <w:ind w:left="322" w:right="761" w:firstLine="400"/>
        <w:jc w:val="left"/>
        <w:rPr>
          <w:sz w:val="20"/>
        </w:rPr>
      </w:pPr>
      <w:r>
        <w:rPr>
          <w:color w:val="FF0000"/>
          <w:w w:val="95"/>
          <w:sz w:val="20"/>
          <w:u w:val="double" w:color="FF0000"/>
        </w:rPr>
        <w:t>累积带薪缺勤</w:t>
      </w:r>
      <w:r>
        <w:rPr>
          <w:w w:val="95"/>
          <w:sz w:val="20"/>
        </w:rPr>
        <w:t>，是指</w:t>
      </w:r>
      <w:r>
        <w:rPr>
          <w:color w:val="FF0000"/>
          <w:w w:val="95"/>
          <w:sz w:val="20"/>
          <w:u w:val="double" w:color="FF0000"/>
        </w:rPr>
        <w:t>带薪权利可以结转下期</w:t>
      </w:r>
      <w:r>
        <w:rPr>
          <w:w w:val="95"/>
          <w:sz w:val="20"/>
        </w:rPr>
        <w:t xml:space="preserve">的带薪缺勤，本期尚未用完的带薪缺勤权利可以在未来期   </w:t>
      </w:r>
      <w:r>
        <w:rPr>
          <w:sz w:val="20"/>
        </w:rPr>
        <w:t>间使用。</w:t>
      </w:r>
    </w:p>
    <w:p>
      <w:pPr>
        <w:pStyle w:val="6"/>
        <w:spacing w:before="4" w:line="304" w:lineRule="auto"/>
        <w:ind w:right="3862"/>
      </w:pPr>
      <w:r>
        <w:rPr>
          <w:w w:val="95"/>
        </w:rPr>
        <w:t xml:space="preserve">企业应当在职工提供了服务从而增加了其未来享有的带薪缺勤权利时：  </w:t>
      </w:r>
      <w:r>
        <w:t>借：管理费用</w:t>
      </w:r>
    </w:p>
    <w:p>
      <w:pPr>
        <w:pStyle w:val="6"/>
        <w:spacing w:before="2"/>
        <w:ind w:left="1323"/>
      </w:pPr>
      <w:r>
        <w:t>贷：应付职工薪酬</w:t>
      </w:r>
    </w:p>
    <w:p>
      <w:pPr>
        <w:pStyle w:val="6"/>
        <w:ind w:left="1522"/>
      </w:pPr>
      <w:r>
        <w:t>—带薪缺勤—短期带薪缺勤—累积带薪缺勤</w:t>
      </w:r>
    </w:p>
    <w:p>
      <w:pPr>
        <w:pStyle w:val="13"/>
        <w:numPr>
          <w:ilvl w:val="0"/>
          <w:numId w:val="83"/>
        </w:numPr>
        <w:tabs>
          <w:tab w:val="left" w:pos="1224"/>
        </w:tabs>
        <w:spacing w:before="70" w:after="0" w:line="304" w:lineRule="auto"/>
        <w:ind w:left="322" w:right="621" w:firstLine="400"/>
        <w:jc w:val="left"/>
        <w:rPr>
          <w:sz w:val="20"/>
        </w:rPr>
      </w:pPr>
      <w:r>
        <w:rPr>
          <w:spacing w:val="-4"/>
          <w:w w:val="95"/>
          <w:sz w:val="20"/>
        </w:rPr>
        <w:t>非累积带薪缺勤，是指带薪权利不能结转下期的带薪缺勤，</w:t>
      </w:r>
      <w:r>
        <w:rPr>
          <w:color w:val="FF0000"/>
          <w:w w:val="95"/>
          <w:sz w:val="20"/>
          <w:u w:val="double" w:color="FF0000"/>
        </w:rPr>
        <w:t>本期尚未用完的带薪缺勤权利将予以取消，</w:t>
      </w:r>
      <w:r>
        <w:rPr>
          <w:color w:val="FF0000"/>
          <w:spacing w:val="-199"/>
          <w:w w:val="95"/>
          <w:sz w:val="20"/>
          <w:u w:val="double" w:color="FF0000"/>
        </w:rPr>
        <w:t>并</w:t>
      </w:r>
      <w:r>
        <w:rPr>
          <w:color w:val="FF0000"/>
          <w:spacing w:val="149"/>
          <w:w w:val="95"/>
          <w:sz w:val="20"/>
          <w:u w:val="double" w:color="FF0000"/>
        </w:rPr>
        <w:t xml:space="preserve"> </w:t>
      </w:r>
      <w:r>
        <w:rPr>
          <w:color w:val="FF0000"/>
          <w:sz w:val="20"/>
          <w:u w:val="double" w:color="FF0000"/>
        </w:rPr>
        <w:t>且职工离开企业时也无权获得现金支付</w:t>
      </w:r>
      <w:r>
        <w:rPr>
          <w:spacing w:val="-7"/>
          <w:sz w:val="20"/>
        </w:rPr>
        <w:t>。我国企业职工休婚假、产假、丧假、探亲假、病假期间的工资通常属  于非累积带薪缺勤。</w:t>
      </w:r>
    </w:p>
    <w:p>
      <w:pPr>
        <w:pStyle w:val="6"/>
        <w:spacing w:before="1" w:line="304" w:lineRule="auto"/>
        <w:ind w:left="322" w:right="762" w:firstLine="400"/>
      </w:pPr>
      <w:r>
        <w:rPr>
          <w:w w:val="95"/>
        </w:rPr>
        <w:t>企业确认职工享有的与非累积带薪缺勤权利相关的薪酬,视同职工出勤确认的当期损益或相关资产成本，</w:t>
      </w:r>
      <w:r>
        <w:rPr>
          <w:color w:val="FF0000"/>
          <w:spacing w:val="-100"/>
          <w:w w:val="95"/>
          <w:u w:val="double" w:color="FF0000"/>
        </w:rPr>
        <w:t>不必</w:t>
      </w:r>
      <w:r>
        <w:rPr>
          <w:color w:val="FF0000"/>
          <w:spacing w:val="186"/>
          <w:w w:val="95"/>
          <w:u w:val="double" w:color="FF0000"/>
        </w:rPr>
        <w:t xml:space="preserve"> </w:t>
      </w:r>
      <w:r>
        <w:rPr>
          <w:color w:val="FF0000"/>
          <w:u w:val="double" w:color="FF0000"/>
        </w:rPr>
        <w:t>额外作相应的账务处理</w:t>
      </w:r>
      <w:r>
        <w:t>。</w:t>
      </w:r>
    </w:p>
    <w:p>
      <w:pPr>
        <w:pStyle w:val="5"/>
        <w:spacing w:before="2"/>
      </w:pPr>
      <w:r>
        <w:t>（二）非货币性职工薪酬</w:t>
      </w:r>
    </w:p>
    <w:p>
      <w:pPr>
        <w:pStyle w:val="5"/>
      </w:pPr>
      <w:r>
        <w:t>1.企业以自产产品作为非货币性福利发放给职工：</w:t>
      </w:r>
    </w:p>
    <w:tbl>
      <w:tblPr>
        <w:tblStyle w:val="10"/>
        <w:tblW w:w="0" w:type="auto"/>
        <w:tblInd w:w="7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19"/>
        <w:gridCol w:w="49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019" w:type="dxa"/>
            <w:shd w:val="clear" w:color="auto" w:fill="C0C0C0"/>
          </w:tcPr>
          <w:p>
            <w:pPr>
              <w:pStyle w:val="14"/>
              <w:spacing w:before="70" w:line="236" w:lineRule="exact"/>
              <w:ind w:left="106"/>
              <w:rPr>
                <w:sz w:val="20"/>
              </w:rPr>
            </w:pPr>
            <w:r>
              <w:rPr>
                <w:sz w:val="20"/>
              </w:rPr>
              <w:t>①分摊工资</w:t>
            </w:r>
          </w:p>
        </w:tc>
        <w:tc>
          <w:tcPr>
            <w:tcW w:w="4923" w:type="dxa"/>
            <w:shd w:val="clear" w:color="auto" w:fill="C0C0C0"/>
          </w:tcPr>
          <w:p>
            <w:pPr>
              <w:pStyle w:val="14"/>
              <w:spacing w:before="70" w:line="236" w:lineRule="exact"/>
              <w:ind w:left="107"/>
              <w:rPr>
                <w:sz w:val="20"/>
              </w:rPr>
            </w:pPr>
            <w:r>
              <w:rPr>
                <w:sz w:val="20"/>
              </w:rPr>
              <w:t>②确认收入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4019" w:type="dxa"/>
          </w:tcPr>
          <w:p>
            <w:pPr>
              <w:pStyle w:val="14"/>
              <w:spacing w:before="70" w:line="302" w:lineRule="auto"/>
              <w:ind w:left="706" w:right="101" w:hanging="200"/>
              <w:rPr>
                <w:sz w:val="20"/>
              </w:rPr>
            </w:pPr>
            <w:r>
              <w:rPr>
                <w:sz w:val="20"/>
              </w:rPr>
              <w:t>借：生产成本、管理费用、销售费用等贷：应付职工薪酬—非货币性福利</w:t>
            </w:r>
          </w:p>
        </w:tc>
        <w:tc>
          <w:tcPr>
            <w:tcW w:w="4923" w:type="dxa"/>
          </w:tcPr>
          <w:p>
            <w:pPr>
              <w:pStyle w:val="14"/>
              <w:spacing w:before="70" w:line="302" w:lineRule="auto"/>
              <w:ind w:left="1108" w:right="3" w:hanging="1001"/>
              <w:rPr>
                <w:sz w:val="20"/>
              </w:rPr>
            </w:pPr>
            <w:r>
              <w:rPr>
                <w:w w:val="95"/>
                <w:sz w:val="20"/>
              </w:rPr>
              <w:t xml:space="preserve">借：应付职工薪酬—非货币性福利（市场价格×1.13） </w:t>
            </w:r>
            <w:r>
              <w:rPr>
                <w:sz w:val="20"/>
              </w:rPr>
              <w:t>贷：主营业务收入（市场价格）</w:t>
            </w:r>
          </w:p>
          <w:p>
            <w:pPr>
              <w:pStyle w:val="14"/>
              <w:spacing w:before="5" w:line="237" w:lineRule="exact"/>
              <w:ind w:left="1408"/>
              <w:rPr>
                <w:sz w:val="20"/>
              </w:rPr>
            </w:pPr>
            <w:r>
              <w:rPr>
                <w:sz w:val="20"/>
              </w:rPr>
              <w:t>应交税费—应交增值税（销项税额）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019" w:type="dxa"/>
            <w:shd w:val="clear" w:color="auto" w:fill="C0C0C0"/>
          </w:tcPr>
          <w:p>
            <w:pPr>
              <w:pStyle w:val="14"/>
              <w:spacing w:before="68" w:line="237" w:lineRule="exact"/>
              <w:ind w:left="507"/>
              <w:rPr>
                <w:sz w:val="20"/>
              </w:rPr>
            </w:pPr>
            <w:r>
              <w:rPr>
                <w:sz w:val="20"/>
              </w:rPr>
              <w:t>③结转成本</w:t>
            </w:r>
          </w:p>
        </w:tc>
        <w:tc>
          <w:tcPr>
            <w:tcW w:w="4923" w:type="dxa"/>
            <w:shd w:val="clear" w:color="auto" w:fill="C0C0C0"/>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019" w:type="dxa"/>
          </w:tcPr>
          <w:p>
            <w:pPr>
              <w:pStyle w:val="14"/>
              <w:spacing w:before="7" w:line="326" w:lineRule="exact"/>
              <w:ind w:left="706" w:right="1901" w:hanging="200"/>
              <w:rPr>
                <w:sz w:val="20"/>
              </w:rPr>
            </w:pPr>
            <w:r>
              <w:rPr>
                <w:sz w:val="20"/>
              </w:rPr>
              <w:t>借：主营业务成本贷：库存商品</w:t>
            </w:r>
          </w:p>
        </w:tc>
        <w:tc>
          <w:tcPr>
            <w:tcW w:w="4923" w:type="dxa"/>
          </w:tcPr>
          <w:p>
            <w:pPr>
              <w:pStyle w:val="14"/>
              <w:rPr>
                <w:rFonts w:ascii="Times New Roman"/>
                <w:sz w:val="18"/>
              </w:rPr>
            </w:pPr>
          </w:p>
        </w:tc>
      </w:tr>
    </w:tbl>
    <w:p>
      <w:pPr>
        <w:spacing w:before="69" w:line="304" w:lineRule="auto"/>
        <w:ind w:left="723" w:right="2662" w:firstLine="0"/>
        <w:jc w:val="left"/>
        <w:rPr>
          <w:b/>
          <w:sz w:val="20"/>
        </w:rPr>
      </w:pPr>
      <w:r>
        <mc:AlternateContent>
          <mc:Choice Requires="wps">
            <w:drawing>
              <wp:anchor distT="0" distB="0" distL="114300" distR="114300" simplePos="0" relativeHeight="482461696" behindDoc="1" locked="0" layoutInCell="1" allowOverlap="1">
                <wp:simplePos x="0" y="0"/>
                <wp:positionH relativeFrom="page">
                  <wp:posOffset>1068705</wp:posOffset>
                </wp:positionH>
                <wp:positionV relativeFrom="paragraph">
                  <wp:posOffset>182245</wp:posOffset>
                </wp:positionV>
                <wp:extent cx="251460" cy="5715"/>
                <wp:effectExtent l="0" t="0" r="0" b="0"/>
                <wp:wrapNone/>
                <wp:docPr id="295" name="任意多边形 19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94" o:spid="_x0000_s1026" o:spt="100" style="position:absolute;left:0pt;margin-left:84.15pt;margin-top:14.35pt;height:0.45pt;width:19.8pt;mso-position-horizontal-relative:page;z-index:-20854784;mso-width-relative:page;mso-height-relative:page;" filled="f" stroked="t" coordsize="396,9" o:gfxdata="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g&#10;tcYI2QAAAAkBAAAPAAAAAAAAAAEAIAAAACIAAABkcnMvZG93bnJldi54bWxQSwECFAAUAAAACACH&#10;TuJAYZkJLp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15828992" behindDoc="0" locked="0" layoutInCell="1" allowOverlap="1">
                <wp:simplePos x="0" y="0"/>
                <wp:positionH relativeFrom="page">
                  <wp:posOffset>994410</wp:posOffset>
                </wp:positionH>
                <wp:positionV relativeFrom="paragraph">
                  <wp:posOffset>414020</wp:posOffset>
                </wp:positionV>
                <wp:extent cx="5707380" cy="640080"/>
                <wp:effectExtent l="0" t="0" r="0" b="0"/>
                <wp:wrapNone/>
                <wp:docPr id="140" name="文本框 195"/>
                <wp:cNvGraphicFramePr/>
                <a:graphic xmlns:a="http://schemas.openxmlformats.org/drawingml/2006/main">
                  <a:graphicData uri="http://schemas.microsoft.com/office/word/2010/wordprocessingShape">
                    <wps:wsp>
                      <wps:cNvSpPr txBox="1"/>
                      <wps:spPr>
                        <a:xfrm>
                          <a:off x="0" y="0"/>
                          <a:ext cx="5707380" cy="64008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1"/>
                              <w:gridCol w:w="44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01" w:type="dxa"/>
                                  <w:shd w:val="clear" w:color="auto" w:fill="C0C0C0"/>
                                </w:tcPr>
                                <w:p>
                                  <w:pPr>
                                    <w:pStyle w:val="14"/>
                                    <w:spacing w:before="69" w:line="237" w:lineRule="exact"/>
                                    <w:ind w:left="507"/>
                                    <w:rPr>
                                      <w:sz w:val="20"/>
                                    </w:rPr>
                                  </w:pPr>
                                  <w:r>
                                    <w:rPr>
                                      <w:sz w:val="20"/>
                                    </w:rPr>
                                    <w:t>①分摊工资</w:t>
                                  </w:r>
                                </w:p>
                              </w:tc>
                              <w:tc>
                                <w:tcPr>
                                  <w:tcW w:w="4472" w:type="dxa"/>
                                  <w:shd w:val="clear" w:color="auto" w:fill="C0C0C0"/>
                                </w:tcPr>
                                <w:p>
                                  <w:pPr>
                                    <w:pStyle w:val="14"/>
                                    <w:spacing w:before="69" w:line="237" w:lineRule="exact"/>
                                    <w:ind w:left="107"/>
                                    <w:rPr>
                                      <w:sz w:val="20"/>
                                    </w:rPr>
                                  </w:pPr>
                                  <w:r>
                                    <w:rPr>
                                      <w:sz w:val="20"/>
                                    </w:rPr>
                                    <w:t>②结转成本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501" w:type="dxa"/>
                                </w:tcPr>
                                <w:p>
                                  <w:pPr>
                                    <w:pStyle w:val="14"/>
                                    <w:spacing w:before="8" w:line="326" w:lineRule="exact"/>
                                    <w:ind w:left="807" w:right="583" w:hanging="300"/>
                                    <w:rPr>
                                      <w:sz w:val="20"/>
                                    </w:rPr>
                                  </w:pPr>
                                  <w:r>
                                    <w:rPr>
                                      <w:sz w:val="20"/>
                                    </w:rPr>
                                    <w:t>借：生产成本、管理费用、销售费用等贷：应付职工薪酬—非货币性福利</w:t>
                                  </w:r>
                                </w:p>
                              </w:tc>
                              <w:tc>
                                <w:tcPr>
                                  <w:tcW w:w="4472" w:type="dxa"/>
                                </w:tcPr>
                                <w:p>
                                  <w:pPr>
                                    <w:pStyle w:val="14"/>
                                    <w:spacing w:before="8" w:line="326" w:lineRule="exact"/>
                                    <w:ind w:left="808" w:right="951" w:hanging="300"/>
                                    <w:rPr>
                                      <w:sz w:val="20"/>
                                    </w:rPr>
                                  </w:pPr>
                                  <w:r>
                                    <w:rPr>
                                      <w:sz w:val="20"/>
                                    </w:rPr>
                                    <w:t>借：应付职工薪酬—非货币性福利贷：累计折旧</w:t>
                                  </w:r>
                                </w:p>
                              </w:tc>
                            </w:tr>
                          </w:tbl>
                          <w:p>
                            <w:pPr>
                              <w:pStyle w:val="6"/>
                              <w:spacing w:before="0"/>
                              <w:ind w:left="0"/>
                            </w:pPr>
                          </w:p>
                        </w:txbxContent>
                      </wps:txbx>
                      <wps:bodyPr lIns="0" tIns="0" rIns="0" bIns="0" upright="1"/>
                    </wps:wsp>
                  </a:graphicData>
                </a:graphic>
              </wp:anchor>
            </w:drawing>
          </mc:Choice>
          <mc:Fallback>
            <w:pict>
              <v:shape id="文本框 195" o:spid="_x0000_s1026" o:spt="202" type="#_x0000_t202" style="position:absolute;left:0pt;margin-left:78.3pt;margin-top:32.6pt;height:50.4pt;width:449.4pt;mso-position-horizontal-relative:page;z-index:15828992;mso-width-relative:page;mso-height-relative:page;" filled="f" stroked="f" coordsize="21600,21600" o:gfxdata="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1q4ZX2AAAAAsBAAAPAAAAAAAA&#10;AAEAIAAAACIAAABkcnMvZG93bnJldi54bWxQSwECFAAUAAAACACHTuJAHvW5yqABAAAoAwAADgAA&#10;AAAAAAABACAAAAAnAQAAZHJzL2Uyb0RvYy54bWxQSwUGAAAAAAYABgBZAQAAOQ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1"/>
                        <w:gridCol w:w="44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01" w:type="dxa"/>
                            <w:shd w:val="clear" w:color="auto" w:fill="C0C0C0"/>
                          </w:tcPr>
                          <w:p>
                            <w:pPr>
                              <w:pStyle w:val="14"/>
                              <w:spacing w:before="69" w:line="237" w:lineRule="exact"/>
                              <w:ind w:left="507"/>
                              <w:rPr>
                                <w:sz w:val="20"/>
                              </w:rPr>
                            </w:pPr>
                            <w:r>
                              <w:rPr>
                                <w:sz w:val="20"/>
                              </w:rPr>
                              <w:t>①分摊工资</w:t>
                            </w:r>
                          </w:p>
                        </w:tc>
                        <w:tc>
                          <w:tcPr>
                            <w:tcW w:w="4472" w:type="dxa"/>
                            <w:shd w:val="clear" w:color="auto" w:fill="C0C0C0"/>
                          </w:tcPr>
                          <w:p>
                            <w:pPr>
                              <w:pStyle w:val="14"/>
                              <w:spacing w:before="69" w:line="237" w:lineRule="exact"/>
                              <w:ind w:left="107"/>
                              <w:rPr>
                                <w:sz w:val="20"/>
                              </w:rPr>
                            </w:pPr>
                            <w:r>
                              <w:rPr>
                                <w:sz w:val="20"/>
                              </w:rPr>
                              <w:t>②结转成本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501" w:type="dxa"/>
                          </w:tcPr>
                          <w:p>
                            <w:pPr>
                              <w:pStyle w:val="14"/>
                              <w:spacing w:before="8" w:line="326" w:lineRule="exact"/>
                              <w:ind w:left="807" w:right="583" w:hanging="300"/>
                              <w:rPr>
                                <w:sz w:val="20"/>
                              </w:rPr>
                            </w:pPr>
                            <w:r>
                              <w:rPr>
                                <w:sz w:val="20"/>
                              </w:rPr>
                              <w:t>借：生产成本、管理费用、销售费用等贷：应付职工薪酬—非货币性福利</w:t>
                            </w:r>
                          </w:p>
                        </w:tc>
                        <w:tc>
                          <w:tcPr>
                            <w:tcW w:w="4472" w:type="dxa"/>
                          </w:tcPr>
                          <w:p>
                            <w:pPr>
                              <w:pStyle w:val="14"/>
                              <w:spacing w:before="8" w:line="326" w:lineRule="exact"/>
                              <w:ind w:left="808" w:right="951" w:hanging="300"/>
                              <w:rPr>
                                <w:sz w:val="20"/>
                              </w:rPr>
                            </w:pPr>
                            <w:r>
                              <w:rPr>
                                <w:sz w:val="20"/>
                              </w:rPr>
                              <w:t>借：应付职工薪酬—非货币性福利贷：累计折旧</w:t>
                            </w:r>
                          </w:p>
                        </w:tc>
                      </w:tr>
                    </w:tbl>
                    <w:p>
                      <w:pPr>
                        <w:pStyle w:val="6"/>
                        <w:spacing w:before="0"/>
                        <w:ind w:left="0"/>
                      </w:pPr>
                    </w:p>
                  </w:txbxContent>
                </v:textbox>
              </v:shape>
            </w:pict>
          </mc:Fallback>
        </mc:AlternateContent>
      </w:r>
      <w:r>
        <w:rPr>
          <w:w w:val="95"/>
          <w:sz w:val="20"/>
        </w:rPr>
        <w:t>【</w:t>
      </w:r>
      <w:r>
        <w:rPr>
          <w:b/>
          <w:color w:val="00AFEF"/>
          <w:w w:val="95"/>
          <w:sz w:val="20"/>
        </w:rPr>
        <w:t>提示</w:t>
      </w:r>
      <w:r>
        <w:rPr>
          <w:w w:val="95"/>
          <w:sz w:val="20"/>
        </w:rPr>
        <w:t xml:space="preserve">】如果是以外购货物作为非货币性职工福利发放给职工的，应转出进项税额。  </w:t>
      </w:r>
      <w:r>
        <w:rPr>
          <w:b/>
          <w:sz w:val="20"/>
        </w:rPr>
        <w:t>2.将企业拥有的房屋等资产无偿提供给职工使用</w:t>
      </w:r>
    </w:p>
    <w:p>
      <w:pPr>
        <w:spacing w:after="0" w:line="304" w:lineRule="auto"/>
        <w:jc w:val="left"/>
        <w:rPr>
          <w:sz w:val="20"/>
        </w:rPr>
        <w:sectPr>
          <w:pgSz w:w="11910" w:h="16160"/>
          <w:pgMar w:top="1680" w:right="360" w:bottom="860" w:left="760" w:header="0" w:footer="548" w:gutter="0"/>
        </w:sectPr>
      </w:pPr>
    </w:p>
    <w:p>
      <w:pPr>
        <w:pStyle w:val="6"/>
        <w:spacing w:before="11"/>
        <w:ind w:left="0"/>
        <w:rPr>
          <w:b/>
          <w:sz w:val="13"/>
        </w:rPr>
      </w:pPr>
    </w:p>
    <w:p>
      <w:pPr>
        <w:pStyle w:val="5"/>
        <w:spacing w:before="71"/>
      </w:pPr>
      <w:r>
        <w:t>3.租赁住房等资产供职工无偿使用的</w:t>
      </w:r>
    </w:p>
    <w:tbl>
      <w:tblPr>
        <w:tblStyle w:val="10"/>
        <w:tblW w:w="0" w:type="auto"/>
        <w:tblInd w:w="8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1"/>
        <w:gridCol w:w="44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501" w:type="dxa"/>
            <w:shd w:val="clear" w:color="auto" w:fill="C0C0C0"/>
          </w:tcPr>
          <w:p>
            <w:pPr>
              <w:pStyle w:val="14"/>
              <w:spacing w:before="68" w:line="237" w:lineRule="exact"/>
              <w:ind w:left="108"/>
              <w:rPr>
                <w:sz w:val="20"/>
              </w:rPr>
            </w:pPr>
            <w:r>
              <w:rPr>
                <w:sz w:val="20"/>
              </w:rPr>
              <w:t>①分摊工资</w:t>
            </w:r>
          </w:p>
        </w:tc>
        <w:tc>
          <w:tcPr>
            <w:tcW w:w="4472" w:type="dxa"/>
            <w:shd w:val="clear" w:color="auto" w:fill="C0C0C0"/>
          </w:tcPr>
          <w:p>
            <w:pPr>
              <w:pStyle w:val="14"/>
              <w:spacing w:before="68" w:line="237" w:lineRule="exact"/>
              <w:ind w:left="107"/>
              <w:rPr>
                <w:sz w:val="20"/>
              </w:rPr>
            </w:pPr>
            <w:r>
              <w:rPr>
                <w:sz w:val="20"/>
              </w:rPr>
              <w:t>②结转成本（支付房租）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501" w:type="dxa"/>
          </w:tcPr>
          <w:p>
            <w:pPr>
              <w:pStyle w:val="14"/>
              <w:spacing w:before="7" w:line="326" w:lineRule="exact"/>
              <w:ind w:left="708" w:right="780" w:hanging="600"/>
              <w:rPr>
                <w:sz w:val="20"/>
              </w:rPr>
            </w:pPr>
            <w:r>
              <w:rPr>
                <w:sz w:val="20"/>
              </w:rPr>
              <w:t xml:space="preserve">借：生产成本、管理费用、销售费用等 </w:t>
            </w:r>
            <w:r>
              <w:rPr>
                <w:spacing w:val="-1"/>
                <w:sz w:val="20"/>
              </w:rPr>
              <w:t>贷：应付职工薪酬—非货币性福利</w:t>
            </w:r>
          </w:p>
        </w:tc>
        <w:tc>
          <w:tcPr>
            <w:tcW w:w="4472" w:type="dxa"/>
          </w:tcPr>
          <w:p>
            <w:pPr>
              <w:pStyle w:val="14"/>
              <w:spacing w:before="7" w:line="326" w:lineRule="exact"/>
              <w:ind w:left="707" w:right="1352" w:hanging="600"/>
              <w:rPr>
                <w:sz w:val="20"/>
              </w:rPr>
            </w:pPr>
            <w:r>
              <w:rPr>
                <w:sz w:val="20"/>
              </w:rPr>
              <w:t>借：应付职工薪酬—非货币性福利贷：银行存款</w:t>
            </w:r>
          </w:p>
        </w:tc>
      </w:tr>
    </w:tbl>
    <w:p>
      <w:pPr>
        <w:spacing w:before="3"/>
        <w:ind w:left="802" w:right="0" w:firstLine="0"/>
        <w:jc w:val="left"/>
        <w:rPr>
          <w:b/>
          <w:sz w:val="24"/>
        </w:rPr>
      </w:pPr>
      <w:bookmarkStart w:id="92" w:name="四、设定提存计划的核算"/>
      <w:bookmarkEnd w:id="92"/>
      <w:r>
        <w:rPr>
          <w:b/>
          <w:sz w:val="24"/>
          <w:shd w:val="clear" w:color="auto" w:fill="C0C0C0"/>
        </w:rPr>
        <w:t>四、设定提存计划的核算</w:t>
      </w:r>
    </w:p>
    <w:p>
      <w:pPr>
        <w:pStyle w:val="6"/>
        <w:spacing w:line="304" w:lineRule="auto"/>
        <w:ind w:left="322" w:right="724" w:firstLine="400"/>
      </w:pPr>
      <w:r>
        <w:rPr>
          <w:color w:val="FF0000"/>
          <w:spacing w:val="-7"/>
          <w:w w:val="95"/>
          <w:u w:val="double" w:color="FF0000"/>
        </w:rPr>
        <w:t>对于设定提存计划，企业应当根据在资产负债表日为换取职工在会计期间提供的服务而应向单独主体缴存的</w:t>
      </w:r>
      <w:r>
        <w:rPr>
          <w:color w:val="FF0000"/>
          <w:spacing w:val="-199"/>
          <w:w w:val="95"/>
          <w:u w:val="double" w:color="FF0000"/>
        </w:rPr>
        <w:t>提</w:t>
      </w:r>
      <w:r>
        <w:rPr>
          <w:color w:val="FF0000"/>
          <w:spacing w:val="189"/>
          <w:w w:val="95"/>
          <w:u w:val="double" w:color="FF0000"/>
        </w:rPr>
        <w:t xml:space="preserve"> </w:t>
      </w:r>
      <w:r>
        <w:rPr>
          <w:color w:val="FF0000"/>
          <w:u w:val="double" w:color="FF0000"/>
        </w:rPr>
        <w:t>存金</w:t>
      </w:r>
      <w:r>
        <w:t>。</w:t>
      </w:r>
    </w:p>
    <w:p>
      <w:pPr>
        <w:pStyle w:val="6"/>
        <w:spacing w:before="2" w:line="304" w:lineRule="auto"/>
        <w:ind w:left="1323" w:right="5861" w:hanging="600"/>
      </w:pPr>
      <w:r>
        <w:t>借：生产成本、制造费用、管理费用、销售费用贷：应付职工薪酬—设定提存计划</w:t>
      </w:r>
    </w:p>
    <w:p>
      <w:pPr>
        <w:pStyle w:val="3"/>
        <w:tabs>
          <w:tab w:val="left" w:pos="839"/>
        </w:tabs>
        <w:spacing w:before="50"/>
        <w:ind w:left="0" w:right="402"/>
        <w:jc w:val="center"/>
        <w:rPr>
          <w:rFonts w:hint="eastAsia" w:ascii="微软雅黑" w:eastAsia="微软雅黑"/>
        </w:rPr>
      </w:pPr>
      <w:bookmarkStart w:id="93" w:name="_bookmark19"/>
      <w:bookmarkEnd w:id="93"/>
      <w:bookmarkStart w:id="94" w:name="第四节　应交税费"/>
      <w:bookmarkEnd w:id="94"/>
      <w:r>
        <w:rPr>
          <w:rFonts w:hint="eastAsia" w:ascii="微软雅黑" w:eastAsia="微软雅黑"/>
          <w:shd w:val="clear" w:color="auto" w:fill="FFFF00"/>
        </w:rPr>
        <w:t>第四节</w:t>
      </w:r>
      <w:r>
        <w:rPr>
          <w:rFonts w:hint="eastAsia" w:ascii="微软雅黑" w:eastAsia="微软雅黑"/>
          <w:shd w:val="clear" w:color="auto" w:fill="FFFF00"/>
        </w:rPr>
        <w:tab/>
      </w:r>
      <w:r>
        <w:rPr>
          <w:rFonts w:hint="eastAsia" w:ascii="微软雅黑" w:eastAsia="微软雅黑"/>
          <w:shd w:val="clear" w:color="auto" w:fill="FFFF00"/>
        </w:rPr>
        <w:t>应交税费</w:t>
      </w:r>
    </w:p>
    <w:p>
      <w:pPr>
        <w:spacing w:before="141"/>
        <w:ind w:left="742" w:right="0" w:firstLine="0"/>
        <w:jc w:val="left"/>
        <w:rPr>
          <w:b/>
          <w:sz w:val="21"/>
        </w:rPr>
      </w:pPr>
      <w:bookmarkStart w:id="95" w:name="一、应交税费概述"/>
      <w:bookmarkEnd w:id="95"/>
      <w:r>
        <w:rPr>
          <w:b/>
          <w:sz w:val="21"/>
          <w:shd w:val="clear" w:color="auto" w:fill="C0C0C0"/>
        </w:rPr>
        <w:t>一、应交税费概述</w:t>
      </w:r>
    </w:p>
    <w:p>
      <w:pPr>
        <w:pStyle w:val="6"/>
        <w:spacing w:before="89" w:line="304" w:lineRule="auto"/>
        <w:ind w:left="322" w:right="662" w:firstLine="400"/>
      </w:pPr>
      <w:r>
        <w:rPr>
          <w:spacing w:val="-6"/>
        </w:rPr>
        <w:t>企业根据税法规定应交纳的各种税费包括：增值税、消费税、城市维护建设税、资源税、企业所得税、土地</w:t>
      </w:r>
      <w:r>
        <w:rPr>
          <w:spacing w:val="-6"/>
          <w:w w:val="95"/>
        </w:rPr>
        <w:t>增值税、房产税、车船税、土地使用税、教育费附加、矿产资源补偿费、印花税、耕地占用税、环境保护税等。</w:t>
      </w:r>
    </w:p>
    <w:p>
      <w:pPr>
        <w:pStyle w:val="6"/>
        <w:spacing w:before="2"/>
      </w:pPr>
      <w:r>
        <w:t>企业代扣代缴的个人所得税，也通过应交税费核算</w:t>
      </w:r>
    </w:p>
    <w:p>
      <w:pPr>
        <w:pStyle w:val="6"/>
      </w:pPr>
      <w:r>
        <w:rPr>
          <w:color w:val="FF0000"/>
          <w:u w:val="double" w:color="FF0000"/>
        </w:rPr>
        <w:t>企业交纳的印花税、契税、耕地占用税、车辆购置税不需要预计应交数的税金，不通过“应交税费”科目核</w:t>
      </w:r>
    </w:p>
    <w:p>
      <w:pPr>
        <w:pStyle w:val="6"/>
        <w:ind w:left="322"/>
      </w:pPr>
      <w:r>
        <w:rPr>
          <w:color w:val="FF0000"/>
          <w:u w:val="double" w:color="FF0000"/>
        </w:rPr>
        <w:t>算</w:t>
      </w:r>
      <w:r>
        <w:t>。</w:t>
      </w:r>
    </w:p>
    <w:p>
      <w:pPr>
        <w:spacing w:before="22"/>
        <w:ind w:left="742" w:right="0" w:firstLine="0"/>
        <w:jc w:val="left"/>
        <w:rPr>
          <w:b/>
          <w:sz w:val="21"/>
        </w:rPr>
      </w:pPr>
      <w:bookmarkStart w:id="96" w:name="二、应交增值税"/>
      <w:bookmarkEnd w:id="96"/>
      <w:r>
        <w:rPr>
          <w:b/>
          <w:sz w:val="21"/>
          <w:shd w:val="clear" w:color="auto" w:fill="C0C0C0"/>
        </w:rPr>
        <w:t>二、应交增值税</w:t>
      </w:r>
    </w:p>
    <w:p>
      <w:pPr>
        <w:pStyle w:val="5"/>
        <w:spacing w:before="91" w:line="302" w:lineRule="auto"/>
        <w:ind w:right="8455"/>
      </w:pPr>
      <w:r>
        <mc:AlternateContent>
          <mc:Choice Requires="wps">
            <w:drawing>
              <wp:anchor distT="0" distB="0" distL="114300" distR="114300" simplePos="0" relativeHeight="482463744" behindDoc="1" locked="0" layoutInCell="1" allowOverlap="1">
                <wp:simplePos x="0" y="0"/>
                <wp:positionH relativeFrom="page">
                  <wp:posOffset>1068705</wp:posOffset>
                </wp:positionH>
                <wp:positionV relativeFrom="paragraph">
                  <wp:posOffset>401320</wp:posOffset>
                </wp:positionV>
                <wp:extent cx="251460" cy="5715"/>
                <wp:effectExtent l="0" t="0" r="0" b="0"/>
                <wp:wrapNone/>
                <wp:docPr id="297" name="任意多边形 19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96" o:spid="_x0000_s1026" o:spt="100" style="position:absolute;left:0pt;margin-left:84.15pt;margin-top:31.6pt;height:0.45pt;width:19.8pt;mso-position-horizontal-relative:page;z-index:-20852736;mso-width-relative:page;mso-height-relative:page;" filled="f" stroked="t" coordsize="396,9" o:gfxdata="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rf&#10;B5bZAAAACQEAAA8AAAAAAAAAAQAgAAAAIgAAAGRycy9kb3ducmV2LnhtbFBLAQIUABQAAAAIAIdO&#10;4kCvI/g7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（一）增值税概述</w:t>
      </w:r>
      <w:r>
        <w:rPr>
          <w:b w:val="0"/>
        </w:rPr>
        <w:t>1.</w:t>
      </w:r>
      <w:r>
        <w:rPr>
          <w:color w:val="00AFEF"/>
        </w:rPr>
        <w:t>概念</w:t>
      </w:r>
    </w:p>
    <w:p>
      <w:pPr>
        <w:pStyle w:val="6"/>
        <w:spacing w:before="5" w:line="304" w:lineRule="auto"/>
        <w:ind w:right="662"/>
        <w:rPr>
          <w:b/>
        </w:rPr>
      </w:pPr>
      <w:r>
        <mc:AlternateContent>
          <mc:Choice Requires="wps">
            <w:drawing>
              <wp:anchor distT="0" distB="0" distL="114300" distR="114300" simplePos="0" relativeHeight="482463744" behindDoc="1" locked="0" layoutInCell="1" allowOverlap="1">
                <wp:simplePos x="0" y="0"/>
                <wp:positionH relativeFrom="page">
                  <wp:posOffset>1068705</wp:posOffset>
                </wp:positionH>
                <wp:positionV relativeFrom="paragraph">
                  <wp:posOffset>348615</wp:posOffset>
                </wp:positionV>
                <wp:extent cx="502920" cy="5715"/>
                <wp:effectExtent l="0" t="0" r="0" b="0"/>
                <wp:wrapNone/>
                <wp:docPr id="296" name="任意多边形 197"/>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97" o:spid="_x0000_s1026" o:spt="100" style="position:absolute;left:0pt;margin-left:84.15pt;margin-top:27.45pt;height:0.45pt;width:39.6pt;mso-position-horizontal-relative:page;z-index:-20852736;mso-width-relative:page;mso-height-relative:page;" filled="f" stroked="t" coordsize="792,9" o:gfxdata="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DVJrP+1wAAAAkBAAAPAAAAAAAAAAEAIAAAACIA&#10;AABkcnMvZG93bnJldi54bWxQSwECFAAUAAAACACHTuJAv5eS2u4CAACbCgAADgAAAAAAAAABACAA&#10;AAAm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增值税是以商品（</w:t>
      </w:r>
      <w:r>
        <w:rPr>
          <w:color w:val="FF0000"/>
          <w:w w:val="95"/>
          <w:u w:val="double" w:color="FF0000"/>
        </w:rPr>
        <w:t>含应税劳务、应税行为</w:t>
      </w:r>
      <w:r>
        <w:rPr>
          <w:w w:val="95"/>
        </w:rPr>
        <w:t>）在流转过程中产生的</w:t>
      </w:r>
      <w:r>
        <w:rPr>
          <w:color w:val="FF0000"/>
          <w:w w:val="95"/>
          <w:u w:val="double" w:color="FF0000"/>
        </w:rPr>
        <w:t>增值额</w:t>
      </w:r>
      <w:r>
        <w:rPr>
          <w:w w:val="95"/>
        </w:rPr>
        <w:t xml:space="preserve">作为计税依据而征收的一种流转税。   </w:t>
      </w:r>
      <w:r>
        <w:t>2.</w:t>
      </w:r>
      <w:r>
        <w:rPr>
          <w:b/>
          <w:color w:val="00AFEF"/>
        </w:rPr>
        <w:t>征税范围</w:t>
      </w:r>
    </w:p>
    <w:p>
      <w:pPr>
        <w:pStyle w:val="6"/>
        <w:spacing w:before="2"/>
      </w:pPr>
      <w:r>
        <w:t>在我国境内</w:t>
      </w:r>
      <w:r>
        <w:rPr>
          <w:color w:val="FF0000"/>
          <w:u w:val="double" w:color="FF0000"/>
        </w:rPr>
        <w:t>销售货物、提供加工修理或修配劳务（简称应税劳务</w:t>
      </w:r>
      <w:r>
        <w:rPr>
          <w:color w:val="FF0000"/>
          <w:spacing w:val="-99"/>
          <w:u w:val="double" w:color="FF0000"/>
        </w:rPr>
        <w:t>）</w:t>
      </w:r>
      <w:r>
        <w:rPr>
          <w:color w:val="FF0000"/>
          <w:u w:val="double" w:color="FF0000"/>
        </w:rPr>
        <w:t>、销售应税服务、无形资产和不动产（简</w:t>
      </w:r>
    </w:p>
    <w:p>
      <w:pPr>
        <w:pStyle w:val="6"/>
        <w:spacing w:line="304" w:lineRule="auto"/>
        <w:ind w:left="322" w:right="720"/>
      </w:pPr>
      <w:r>
        <w:rPr>
          <w:color w:val="FF0000"/>
          <w:w w:val="99"/>
          <w:u w:val="double" w:color="FF0000"/>
        </w:rPr>
        <w:t>称应税行为</w:t>
      </w:r>
      <w:r>
        <w:rPr>
          <w:color w:val="FF0000"/>
          <w:spacing w:val="-7"/>
          <w:w w:val="99"/>
          <w:u w:val="double" w:color="FF0000"/>
        </w:rPr>
        <w:t>）</w:t>
      </w:r>
      <w:r>
        <w:rPr>
          <w:color w:val="FF0000"/>
          <w:w w:val="99"/>
          <w:u w:val="double" w:color="FF0000"/>
        </w:rPr>
        <w:t>以及进口货物</w:t>
      </w:r>
      <w:r>
        <w:rPr>
          <w:spacing w:val="-16"/>
          <w:w w:val="99"/>
        </w:rPr>
        <w:t>；其中，“应税服务”，包括交通运输服务、建筑服务、邮政服务、电信服务、金融服</w:t>
      </w:r>
      <w:r>
        <w:rPr>
          <w:spacing w:val="-16"/>
        </w:rPr>
        <w:t>务、现代服务、生活服务。</w:t>
      </w:r>
    </w:p>
    <w:p>
      <w:pPr>
        <w:spacing w:before="0" w:line="256" w:lineRule="exact"/>
        <w:ind w:left="723" w:right="0" w:firstLine="0"/>
        <w:jc w:val="left"/>
        <w:rPr>
          <w:b/>
          <w:sz w:val="20"/>
        </w:rPr>
      </w:pPr>
      <w:r>
        <mc:AlternateContent>
          <mc:Choice Requires="wps">
            <w:drawing>
              <wp:anchor distT="0" distB="0" distL="114300" distR="114300" simplePos="0" relativeHeight="15830016" behindDoc="0" locked="0" layoutInCell="1" allowOverlap="1">
                <wp:simplePos x="0" y="0"/>
                <wp:positionH relativeFrom="page">
                  <wp:posOffset>1068705</wp:posOffset>
                </wp:positionH>
                <wp:positionV relativeFrom="paragraph">
                  <wp:posOffset>137795</wp:posOffset>
                </wp:positionV>
                <wp:extent cx="377190" cy="5715"/>
                <wp:effectExtent l="0" t="0" r="0" b="0"/>
                <wp:wrapNone/>
                <wp:docPr id="141" name="任意多边形 198"/>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198" o:spid="_x0000_s1026" o:spt="100" style="position:absolute;left:0pt;margin-left:84.15pt;margin-top:10.85pt;height:0.45pt;width:29.7pt;mso-position-horizontal-relative:page;z-index:15830016;mso-width-relative:page;mso-height-relative:page;" filled="f" stroked="t" coordsize="594,9" o:gfxdata="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DCpKMb1AAAAAkBAAAPAAAAAAAA&#10;AAEAIAAAACIAAABkcnMvZG93bnJldi54bWxQSwECFAAUAAAACACHTuJA4iXubMECAAD5CAAADgAA&#10;AAAAAAABACAAAAAjAQAAZHJzL2Uyb0RvYy54bWxQSwUGAAAAAAYABgBZAQAAVgY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sz w:val="20"/>
        </w:rPr>
        <w:t>3.</w:t>
      </w:r>
      <w:r>
        <w:rPr>
          <w:b/>
          <w:color w:val="00AFEF"/>
          <w:sz w:val="20"/>
        </w:rPr>
        <w:t>纳税人</w:t>
      </w:r>
    </w:p>
    <w:p>
      <w:pPr>
        <w:pStyle w:val="6"/>
        <w:spacing w:line="304" w:lineRule="auto"/>
        <w:ind w:left="322" w:right="720" w:firstLine="400"/>
      </w:pPr>
      <w:r>
        <w:rPr>
          <w:spacing w:val="-4"/>
          <w:w w:val="95"/>
        </w:rPr>
        <w:t xml:space="preserve">在我国境内销售货物、提供加工修理或修配劳务、销售应税服务、无形资产和不动产以及进口货物的企业单   </w:t>
      </w:r>
      <w:r>
        <w:rPr>
          <w:spacing w:val="-4"/>
        </w:rPr>
        <w:t>位和个人为增值税的纳税人。</w:t>
      </w:r>
    </w:p>
    <w:p>
      <w:pPr>
        <w:pStyle w:val="6"/>
        <w:spacing w:before="2" w:line="304" w:lineRule="auto"/>
        <w:ind w:right="1662"/>
        <w:rPr>
          <w:b/>
        </w:rPr>
      </w:pPr>
      <w:r>
        <mc:AlternateContent>
          <mc:Choice Requires="wps">
            <w:drawing>
              <wp:anchor distT="0" distB="0" distL="114300" distR="114300" simplePos="0" relativeHeight="15831040" behindDoc="0" locked="0" layoutInCell="1" allowOverlap="1">
                <wp:simplePos x="0" y="0"/>
                <wp:positionH relativeFrom="page">
                  <wp:posOffset>615950</wp:posOffset>
                </wp:positionH>
                <wp:positionV relativeFrom="paragraph">
                  <wp:posOffset>370840</wp:posOffset>
                </wp:positionV>
                <wp:extent cx="6392545" cy="1692910"/>
                <wp:effectExtent l="0" t="0" r="0" b="0"/>
                <wp:wrapNone/>
                <wp:docPr id="142" name="文本框 199"/>
                <wp:cNvGraphicFramePr/>
                <a:graphic xmlns:a="http://schemas.openxmlformats.org/drawingml/2006/main">
                  <a:graphicData uri="http://schemas.microsoft.com/office/word/2010/wordprocessingShape">
                    <wps:wsp>
                      <wps:cNvSpPr txBox="1"/>
                      <wps:spPr>
                        <a:xfrm>
                          <a:off x="0" y="0"/>
                          <a:ext cx="6392545" cy="169291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2"/>
                              <w:gridCol w:w="89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2" w:type="dxa"/>
                                  <w:shd w:val="clear" w:color="auto" w:fill="FCEADA"/>
                                </w:tcPr>
                                <w:p>
                                  <w:pPr>
                                    <w:pStyle w:val="14"/>
                                    <w:spacing w:before="69" w:line="236" w:lineRule="exact"/>
                                    <w:ind w:left="209" w:right="203"/>
                                    <w:jc w:val="center"/>
                                    <w:rPr>
                                      <w:sz w:val="20"/>
                                    </w:rPr>
                                  </w:pPr>
                                  <w:r>
                                    <w:rPr>
                                      <w:sz w:val="20"/>
                                    </w:rPr>
                                    <w:t>税率</w:t>
                                  </w:r>
                                </w:p>
                              </w:tc>
                              <w:tc>
                                <w:tcPr>
                                  <w:tcW w:w="8990" w:type="dxa"/>
                                  <w:shd w:val="clear" w:color="auto" w:fill="FCEADA"/>
                                </w:tcPr>
                                <w:p>
                                  <w:pPr>
                                    <w:pStyle w:val="14"/>
                                    <w:spacing w:before="69" w:line="236" w:lineRule="exact"/>
                                    <w:ind w:left="4035" w:right="4015"/>
                                    <w:jc w:val="center"/>
                                    <w:rPr>
                                      <w:sz w:val="20"/>
                                    </w:rPr>
                                  </w:pPr>
                                  <w:r>
                                    <w:rPr>
                                      <w:sz w:val="20"/>
                                    </w:rPr>
                                    <w:t>范 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62" w:type="dxa"/>
                                </w:tcPr>
                                <w:p>
                                  <w:pPr>
                                    <w:pStyle w:val="14"/>
                                    <w:spacing w:before="69" w:line="236" w:lineRule="exact"/>
                                    <w:ind w:left="209" w:right="199"/>
                                    <w:jc w:val="center"/>
                                    <w:rPr>
                                      <w:sz w:val="20"/>
                                    </w:rPr>
                                  </w:pPr>
                                  <w:r>
                                    <w:rPr>
                                      <w:sz w:val="20"/>
                                    </w:rPr>
                                    <w:t>13%</w:t>
                                  </w:r>
                                </w:p>
                              </w:tc>
                              <w:tc>
                                <w:tcPr>
                                  <w:tcW w:w="8990" w:type="dxa"/>
                                </w:tcPr>
                                <w:p>
                                  <w:pPr>
                                    <w:pStyle w:val="14"/>
                                    <w:spacing w:before="69" w:line="236" w:lineRule="exact"/>
                                    <w:ind w:left="506"/>
                                    <w:rPr>
                                      <w:sz w:val="20"/>
                                    </w:rPr>
                                  </w:pPr>
                                  <w:r>
                                    <w:rPr>
                                      <w:sz w:val="20"/>
                                    </w:rPr>
                                    <w:t>销售进或口货物、加工修理修配劳务、有形动产租赁服务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062" w:type="dxa"/>
                                  <w:vMerge w:val="restart"/>
                                </w:tcPr>
                                <w:p>
                                  <w:pPr>
                                    <w:pStyle w:val="14"/>
                                    <w:rPr>
                                      <w:b/>
                                      <w:sz w:val="20"/>
                                    </w:rPr>
                                  </w:pPr>
                                </w:p>
                                <w:p>
                                  <w:pPr>
                                    <w:pStyle w:val="14"/>
                                    <w:rPr>
                                      <w:b/>
                                      <w:sz w:val="24"/>
                                    </w:rPr>
                                  </w:pPr>
                                </w:p>
                                <w:p>
                                  <w:pPr>
                                    <w:pStyle w:val="14"/>
                                    <w:ind w:left="209" w:right="199"/>
                                    <w:jc w:val="center"/>
                                    <w:rPr>
                                      <w:sz w:val="20"/>
                                    </w:rPr>
                                  </w:pPr>
                                  <w:r>
                                    <w:rPr>
                                      <w:sz w:val="20"/>
                                    </w:rPr>
                                    <w:t>9%</w:t>
                                  </w:r>
                                </w:p>
                              </w:tc>
                              <w:tc>
                                <w:tcPr>
                                  <w:tcW w:w="8990" w:type="dxa"/>
                                </w:tcPr>
                                <w:p>
                                  <w:pPr>
                                    <w:pStyle w:val="14"/>
                                    <w:spacing w:before="69"/>
                                    <w:ind w:left="506" w:right="-15"/>
                                    <w:rPr>
                                      <w:sz w:val="20"/>
                                    </w:rPr>
                                  </w:pPr>
                                  <w:r>
                                    <w:rPr>
                                      <w:sz w:val="20"/>
                                    </w:rPr>
                                    <w:t>商品：农产品（含粮食</w:t>
                                  </w:r>
                                  <w:r>
                                    <w:rPr>
                                      <w:spacing w:val="-99"/>
                                      <w:sz w:val="20"/>
                                    </w:rPr>
                                    <w:t>）</w:t>
                                  </w:r>
                                  <w:r>
                                    <w:rPr>
                                      <w:sz w:val="20"/>
                                    </w:rPr>
                                    <w:t>、自来水、暖气、石油液化气、天然气、食用植物油、冷气、热水、煤</w:t>
                                  </w:r>
                                </w:p>
                                <w:p>
                                  <w:pPr>
                                    <w:pStyle w:val="14"/>
                                    <w:spacing w:before="7" w:line="320" w:lineRule="atLeast"/>
                                    <w:ind w:left="108" w:right="-15"/>
                                    <w:rPr>
                                      <w:sz w:val="20"/>
                                    </w:rPr>
                                  </w:pPr>
                                  <w:r>
                                    <w:rPr>
                                      <w:spacing w:val="-12"/>
                                      <w:w w:val="95"/>
                                      <w:sz w:val="20"/>
                                    </w:rPr>
                                    <w:t xml:space="preserve">气、居民用煤炭制品、食用盐、农机、饲料、农药、农膜、化肥、沼气、二甲醚、图书、报纸、杂志、   </w:t>
                                  </w:r>
                                  <w:r>
                                    <w:rPr>
                                      <w:spacing w:val="-12"/>
                                      <w:sz w:val="20"/>
                                    </w:rPr>
                                    <w:t>音像制品、电子出版物。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2" w:type="dxa"/>
                                  <w:vMerge w:val="continue"/>
                                  <w:tcBorders>
                                    <w:top w:val="nil"/>
                                  </w:tcBorders>
                                </w:tcPr>
                                <w:p>
                                  <w:pPr>
                                    <w:rPr>
                                      <w:sz w:val="2"/>
                                      <w:szCs w:val="2"/>
                                    </w:rPr>
                                  </w:pPr>
                                </w:p>
                              </w:tc>
                              <w:tc>
                                <w:tcPr>
                                  <w:tcW w:w="8990" w:type="dxa"/>
                                </w:tcPr>
                                <w:p>
                                  <w:pPr>
                                    <w:pStyle w:val="14"/>
                                    <w:spacing w:before="68" w:line="238" w:lineRule="exact"/>
                                    <w:ind w:left="506"/>
                                    <w:rPr>
                                      <w:sz w:val="20"/>
                                    </w:rPr>
                                  </w:pPr>
                                  <w:r>
                                    <w:rPr>
                                      <w:sz w:val="20"/>
                                    </w:rPr>
                                    <w:t>服务：交通运输、邮政、基础电信、建筑、不动产租赁服务，销售不动产，转让土地使用权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062" w:type="dxa"/>
                                </w:tcPr>
                                <w:p>
                                  <w:pPr>
                                    <w:pStyle w:val="14"/>
                                    <w:rPr>
                                      <w:b/>
                                      <w:sz w:val="18"/>
                                    </w:rPr>
                                  </w:pPr>
                                </w:p>
                                <w:p>
                                  <w:pPr>
                                    <w:pStyle w:val="14"/>
                                    <w:ind w:left="209" w:right="199"/>
                                    <w:jc w:val="center"/>
                                    <w:rPr>
                                      <w:sz w:val="20"/>
                                    </w:rPr>
                                  </w:pPr>
                                  <w:r>
                                    <w:rPr>
                                      <w:sz w:val="20"/>
                                    </w:rPr>
                                    <w:t>6%</w:t>
                                  </w:r>
                                </w:p>
                              </w:tc>
                              <w:tc>
                                <w:tcPr>
                                  <w:tcW w:w="8990" w:type="dxa"/>
                                </w:tcPr>
                                <w:p>
                                  <w:pPr>
                                    <w:pStyle w:val="14"/>
                                    <w:spacing w:before="7" w:line="326" w:lineRule="exact"/>
                                    <w:ind w:left="108" w:right="97" w:firstLine="398"/>
                                    <w:rPr>
                                      <w:sz w:val="20"/>
                                    </w:rPr>
                                  </w:pPr>
                                  <w:r>
                                    <w:rPr>
                                      <w:sz w:val="20"/>
                                    </w:rPr>
                                    <w:t>增值电信服务、金融服务、现代服务（除有形动产租赁和不动产租赁</w:t>
                                  </w:r>
                                  <w:r>
                                    <w:rPr>
                                      <w:spacing w:val="-99"/>
                                      <w:sz w:val="20"/>
                                    </w:rPr>
                                    <w:t>）</w:t>
                                  </w:r>
                                  <w:r>
                                    <w:rPr>
                                      <w:sz w:val="20"/>
                                    </w:rPr>
                                    <w:t>、生活服务、销售无形资产（除转让土地使用权）</w:t>
                                  </w:r>
                                </w:p>
                              </w:tc>
                            </w:tr>
                          </w:tbl>
                          <w:p>
                            <w:pPr>
                              <w:pStyle w:val="6"/>
                              <w:spacing w:before="0"/>
                              <w:ind w:left="0"/>
                            </w:pPr>
                          </w:p>
                        </w:txbxContent>
                      </wps:txbx>
                      <wps:bodyPr lIns="0" tIns="0" rIns="0" bIns="0" upright="1"/>
                    </wps:wsp>
                  </a:graphicData>
                </a:graphic>
              </wp:anchor>
            </w:drawing>
          </mc:Choice>
          <mc:Fallback>
            <w:pict>
              <v:shape id="文本框 199" o:spid="_x0000_s1026" o:spt="202" type="#_x0000_t202" style="position:absolute;left:0pt;margin-left:48.5pt;margin-top:29.2pt;height:133.3pt;width:503.35pt;mso-position-horizontal-relative:page;z-index:15831040;mso-width-relative:page;mso-height-relative:page;" filled="f" stroked="f" coordsize="21600,21600" o:gfxdata="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IObODZAAAACgEAAA8A&#10;AAAAAAAAAQAgAAAAIgAAAGRycy9kb3ducmV2LnhtbFBLAQIUABQAAAAIAIdO4kCzMiR2pAEAACkD&#10;AAAOAAAAAAAAAAEAIAAAACg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2"/>
                        <w:gridCol w:w="89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2" w:type="dxa"/>
                            <w:shd w:val="clear" w:color="auto" w:fill="FCEADA"/>
                          </w:tcPr>
                          <w:p>
                            <w:pPr>
                              <w:pStyle w:val="14"/>
                              <w:spacing w:before="69" w:line="236" w:lineRule="exact"/>
                              <w:ind w:left="209" w:right="203"/>
                              <w:jc w:val="center"/>
                              <w:rPr>
                                <w:sz w:val="20"/>
                              </w:rPr>
                            </w:pPr>
                            <w:r>
                              <w:rPr>
                                <w:sz w:val="20"/>
                              </w:rPr>
                              <w:t>税率</w:t>
                            </w:r>
                          </w:p>
                        </w:tc>
                        <w:tc>
                          <w:tcPr>
                            <w:tcW w:w="8990" w:type="dxa"/>
                            <w:shd w:val="clear" w:color="auto" w:fill="FCEADA"/>
                          </w:tcPr>
                          <w:p>
                            <w:pPr>
                              <w:pStyle w:val="14"/>
                              <w:spacing w:before="69" w:line="236" w:lineRule="exact"/>
                              <w:ind w:left="4035" w:right="4015"/>
                              <w:jc w:val="center"/>
                              <w:rPr>
                                <w:sz w:val="20"/>
                              </w:rPr>
                            </w:pPr>
                            <w:r>
                              <w:rPr>
                                <w:sz w:val="20"/>
                              </w:rPr>
                              <w:t>范 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62" w:type="dxa"/>
                          </w:tcPr>
                          <w:p>
                            <w:pPr>
                              <w:pStyle w:val="14"/>
                              <w:spacing w:before="69" w:line="236" w:lineRule="exact"/>
                              <w:ind w:left="209" w:right="199"/>
                              <w:jc w:val="center"/>
                              <w:rPr>
                                <w:sz w:val="20"/>
                              </w:rPr>
                            </w:pPr>
                            <w:r>
                              <w:rPr>
                                <w:sz w:val="20"/>
                              </w:rPr>
                              <w:t>13%</w:t>
                            </w:r>
                          </w:p>
                        </w:tc>
                        <w:tc>
                          <w:tcPr>
                            <w:tcW w:w="8990" w:type="dxa"/>
                          </w:tcPr>
                          <w:p>
                            <w:pPr>
                              <w:pStyle w:val="14"/>
                              <w:spacing w:before="69" w:line="236" w:lineRule="exact"/>
                              <w:ind w:left="506"/>
                              <w:rPr>
                                <w:sz w:val="20"/>
                              </w:rPr>
                            </w:pPr>
                            <w:r>
                              <w:rPr>
                                <w:sz w:val="20"/>
                              </w:rPr>
                              <w:t>销售进或口货物、加工修理修配劳务、有形动产租赁服务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062" w:type="dxa"/>
                            <w:vMerge w:val="restart"/>
                          </w:tcPr>
                          <w:p>
                            <w:pPr>
                              <w:pStyle w:val="14"/>
                              <w:rPr>
                                <w:b/>
                                <w:sz w:val="20"/>
                              </w:rPr>
                            </w:pPr>
                          </w:p>
                          <w:p>
                            <w:pPr>
                              <w:pStyle w:val="14"/>
                              <w:rPr>
                                <w:b/>
                                <w:sz w:val="24"/>
                              </w:rPr>
                            </w:pPr>
                          </w:p>
                          <w:p>
                            <w:pPr>
                              <w:pStyle w:val="14"/>
                              <w:ind w:left="209" w:right="199"/>
                              <w:jc w:val="center"/>
                              <w:rPr>
                                <w:sz w:val="20"/>
                              </w:rPr>
                            </w:pPr>
                            <w:r>
                              <w:rPr>
                                <w:sz w:val="20"/>
                              </w:rPr>
                              <w:t>9%</w:t>
                            </w:r>
                          </w:p>
                        </w:tc>
                        <w:tc>
                          <w:tcPr>
                            <w:tcW w:w="8990" w:type="dxa"/>
                          </w:tcPr>
                          <w:p>
                            <w:pPr>
                              <w:pStyle w:val="14"/>
                              <w:spacing w:before="69"/>
                              <w:ind w:left="506" w:right="-15"/>
                              <w:rPr>
                                <w:sz w:val="20"/>
                              </w:rPr>
                            </w:pPr>
                            <w:r>
                              <w:rPr>
                                <w:sz w:val="20"/>
                              </w:rPr>
                              <w:t>商品：农产品（含粮食</w:t>
                            </w:r>
                            <w:r>
                              <w:rPr>
                                <w:spacing w:val="-99"/>
                                <w:sz w:val="20"/>
                              </w:rPr>
                              <w:t>）</w:t>
                            </w:r>
                            <w:r>
                              <w:rPr>
                                <w:sz w:val="20"/>
                              </w:rPr>
                              <w:t>、自来水、暖气、石油液化气、天然气、食用植物油、冷气、热水、煤</w:t>
                            </w:r>
                          </w:p>
                          <w:p>
                            <w:pPr>
                              <w:pStyle w:val="14"/>
                              <w:spacing w:before="7" w:line="320" w:lineRule="atLeast"/>
                              <w:ind w:left="108" w:right="-15"/>
                              <w:rPr>
                                <w:sz w:val="20"/>
                              </w:rPr>
                            </w:pPr>
                            <w:r>
                              <w:rPr>
                                <w:spacing w:val="-12"/>
                                <w:w w:val="95"/>
                                <w:sz w:val="20"/>
                              </w:rPr>
                              <w:t xml:space="preserve">气、居民用煤炭制品、食用盐、农机、饲料、农药、农膜、化肥、沼气、二甲醚、图书、报纸、杂志、   </w:t>
                            </w:r>
                            <w:r>
                              <w:rPr>
                                <w:spacing w:val="-12"/>
                                <w:sz w:val="20"/>
                              </w:rPr>
                              <w:t>音像制品、电子出版物。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2" w:type="dxa"/>
                            <w:vMerge w:val="continue"/>
                            <w:tcBorders>
                              <w:top w:val="nil"/>
                            </w:tcBorders>
                          </w:tcPr>
                          <w:p>
                            <w:pPr>
                              <w:rPr>
                                <w:sz w:val="2"/>
                                <w:szCs w:val="2"/>
                              </w:rPr>
                            </w:pPr>
                          </w:p>
                        </w:tc>
                        <w:tc>
                          <w:tcPr>
                            <w:tcW w:w="8990" w:type="dxa"/>
                          </w:tcPr>
                          <w:p>
                            <w:pPr>
                              <w:pStyle w:val="14"/>
                              <w:spacing w:before="68" w:line="238" w:lineRule="exact"/>
                              <w:ind w:left="506"/>
                              <w:rPr>
                                <w:sz w:val="20"/>
                              </w:rPr>
                            </w:pPr>
                            <w:r>
                              <w:rPr>
                                <w:sz w:val="20"/>
                              </w:rPr>
                              <w:t>服务：交通运输、邮政、基础电信、建筑、不动产租赁服务，销售不动产，转让土地使用权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0" w:hRule="atLeast"/>
                        </w:trPr>
                        <w:tc>
                          <w:tcPr>
                            <w:tcW w:w="1062" w:type="dxa"/>
                          </w:tcPr>
                          <w:p>
                            <w:pPr>
                              <w:pStyle w:val="14"/>
                              <w:rPr>
                                <w:b/>
                                <w:sz w:val="18"/>
                              </w:rPr>
                            </w:pPr>
                          </w:p>
                          <w:p>
                            <w:pPr>
                              <w:pStyle w:val="14"/>
                              <w:ind w:left="209" w:right="199"/>
                              <w:jc w:val="center"/>
                              <w:rPr>
                                <w:sz w:val="20"/>
                              </w:rPr>
                            </w:pPr>
                            <w:r>
                              <w:rPr>
                                <w:sz w:val="20"/>
                              </w:rPr>
                              <w:t>6%</w:t>
                            </w:r>
                          </w:p>
                        </w:tc>
                        <w:tc>
                          <w:tcPr>
                            <w:tcW w:w="8990" w:type="dxa"/>
                          </w:tcPr>
                          <w:p>
                            <w:pPr>
                              <w:pStyle w:val="14"/>
                              <w:spacing w:before="7" w:line="326" w:lineRule="exact"/>
                              <w:ind w:left="108" w:right="97" w:firstLine="398"/>
                              <w:rPr>
                                <w:sz w:val="20"/>
                              </w:rPr>
                            </w:pPr>
                            <w:r>
                              <w:rPr>
                                <w:sz w:val="20"/>
                              </w:rPr>
                              <w:t>增值电信服务、金融服务、现代服务（除有形动产租赁和不动产租赁</w:t>
                            </w:r>
                            <w:r>
                              <w:rPr>
                                <w:spacing w:val="-99"/>
                                <w:sz w:val="20"/>
                              </w:rPr>
                              <w:t>）</w:t>
                            </w:r>
                            <w:r>
                              <w:rPr>
                                <w:sz w:val="20"/>
                              </w:rPr>
                              <w:t>、生活服务、销售无形资产（除转让土地使用权）</w:t>
                            </w:r>
                          </w:p>
                        </w:tc>
                      </w:tr>
                    </w:tbl>
                    <w:p>
                      <w:pPr>
                        <w:pStyle w:val="6"/>
                        <w:spacing w:before="0"/>
                        <w:ind w:left="0"/>
                      </w:pPr>
                    </w:p>
                  </w:txbxContent>
                </v:textbox>
              </v:shape>
            </w:pict>
          </mc:Fallback>
        </mc:AlternateContent>
      </w:r>
      <w:r>
        <w:rPr>
          <w:w w:val="95"/>
        </w:rPr>
        <w:t>根据经营规模大小及会计核算水平的健全程度，增值税纳税人</w:t>
      </w:r>
      <w:r>
        <w:rPr>
          <w:color w:val="FF0000"/>
          <w:w w:val="95"/>
          <w:u w:val="double" w:color="FF0000"/>
        </w:rPr>
        <w:t>分为一般纳税人和小规模纳税人</w:t>
      </w:r>
      <w:r>
        <w:rPr>
          <w:w w:val="95"/>
        </w:rPr>
        <w:t xml:space="preserve">。   </w:t>
      </w:r>
      <w:r>
        <w:t>4.</w:t>
      </w:r>
      <w:r>
        <w:rPr>
          <w:b/>
          <w:color w:val="00AFEF"/>
          <w:u w:val="single" w:color="00AFEF"/>
        </w:rPr>
        <w:t>税率和征收率</w:t>
      </w:r>
    </w:p>
    <w:p>
      <w:pPr>
        <w:spacing w:after="0" w:line="304" w:lineRule="auto"/>
        <w:sectPr>
          <w:pgSz w:w="11910" w:h="16160"/>
          <w:pgMar w:top="1680" w:right="360" w:bottom="860" w:left="760" w:header="0" w:footer="548" w:gutter="0"/>
        </w:sectPr>
      </w:pPr>
    </w:p>
    <w:p>
      <w:pPr>
        <w:pStyle w:val="6"/>
        <w:spacing w:before="1"/>
        <w:ind w:left="0"/>
        <w:rPr>
          <w:b/>
          <w:sz w:val="14"/>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2"/>
        <w:gridCol w:w="89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2" w:type="dxa"/>
          </w:tcPr>
          <w:p>
            <w:pPr>
              <w:pStyle w:val="14"/>
              <w:spacing w:before="68" w:line="238" w:lineRule="exact"/>
              <w:ind w:left="10"/>
              <w:jc w:val="center"/>
              <w:rPr>
                <w:sz w:val="20"/>
              </w:rPr>
            </w:pPr>
            <w:r>
              <w:rPr>
                <w:w w:val="99"/>
                <w:sz w:val="20"/>
              </w:rPr>
              <w:t>0</w:t>
            </w:r>
          </w:p>
        </w:tc>
        <w:tc>
          <w:tcPr>
            <w:tcW w:w="8990" w:type="dxa"/>
          </w:tcPr>
          <w:p>
            <w:pPr>
              <w:pStyle w:val="14"/>
              <w:spacing w:before="68" w:line="238" w:lineRule="exact"/>
              <w:ind w:left="506"/>
              <w:rPr>
                <w:sz w:val="20"/>
              </w:rPr>
            </w:pPr>
            <w:r>
              <w:rPr>
                <w:sz w:val="20"/>
              </w:rPr>
              <w:t>境内单位和个人发生的跨境应税行为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62" w:type="dxa"/>
            <w:shd w:val="clear" w:color="auto" w:fill="FCEADA"/>
          </w:tcPr>
          <w:p>
            <w:pPr>
              <w:pStyle w:val="14"/>
              <w:spacing w:before="68" w:line="238" w:lineRule="exact"/>
              <w:ind w:left="209" w:right="203"/>
              <w:jc w:val="center"/>
              <w:rPr>
                <w:sz w:val="20"/>
              </w:rPr>
            </w:pPr>
            <w:r>
              <w:rPr>
                <w:sz w:val="20"/>
              </w:rPr>
              <w:t>征收率</w:t>
            </w:r>
          </w:p>
        </w:tc>
        <w:tc>
          <w:tcPr>
            <w:tcW w:w="8990" w:type="dxa"/>
            <w:shd w:val="clear" w:color="auto" w:fill="FCEADA"/>
          </w:tcPr>
          <w:p>
            <w:pPr>
              <w:pStyle w:val="14"/>
              <w:spacing w:before="68" w:line="238" w:lineRule="exact"/>
              <w:ind w:left="4230" w:right="3821"/>
              <w:jc w:val="center"/>
              <w:rPr>
                <w:sz w:val="20"/>
              </w:rPr>
            </w:pPr>
            <w:r>
              <w:rPr>
                <w:sz w:val="20"/>
              </w:rPr>
              <w:t>范 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62" w:type="dxa"/>
          </w:tcPr>
          <w:p>
            <w:pPr>
              <w:pStyle w:val="14"/>
              <w:spacing w:before="68" w:line="238" w:lineRule="exact"/>
              <w:ind w:left="209" w:right="199"/>
              <w:jc w:val="center"/>
              <w:rPr>
                <w:sz w:val="20"/>
              </w:rPr>
            </w:pPr>
            <w:r>
              <w:rPr>
                <w:sz w:val="20"/>
              </w:rPr>
              <w:t>3%</w:t>
            </w:r>
          </w:p>
        </w:tc>
        <w:tc>
          <w:tcPr>
            <w:tcW w:w="8990" w:type="dxa"/>
          </w:tcPr>
          <w:p>
            <w:pPr>
              <w:pStyle w:val="14"/>
              <w:spacing w:before="68" w:line="238" w:lineRule="exact"/>
              <w:ind w:left="506"/>
              <w:rPr>
                <w:sz w:val="20"/>
              </w:rPr>
            </w:pPr>
            <w:r>
              <w:rPr>
                <w:sz w:val="20"/>
              </w:rPr>
              <w:t>小规模纳税人和实行简易办法征收的一般纳税人（财政部和国家税务总局另有规定的除外）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62" w:type="dxa"/>
          </w:tcPr>
          <w:p>
            <w:pPr>
              <w:pStyle w:val="14"/>
              <w:spacing w:before="68" w:line="238" w:lineRule="exact"/>
              <w:ind w:left="209" w:right="199"/>
              <w:jc w:val="center"/>
              <w:rPr>
                <w:sz w:val="20"/>
              </w:rPr>
            </w:pPr>
            <w:r>
              <w:rPr>
                <w:sz w:val="20"/>
              </w:rPr>
              <w:t>5%</w:t>
            </w:r>
          </w:p>
        </w:tc>
        <w:tc>
          <w:tcPr>
            <w:tcW w:w="8990" w:type="dxa"/>
          </w:tcPr>
          <w:p>
            <w:pPr>
              <w:pStyle w:val="14"/>
              <w:spacing w:before="68" w:line="238" w:lineRule="exact"/>
              <w:ind w:left="506"/>
              <w:rPr>
                <w:sz w:val="20"/>
              </w:rPr>
            </w:pPr>
            <w:r>
              <w:rPr>
                <w:sz w:val="20"/>
              </w:rPr>
              <w:t>部分小规模纳税人和部分实行简易办法征收的一般纳税人</w:t>
            </w:r>
          </w:p>
        </w:tc>
      </w:tr>
    </w:tbl>
    <w:p>
      <w:pPr>
        <w:pStyle w:val="5"/>
        <w:spacing w:before="68"/>
      </w:pPr>
      <w:r>
        <w:t>5.计税方法</w:t>
      </w:r>
    </w:p>
    <w:p>
      <w:pPr>
        <w:pStyle w:val="5"/>
        <w:numPr>
          <w:ilvl w:val="0"/>
          <w:numId w:val="84"/>
        </w:numPr>
        <w:tabs>
          <w:tab w:val="left" w:pos="1225"/>
        </w:tabs>
        <w:spacing w:before="70" w:after="0" w:line="240" w:lineRule="auto"/>
        <w:ind w:left="1224" w:right="0" w:hanging="502"/>
        <w:jc w:val="left"/>
      </w:pPr>
      <w:r>
        <w:t>一般纳税人（扣税法）</w:t>
      </w:r>
    </w:p>
    <w:p>
      <w:pPr>
        <w:pStyle w:val="5"/>
      </w:pPr>
      <w:r>
        <w:rPr>
          <w:color w:val="00AFEF"/>
          <w:u w:val="single" w:color="00AFEF"/>
        </w:rPr>
        <w:t>当期应纳税额=当期销项税额-当期进项税额</w:t>
      </w:r>
    </w:p>
    <w:p>
      <w:pPr>
        <w:pStyle w:val="6"/>
        <w:spacing w:before="71"/>
      </w:pPr>
      <w:r>
        <w:t>销项税额是指纳税人销售货物、提供应税劳务或应税服务按照销售额和增值税税率计算的增值税额；</w:t>
      </w:r>
    </w:p>
    <w:p>
      <w:pPr>
        <w:pStyle w:val="6"/>
        <w:spacing w:line="304" w:lineRule="auto"/>
        <w:ind w:left="322" w:right="722" w:firstLine="400"/>
      </w:pPr>
      <w:r>
        <w:rPr>
          <w:spacing w:val="-4"/>
          <w:w w:val="95"/>
        </w:rPr>
        <w:t xml:space="preserve">进项税额是指纳税人购进货物、接受应税劳务和应税服务支付或负担的增值税额，当期销项税额小于当期进   </w:t>
      </w:r>
      <w:r>
        <w:rPr>
          <w:spacing w:val="-4"/>
        </w:rPr>
        <w:t>项税额不足抵扣时，其不足部分可以</w:t>
      </w:r>
      <w:r>
        <w:rPr>
          <w:color w:val="FF0000"/>
          <w:spacing w:val="-4"/>
          <w:u w:val="double" w:color="FF0000"/>
        </w:rPr>
        <w:t>结转下期继续抵扣</w:t>
      </w:r>
      <w:r>
        <w:rPr>
          <w:spacing w:val="-4"/>
        </w:rPr>
        <w:t>。</w:t>
      </w:r>
    </w:p>
    <w:p>
      <w:pPr>
        <w:pStyle w:val="5"/>
        <w:spacing w:before="0" w:line="256" w:lineRule="exact"/>
      </w:pPr>
      <w:r>
        <mc:AlternateContent>
          <mc:Choice Requires="wps">
            <w:drawing>
              <wp:anchor distT="0" distB="0" distL="114300" distR="114300" simplePos="0" relativeHeight="15832064" behindDoc="0" locked="0" layoutInCell="1" allowOverlap="1">
                <wp:simplePos x="0" y="0"/>
                <wp:positionH relativeFrom="page">
                  <wp:posOffset>939800</wp:posOffset>
                </wp:positionH>
                <wp:positionV relativeFrom="paragraph">
                  <wp:posOffset>140970</wp:posOffset>
                </wp:positionV>
                <wp:extent cx="1523365" cy="0"/>
                <wp:effectExtent l="0" t="0" r="0" b="0"/>
                <wp:wrapNone/>
                <wp:docPr id="143" name="直线 200"/>
                <wp:cNvGraphicFramePr/>
                <a:graphic xmlns:a="http://schemas.openxmlformats.org/drawingml/2006/main">
                  <a:graphicData uri="http://schemas.microsoft.com/office/word/2010/wordprocessingShape">
                    <wps:wsp>
                      <wps:cNvCnPr/>
                      <wps:spPr>
                        <a:xfrm>
                          <a:off x="0" y="0"/>
                          <a:ext cx="1523365" cy="0"/>
                        </a:xfrm>
                        <a:prstGeom prst="line">
                          <a:avLst/>
                        </a:prstGeom>
                        <a:ln w="9335" cap="flat" cmpd="sng">
                          <a:solidFill>
                            <a:srgbClr val="00AFEF"/>
                          </a:solidFill>
                          <a:prstDash val="solid"/>
                          <a:headEnd type="none" w="med" len="med"/>
                          <a:tailEnd type="none" w="med" len="med"/>
                        </a:ln>
                      </wps:spPr>
                      <wps:bodyPr upright="1"/>
                    </wps:wsp>
                  </a:graphicData>
                </a:graphic>
              </wp:anchor>
            </w:drawing>
          </mc:Choice>
          <mc:Fallback>
            <w:pict>
              <v:line id="直线 200" o:spid="_x0000_s1026" o:spt="20" style="position:absolute;left:0pt;margin-left:74pt;margin-top:11.1pt;height:0pt;width:119.95pt;mso-position-horizontal-relative:page;z-index:15832064;mso-width-relative:page;mso-height-relative:page;" filled="f" stroked="t" coordsize="21600,21600" o:gfxdata="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t3RYI2AAAAAkBAAAPAAAAAAAAAAEAIAAA&#10;ACIAAABkcnMvZG93bnJldi54bWxQSwECFAAUAAAACACHTuJAZVIQcdMBAACRAwAADgAAAAAAAAAB&#10;ACAAAAAnAQAAZHJzL2Uyb0RvYy54bWxQSwUGAAAAAAYABgBZAQAAbAUAAAAA&#10;">
                <v:fill on="f" focussize="0,0"/>
                <v:stroke weight="0.73503937007874pt" color="#00AFEF" joinstyle="round"/>
                <v:imagedata o:title=""/>
                <o:lock v:ext="edit" aspectratio="f"/>
              </v:line>
            </w:pict>
          </mc:Fallback>
        </mc:AlternateContent>
      </w:r>
      <w:r>
        <w:rPr>
          <w:color w:val="00AFEF"/>
        </w:rPr>
        <w:t>可以抵扣的进项税额包括：</w:t>
      </w:r>
    </w:p>
    <w:p>
      <w:pPr>
        <w:pStyle w:val="6"/>
      </w:pPr>
      <w:r>
        <mc:AlternateContent>
          <mc:Choice Requires="wpg">
            <w:drawing>
              <wp:anchor distT="0" distB="0" distL="114300" distR="114300" simplePos="0" relativeHeight="15832064" behindDoc="0" locked="0" layoutInCell="1" allowOverlap="1">
                <wp:simplePos x="0" y="0"/>
                <wp:positionH relativeFrom="page">
                  <wp:posOffset>2465070</wp:posOffset>
                </wp:positionH>
                <wp:positionV relativeFrom="paragraph">
                  <wp:posOffset>182245</wp:posOffset>
                </wp:positionV>
                <wp:extent cx="2667000" cy="18415"/>
                <wp:effectExtent l="0" t="1270" r="0" b="8890"/>
                <wp:wrapNone/>
                <wp:docPr id="146" name="组合 201"/>
                <wp:cNvGraphicFramePr/>
                <a:graphic xmlns:a="http://schemas.openxmlformats.org/drawingml/2006/main">
                  <a:graphicData uri="http://schemas.microsoft.com/office/word/2010/wordprocessingGroup">
                    <wpg:wgp>
                      <wpg:cNvGrpSpPr/>
                      <wpg:grpSpPr>
                        <a:xfrm>
                          <a:off x="0" y="0"/>
                          <a:ext cx="2667000" cy="18415"/>
                          <a:chOff x="3883" y="288"/>
                          <a:chExt cx="4200" cy="29"/>
                        </a:xfrm>
                      </wpg:grpSpPr>
                      <wps:wsp>
                        <wps:cNvPr id="144" name="直线 202"/>
                        <wps:cNvCnPr/>
                        <wps:spPr>
                          <a:xfrm>
                            <a:off x="3883" y="293"/>
                            <a:ext cx="4200" cy="0"/>
                          </a:xfrm>
                          <a:prstGeom prst="line">
                            <a:avLst/>
                          </a:prstGeom>
                          <a:ln w="6096" cap="flat" cmpd="sng">
                            <a:solidFill>
                              <a:srgbClr val="FF0000"/>
                            </a:solidFill>
                            <a:prstDash val="solid"/>
                            <a:headEnd type="none" w="med" len="med"/>
                            <a:tailEnd type="none" w="med" len="med"/>
                          </a:ln>
                        </wps:spPr>
                        <wps:bodyPr upright="1"/>
                      </wps:wsp>
                      <wps:wsp>
                        <wps:cNvPr id="145" name="直线 203"/>
                        <wps:cNvCnPr/>
                        <wps:spPr>
                          <a:xfrm>
                            <a:off x="3883" y="312"/>
                            <a:ext cx="420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01" o:spid="_x0000_s1026" o:spt="203" style="position:absolute;left:0pt;margin-left:194.1pt;margin-top:14.35pt;height:1.45pt;width:210pt;mso-position-horizontal-relative:page;z-index:15832064;mso-width-relative:page;mso-height-relative:page;" coordorigin="3883,288" coordsize="4200,29" o:gfxdata="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z3iS/2AAAAAkBAAAPAAAAAAAAAAEAIAAAACIAAABkcnMvZG93bnJldi54bWxQSwECFAAU&#10;AAAACACHTuJADIwQ2mMCAADGBgAADgAAAAAAAAABACAAAAAnAQAAZHJzL2Uyb0RvYy54bWxQSwUG&#10;AAAAAAYABgBZAQAA/AUAAAAA&#10;">
                <o:lock v:ext="edit" aspectratio="f"/>
                <v:line id="直线 202" o:spid="_x0000_s1026" o:spt="20" style="position:absolute;left:3883;top:293;height:0;width:4200;" filled="f" stroked="t" coordsize="21600,21600" o:gfxdata="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GZbsAAADc&#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line id="直线 203" o:spid="_x0000_s1026" o:spt="20" style="position:absolute;left:3883;top:312;height:0;width:4200;" filled="f" stroked="t" coordsize="21600,21600" o:gfxdata="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CP+vQAA&#10;ANw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v:group>
            </w:pict>
          </mc:Fallback>
        </mc:AlternateContent>
      </w:r>
      <w:r>
        <w:t>①从销售方或提供方取得的</w:t>
      </w:r>
      <w:r>
        <w:rPr>
          <w:color w:val="FF0000"/>
        </w:rPr>
        <w:t>增值税专用发票（含税控机动车销售统一发票）</w:t>
      </w:r>
      <w:r>
        <w:t>上注明的增值税额；</w:t>
      </w:r>
    </w:p>
    <w:p>
      <w:pPr>
        <w:pStyle w:val="6"/>
      </w:pPr>
      <w:r>
        <w:t>②从海关取得的海关进口</w:t>
      </w:r>
      <w:r>
        <w:rPr>
          <w:color w:val="FF0000"/>
          <w:u w:val="double" w:color="FF0000"/>
        </w:rPr>
        <w:t>增值税专用缴款书</w:t>
      </w:r>
      <w:r>
        <w:t>上注明的增值税额；</w:t>
      </w:r>
    </w:p>
    <w:p>
      <w:pPr>
        <w:pStyle w:val="6"/>
        <w:spacing w:line="304" w:lineRule="auto"/>
        <w:ind w:left="322" w:right="722" w:firstLine="400"/>
      </w:pPr>
      <w:r>
        <w:rPr>
          <w:spacing w:val="-5"/>
          <w:w w:val="95"/>
        </w:rPr>
        <w:t>③从境外单位或者个人购进服务，无形资产或不动产，自税务机关或者扣缴义务人取得的</w:t>
      </w:r>
      <w:r>
        <w:rPr>
          <w:color w:val="FF0000"/>
          <w:w w:val="95"/>
          <w:u w:val="double" w:color="FF0000"/>
        </w:rPr>
        <w:t>解缴税款的完税凭</w:t>
      </w:r>
      <w:r>
        <w:rPr>
          <w:color w:val="FF0000"/>
          <w:spacing w:val="-199"/>
          <w:w w:val="95"/>
          <w:u w:val="double" w:color="FF0000"/>
        </w:rPr>
        <w:t>证</w:t>
      </w:r>
      <w:r>
        <w:rPr>
          <w:color w:val="FF0000"/>
          <w:spacing w:val="191"/>
          <w:w w:val="95"/>
          <w:u w:val="double" w:color="FF0000"/>
        </w:rPr>
        <w:t xml:space="preserve"> </w:t>
      </w:r>
      <w:r>
        <w:rPr>
          <w:color w:val="FF0000"/>
          <w:u w:val="double" w:color="FF0000"/>
        </w:rPr>
        <w:t>上注明的增值税额</w:t>
      </w:r>
      <w:r>
        <w:t>。</w:t>
      </w:r>
    </w:p>
    <w:p>
      <w:pPr>
        <w:pStyle w:val="5"/>
        <w:spacing w:before="2" w:line="302" w:lineRule="auto"/>
        <w:ind w:left="322" w:right="722" w:firstLine="400"/>
        <w:rPr>
          <w:b w:val="0"/>
        </w:rPr>
      </w:pPr>
      <w:r>
        <w:rPr>
          <w:b w:val="0"/>
          <w:w w:val="95"/>
        </w:rPr>
        <w:t>④一般纳税人支付的</w:t>
      </w:r>
      <w:r>
        <w:rPr>
          <w:color w:val="00AFEF"/>
          <w:spacing w:val="-10"/>
          <w:w w:val="95"/>
          <w:u w:val="single" w:color="00AFEF"/>
        </w:rPr>
        <w:t xml:space="preserve">道路、桥、闸通行费，凭取得的通行费发票上注明的收费金额和规定的方法计算的可抵   </w:t>
      </w:r>
      <w:r>
        <w:rPr>
          <w:color w:val="00AFEF"/>
          <w:spacing w:val="-10"/>
          <w:u w:val="single" w:color="00AFEF"/>
        </w:rPr>
        <w:t>扣的增值税进项税额</w:t>
      </w:r>
      <w:r>
        <w:rPr>
          <w:b w:val="0"/>
          <w:spacing w:val="-10"/>
        </w:rPr>
        <w:t>。</w:t>
      </w:r>
    </w:p>
    <w:p>
      <w:pPr>
        <w:spacing w:before="5" w:line="304" w:lineRule="auto"/>
        <w:ind w:left="322" w:right="722" w:firstLine="400"/>
        <w:jc w:val="left"/>
        <w:rPr>
          <w:b/>
          <w:sz w:val="20"/>
        </w:rPr>
      </w:pPr>
      <w:r>
        <w:drawing>
          <wp:anchor distT="0" distB="0" distL="0" distR="0" simplePos="0" relativeHeight="1024" behindDoc="0" locked="0" layoutInCell="1" allowOverlap="1">
            <wp:simplePos x="0" y="0"/>
            <wp:positionH relativeFrom="page">
              <wp:posOffset>2827020</wp:posOffset>
            </wp:positionH>
            <wp:positionV relativeFrom="paragraph">
              <wp:posOffset>666115</wp:posOffset>
            </wp:positionV>
            <wp:extent cx="2143125" cy="832485"/>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png"/>
                    <pic:cNvPicPr>
                      <a:picLocks noChangeAspect="1"/>
                    </pic:cNvPicPr>
                  </pic:nvPicPr>
                  <pic:blipFill>
                    <a:blip r:embed="rId49" cstate="print"/>
                    <a:stretch>
                      <a:fillRect/>
                    </a:stretch>
                  </pic:blipFill>
                  <pic:spPr>
                    <a:xfrm>
                      <a:off x="0" y="0"/>
                      <a:ext cx="2142901" cy="832485"/>
                    </a:xfrm>
                    <a:prstGeom prst="rect">
                      <a:avLst/>
                    </a:prstGeom>
                  </pic:spPr>
                </pic:pic>
              </a:graphicData>
            </a:graphic>
          </wp:anchor>
        </w:drawing>
      </w:r>
      <w:r>
        <w:rPr>
          <w:sz w:val="20"/>
        </w:rPr>
        <w:t>⑤</w:t>
      </w:r>
      <w:r>
        <w:rPr>
          <w:b/>
          <w:color w:val="00AFEF"/>
          <w:sz w:val="20"/>
          <w:u w:val="single" w:color="00AFEF"/>
        </w:rPr>
        <w:t>购进农产品</w:t>
      </w:r>
      <w:r>
        <w:rPr>
          <w:sz w:val="20"/>
        </w:rPr>
        <w:t>，除取得增值税专用发票或者海关进口增值税专用缴款书外，</w:t>
      </w:r>
      <w:r>
        <w:rPr>
          <w:b/>
          <w:color w:val="00AFEF"/>
          <w:spacing w:val="-7"/>
          <w:sz w:val="20"/>
          <w:u w:val="single" w:color="00AFEF"/>
        </w:rPr>
        <w:t xml:space="preserve">如用于生产税率为 </w:t>
      </w:r>
      <w:r>
        <w:rPr>
          <w:b/>
          <w:color w:val="00AFEF"/>
          <w:sz w:val="20"/>
          <w:u w:val="single" w:color="00AFEF"/>
        </w:rPr>
        <w:t>9</w:t>
      </w:r>
      <w:r>
        <w:rPr>
          <w:b/>
          <w:color w:val="00AFEF"/>
          <w:spacing w:val="1"/>
          <w:sz w:val="20"/>
          <w:u w:val="single" w:color="00AFEF"/>
        </w:rPr>
        <w:t>%的产品</w:t>
      </w:r>
      <w:r>
        <w:rPr>
          <w:sz w:val="20"/>
        </w:rPr>
        <w:t xml:space="preserve">， </w:t>
      </w:r>
      <w:r>
        <w:rPr>
          <w:b/>
          <w:color w:val="00AFEF"/>
          <w:spacing w:val="-3"/>
          <w:sz w:val="20"/>
          <w:u w:val="single" w:color="00AFEF"/>
        </w:rPr>
        <w:t xml:space="preserve">按照农产品收购发票或销售发票上注明的农产品买价和 </w:t>
      </w:r>
      <w:r>
        <w:rPr>
          <w:b/>
          <w:color w:val="00AFEF"/>
          <w:sz w:val="20"/>
          <w:u w:val="single" w:color="00AFEF"/>
        </w:rPr>
        <w:t>9%的扣除率计算的进项税额</w:t>
      </w:r>
      <w:r>
        <w:rPr>
          <w:spacing w:val="-48"/>
          <w:sz w:val="20"/>
        </w:rPr>
        <w:t>，</w:t>
      </w:r>
      <w:r>
        <w:rPr>
          <w:b/>
          <w:color w:val="00AFEF"/>
          <w:spacing w:val="-11"/>
          <w:sz w:val="20"/>
          <w:u w:val="single" w:color="00AFEF"/>
        </w:rPr>
        <w:t xml:space="preserve">如用于生产 </w:t>
      </w:r>
      <w:r>
        <w:rPr>
          <w:b/>
          <w:color w:val="00AFEF"/>
          <w:sz w:val="20"/>
          <w:u w:val="single" w:color="00AFEF"/>
        </w:rPr>
        <w:t>13%</w:t>
      </w:r>
      <w:r>
        <w:rPr>
          <w:b/>
          <w:color w:val="00AFEF"/>
          <w:spacing w:val="-10"/>
          <w:sz w:val="20"/>
          <w:u w:val="single" w:color="00AFEF"/>
        </w:rPr>
        <w:t>的产品，按</w:t>
      </w:r>
      <w:r>
        <w:rPr>
          <w:b/>
          <w:color w:val="00AFEF"/>
          <w:spacing w:val="-12"/>
          <w:sz w:val="20"/>
          <w:u w:val="single" w:color="00AFEF"/>
        </w:rPr>
        <w:t xml:space="preserve">照农产品收购发票或销售发票上注明的农产品买价和 </w:t>
      </w:r>
      <w:r>
        <w:rPr>
          <w:b/>
          <w:color w:val="00AFEF"/>
          <w:sz w:val="20"/>
          <w:u w:val="single" w:color="00AFEF"/>
        </w:rPr>
        <w:t>10%的扣除率计算的进项税额；</w:t>
      </w:r>
    </w:p>
    <w:p>
      <w:pPr>
        <w:pStyle w:val="5"/>
        <w:numPr>
          <w:ilvl w:val="0"/>
          <w:numId w:val="84"/>
        </w:numPr>
        <w:tabs>
          <w:tab w:val="left" w:pos="1225"/>
        </w:tabs>
        <w:spacing w:before="154" w:after="0" w:line="240" w:lineRule="auto"/>
        <w:ind w:left="1224" w:right="0" w:hanging="502"/>
        <w:jc w:val="left"/>
      </w:pPr>
      <w:r>
        <w:t>小规模纳税人</w:t>
      </w:r>
    </w:p>
    <w:p>
      <w:pPr>
        <w:spacing w:before="70"/>
        <w:ind w:left="723" w:right="0" w:firstLine="0"/>
        <w:jc w:val="left"/>
        <w:rPr>
          <w:b/>
          <w:sz w:val="20"/>
        </w:rPr>
      </w:pPr>
      <w:r>
        <w:rPr>
          <w:sz w:val="20"/>
        </w:rPr>
        <w:t>实行按照销售额和征收率计算应纳税额的简易办法，</w:t>
      </w:r>
      <w:r>
        <w:rPr>
          <w:color w:val="FF0000"/>
          <w:sz w:val="20"/>
          <w:u w:val="double" w:color="FF0000"/>
        </w:rPr>
        <w:t>不得抵扣进项税额</w:t>
      </w:r>
      <w:r>
        <w:rPr>
          <w:sz w:val="20"/>
        </w:rPr>
        <w:t xml:space="preserve">。 </w:t>
      </w:r>
      <w:r>
        <w:rPr>
          <w:b/>
          <w:color w:val="00AFEF"/>
          <w:sz w:val="20"/>
          <w:u w:val="single" w:color="00AFEF"/>
        </w:rPr>
        <w:t>应纳税额=销售额×征收率</w:t>
      </w:r>
    </w:p>
    <w:p>
      <w:pPr>
        <w:spacing w:before="68" w:line="304" w:lineRule="auto"/>
        <w:ind w:left="322" w:right="648" w:firstLine="400"/>
        <w:jc w:val="left"/>
        <w:rPr>
          <w:sz w:val="20"/>
        </w:rPr>
      </w:pPr>
      <w:r>
        <mc:AlternateContent>
          <mc:Choice Requires="wps">
            <w:drawing>
              <wp:anchor distT="0" distB="0" distL="114300" distR="114300" simplePos="0" relativeHeight="482466816" behindDoc="1" locked="0" layoutInCell="1" allowOverlap="1">
                <wp:simplePos x="0" y="0"/>
                <wp:positionH relativeFrom="page">
                  <wp:posOffset>1068705</wp:posOffset>
                </wp:positionH>
                <wp:positionV relativeFrom="paragraph">
                  <wp:posOffset>180975</wp:posOffset>
                </wp:positionV>
                <wp:extent cx="251460" cy="5715"/>
                <wp:effectExtent l="0" t="0" r="0" b="0"/>
                <wp:wrapNone/>
                <wp:docPr id="298" name="任意多边形 20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04" o:spid="_x0000_s1026" o:spt="100" style="position:absolute;left:0pt;margin-left:84.15pt;margin-top:14.25pt;height:0.45pt;width:19.8pt;mso-position-horizontal-relative:page;z-index:-20849664;mso-width-relative:page;mso-height-relative:page;" filled="f" stroked="t" coordsize="396,9" o:gfxdata="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6HOKN2gAAAAkBAAAPAAAAAAAAAAEAIAAAACIAAABkcnMvZG93bnJldi54bWxQSwECFAAUAAAA&#10;CACHTuJAorsN75cCAABXBwAADgAAAAAAAAABACAAAAApAQAAZHJzL2Uyb0RvYy54bWxQSwUGAAAA&#10;AAYABgBZAQAAMg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z w:val="20"/>
        </w:rPr>
        <w:t>【</w:t>
      </w:r>
      <w:r>
        <w:rPr>
          <w:b/>
          <w:color w:val="00AFEF"/>
          <w:sz w:val="20"/>
        </w:rPr>
        <w:t>提示</w:t>
      </w:r>
      <w:r>
        <w:rPr>
          <w:spacing w:val="-6"/>
          <w:sz w:val="20"/>
        </w:rPr>
        <w:t>】①增值税一般纳税人计算增值税大多采用一般计税方法；</w:t>
      </w:r>
      <w:r>
        <w:rPr>
          <w:b/>
          <w:color w:val="00AFEF"/>
          <w:sz w:val="20"/>
          <w:u w:val="single" w:color="00AFEF"/>
        </w:rPr>
        <w:t>小规模纳税人一般采用简易计税方法</w:t>
      </w:r>
      <w:r>
        <w:rPr>
          <w:spacing w:val="-12"/>
          <w:sz w:val="20"/>
        </w:rPr>
        <w:t>；一</w:t>
      </w:r>
      <w:r>
        <w:rPr>
          <w:spacing w:val="-12"/>
          <w:w w:val="95"/>
          <w:sz w:val="20"/>
        </w:rPr>
        <w:t>般纳税人发生财政部和国家税务总局规定的特定应税销售行为，</w:t>
      </w:r>
      <w:r>
        <w:rPr>
          <w:b/>
          <w:color w:val="00AFEF"/>
          <w:spacing w:val="-12"/>
          <w:w w:val="95"/>
          <w:sz w:val="20"/>
          <w:u w:val="single" w:color="00AFEF"/>
        </w:rPr>
        <w:t>可以采用简易计税方法，但不得抵扣进项税额</w:t>
      </w:r>
      <w:r>
        <w:rPr>
          <w:w w:val="95"/>
          <w:sz w:val="20"/>
        </w:rPr>
        <w:t>。</w:t>
      </w:r>
    </w:p>
    <w:p>
      <w:pPr>
        <w:spacing w:before="2" w:line="304" w:lineRule="auto"/>
        <w:ind w:left="322" w:right="743" w:firstLine="400"/>
        <w:jc w:val="left"/>
        <w:rPr>
          <w:sz w:val="20"/>
        </w:rPr>
      </w:pPr>
      <w:r>
        <mc:AlternateContent>
          <mc:Choice Requires="wps">
            <w:drawing>
              <wp:anchor distT="0" distB="0" distL="114300" distR="114300" simplePos="0" relativeHeight="482467840" behindDoc="1" locked="0" layoutInCell="1" allowOverlap="1">
                <wp:simplePos x="0" y="0"/>
                <wp:positionH relativeFrom="page">
                  <wp:posOffset>6563360</wp:posOffset>
                </wp:positionH>
                <wp:positionV relativeFrom="paragraph">
                  <wp:posOffset>139700</wp:posOffset>
                </wp:positionV>
                <wp:extent cx="251460" cy="5715"/>
                <wp:effectExtent l="0" t="0" r="0" b="0"/>
                <wp:wrapNone/>
                <wp:docPr id="299" name="任意多边形 20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05" o:spid="_x0000_s1026" o:spt="100" style="position:absolute;left:0pt;margin-left:516.8pt;margin-top:11pt;height:0.45pt;width:19.8pt;mso-position-horizontal-relative:page;z-index:-20848640;mso-width-relative:page;mso-height-relative:page;" filled="f" stroked="t" coordsize="396,9" o:gfxdata="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swCozZ&#10;AAAACwEAAA8AAAAAAAAAAQAgAAAAIgAAAGRycy9kb3ducmV2LnhtbFBLAQIUABQAAAAIAIdO4kDF&#10;ZvXlkQIAAFcHAAAOAAAAAAAAAAEAIAAAACgBAABkcnMvZTJvRG9jLnhtbFBLBQYAAAAABgAGAFkB&#10;AAAr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z w:val="20"/>
        </w:rPr>
        <w:t>②小规模纳税人的</w:t>
      </w:r>
      <w:r>
        <w:rPr>
          <w:b/>
          <w:color w:val="00AFEF"/>
          <w:sz w:val="20"/>
          <w:u w:val="single" w:color="00AFEF"/>
        </w:rPr>
        <w:t>征收率为 3%</w:t>
      </w:r>
      <w:r>
        <w:rPr>
          <w:sz w:val="20"/>
        </w:rPr>
        <w:t>；应税行为中按照简易计税方法计税的销售不动产、不动产租赁服务的</w:t>
      </w:r>
      <w:r>
        <w:rPr>
          <w:b/>
          <w:color w:val="00AFEF"/>
          <w:sz w:val="20"/>
        </w:rPr>
        <w:t>征收</w:t>
      </w:r>
      <w:r>
        <w:rPr>
          <w:b/>
          <w:color w:val="00AFEF"/>
          <w:sz w:val="20"/>
          <w:u w:val="single" w:color="00AFEF"/>
        </w:rPr>
        <w:t>率为 5%，其他情况征收率为 3%</w:t>
      </w:r>
      <w:r>
        <w:rPr>
          <w:sz w:val="20"/>
        </w:rPr>
        <w:t>。</w:t>
      </w:r>
    </w:p>
    <w:p>
      <w:pPr>
        <w:pStyle w:val="5"/>
        <w:spacing w:before="2" w:line="304" w:lineRule="auto"/>
        <w:ind w:right="7452"/>
      </w:pPr>
      <w:r>
        <w:t>（二）一般纳税人的账务处理1.科目设置</w:t>
      </w:r>
    </w:p>
    <w:p>
      <w:pPr>
        <w:pStyle w:val="13"/>
        <w:numPr>
          <w:ilvl w:val="0"/>
          <w:numId w:val="85"/>
        </w:numPr>
        <w:tabs>
          <w:tab w:val="left" w:pos="1224"/>
        </w:tabs>
        <w:spacing w:before="0" w:after="0" w:line="256" w:lineRule="exact"/>
        <w:ind w:left="1223" w:right="0" w:hanging="501"/>
        <w:jc w:val="left"/>
        <w:rPr>
          <w:sz w:val="20"/>
        </w:rPr>
      </w:pPr>
      <w:r>
        <w:rPr>
          <w:sz w:val="20"/>
        </w:rPr>
        <w:t>未交增值税：</w:t>
      </w:r>
    </w:p>
    <w:p>
      <w:pPr>
        <w:pStyle w:val="6"/>
        <w:spacing w:line="304" w:lineRule="auto"/>
        <w:ind w:left="322" w:right="647" w:firstLine="400"/>
      </w:pPr>
      <w:r>
        <w:rPr>
          <w:w w:val="95"/>
        </w:rPr>
        <w:t>核算一般纳税人月度终了从“应交增值税”或“预交增值税”明细科目转入</w:t>
      </w:r>
      <w:r>
        <w:rPr>
          <w:color w:val="FF0000"/>
          <w:w w:val="95"/>
          <w:u w:val="double" w:color="FF0000"/>
        </w:rPr>
        <w:t>当月应交未交、多交或预缴</w:t>
      </w:r>
      <w:r>
        <w:rPr>
          <w:w w:val="95"/>
        </w:rPr>
        <w:t xml:space="preserve">的增   </w:t>
      </w:r>
      <w:r>
        <w:t>值税额，以及</w:t>
      </w:r>
      <w:r>
        <w:rPr>
          <w:color w:val="FF0000"/>
          <w:u w:val="double" w:color="FF0000"/>
        </w:rPr>
        <w:t>当月交纳以前期间未交</w:t>
      </w:r>
      <w:r>
        <w:t>的增值税额。</w:t>
      </w:r>
    </w:p>
    <w:p>
      <w:pPr>
        <w:pStyle w:val="13"/>
        <w:numPr>
          <w:ilvl w:val="0"/>
          <w:numId w:val="85"/>
        </w:numPr>
        <w:tabs>
          <w:tab w:val="left" w:pos="1224"/>
        </w:tabs>
        <w:spacing w:before="2" w:after="0" w:line="240" w:lineRule="auto"/>
        <w:ind w:left="1223" w:right="0" w:hanging="501"/>
        <w:jc w:val="left"/>
        <w:rPr>
          <w:sz w:val="20"/>
        </w:rPr>
      </w:pPr>
      <w:r>
        <w:rPr>
          <w:sz w:val="20"/>
        </w:rPr>
        <w:t>预交增值税：</w:t>
      </w:r>
    </w:p>
    <w:p>
      <w:pPr>
        <w:pStyle w:val="6"/>
      </w:pPr>
      <w:r>
        <w:t>核算一般纳税人</w:t>
      </w:r>
      <w:r>
        <w:rPr>
          <w:color w:val="FF0000"/>
          <w:u w:val="double" w:color="FF0000"/>
        </w:rPr>
        <w:t>转让不动产、提供不动产经营租赁服务、提供建筑服务、采用预收款方式销售自行开发的房</w:t>
      </w:r>
    </w:p>
    <w:p>
      <w:pPr>
        <w:spacing w:after="0"/>
        <w:sectPr>
          <w:pgSz w:w="11910" w:h="16160"/>
          <w:pgMar w:top="1680" w:right="360" w:bottom="860" w:left="760" w:header="0" w:footer="548" w:gutter="0"/>
        </w:sectPr>
      </w:pPr>
    </w:p>
    <w:p>
      <w:pPr>
        <w:pStyle w:val="6"/>
        <w:spacing w:before="11"/>
        <w:ind w:left="0"/>
        <w:rPr>
          <w:sz w:val="13"/>
        </w:rPr>
      </w:pPr>
    </w:p>
    <w:p>
      <w:pPr>
        <w:pStyle w:val="6"/>
        <w:spacing w:before="71"/>
        <w:ind w:left="322"/>
      </w:pPr>
      <w:r>
        <w:rPr>
          <w:color w:val="FF0000"/>
          <w:u w:val="double" w:color="FF0000"/>
        </w:rPr>
        <w:t>地产项目</w:t>
      </w:r>
      <w:r>
        <w:t>等，按现行增值税制度规定应预缴的增值税额。</w:t>
      </w:r>
    </w:p>
    <w:p>
      <w:pPr>
        <w:pStyle w:val="13"/>
        <w:numPr>
          <w:ilvl w:val="0"/>
          <w:numId w:val="85"/>
        </w:numPr>
        <w:tabs>
          <w:tab w:val="left" w:pos="1224"/>
        </w:tabs>
        <w:spacing w:before="70" w:after="0" w:line="240" w:lineRule="auto"/>
        <w:ind w:left="1223" w:right="0" w:hanging="501"/>
        <w:jc w:val="left"/>
        <w:rPr>
          <w:sz w:val="20"/>
        </w:rPr>
      </w:pPr>
      <w:r>
        <w:rPr>
          <w:sz w:val="20"/>
        </w:rPr>
        <w:t>待抵扣进项税额：</w:t>
      </w:r>
    </w:p>
    <w:p>
      <w:pPr>
        <w:pStyle w:val="6"/>
        <w:spacing w:line="304" w:lineRule="auto"/>
        <w:ind w:left="322" w:right="722" w:firstLine="400"/>
      </w:pPr>
      <w:r>
        <w:rPr>
          <w:w w:val="95"/>
        </w:rPr>
        <w:t>核算一般纳税人</w:t>
      </w:r>
      <w:r>
        <w:rPr>
          <w:color w:val="FF0000"/>
          <w:w w:val="95"/>
          <w:u w:val="double" w:color="FF0000"/>
        </w:rPr>
        <w:t>已取得增值税扣税凭证并经税务机关认证</w:t>
      </w:r>
      <w:r>
        <w:rPr>
          <w:spacing w:val="-8"/>
          <w:w w:val="95"/>
        </w:rPr>
        <w:t>，按照现行增值税制度规定</w:t>
      </w:r>
      <w:r>
        <w:rPr>
          <w:color w:val="FF0000"/>
          <w:w w:val="95"/>
          <w:u w:val="double" w:color="FF0000"/>
        </w:rPr>
        <w:t>准予以后期间从销项税</w:t>
      </w:r>
      <w:r>
        <w:rPr>
          <w:color w:val="FF0000"/>
          <w:spacing w:val="-199"/>
          <w:w w:val="95"/>
          <w:u w:val="double" w:color="FF0000"/>
        </w:rPr>
        <w:t>额</w:t>
      </w:r>
      <w:r>
        <w:rPr>
          <w:color w:val="FF0000"/>
          <w:spacing w:val="189"/>
          <w:w w:val="95"/>
          <w:u w:val="double" w:color="FF0000"/>
        </w:rPr>
        <w:t xml:space="preserve"> </w:t>
      </w:r>
      <w:r>
        <w:rPr>
          <w:color w:val="FF0000"/>
          <w:u w:val="double" w:color="FF0000"/>
        </w:rPr>
        <w:t>中抵扣</w:t>
      </w:r>
      <w:r>
        <w:t>的进项税额。</w:t>
      </w:r>
    </w:p>
    <w:p>
      <w:pPr>
        <w:pStyle w:val="13"/>
        <w:numPr>
          <w:ilvl w:val="0"/>
          <w:numId w:val="85"/>
        </w:numPr>
        <w:tabs>
          <w:tab w:val="left" w:pos="1224"/>
        </w:tabs>
        <w:spacing w:before="2" w:after="0" w:line="240" w:lineRule="auto"/>
        <w:ind w:left="1223" w:right="0" w:hanging="501"/>
        <w:jc w:val="left"/>
        <w:rPr>
          <w:sz w:val="20"/>
        </w:rPr>
      </w:pPr>
      <w:r>
        <w:rPr>
          <w:sz w:val="20"/>
        </w:rPr>
        <w:t>待认证进项税额：</w:t>
      </w:r>
    </w:p>
    <w:p>
      <w:pPr>
        <w:pStyle w:val="6"/>
        <w:spacing w:before="68" w:line="304" w:lineRule="auto"/>
        <w:ind w:right="2862"/>
      </w:pPr>
      <w:r>
        <w:rPr>
          <w:w w:val="95"/>
        </w:rPr>
        <w:t>核算</w:t>
      </w:r>
      <w:r>
        <w:rPr>
          <w:color w:val="FF0000"/>
          <w:w w:val="95"/>
          <w:u w:val="double" w:color="FF0000"/>
        </w:rPr>
        <w:t>一般纳税人</w:t>
      </w:r>
      <w:r>
        <w:rPr>
          <w:w w:val="95"/>
        </w:rPr>
        <w:t>由于</w:t>
      </w:r>
      <w:r>
        <w:rPr>
          <w:color w:val="FF0000"/>
          <w:w w:val="95"/>
          <w:u w:val="double" w:color="FF0000"/>
        </w:rPr>
        <w:t>未经税务机关认证而不得从当期销项税额中抵扣的进项税额</w:t>
      </w:r>
      <w:r>
        <w:rPr>
          <w:w w:val="95"/>
        </w:rPr>
        <w:t xml:space="preserve">。  </w:t>
      </w:r>
      <w:r>
        <w:t>主要包括：</w:t>
      </w:r>
    </w:p>
    <w:p>
      <w:pPr>
        <w:pStyle w:val="6"/>
        <w:spacing w:before="2" w:line="304" w:lineRule="auto"/>
        <w:ind w:left="322" w:right="647" w:firstLine="400"/>
      </w:pPr>
      <w:r>
        <w:rPr>
          <w:w w:val="95"/>
        </w:rPr>
        <w:t xml:space="preserve">①一般纳税人已取得增值税扣税凭证、按照现行增值税制度规定准予从销项税额中抵扣，但尚未经税务机关   </w:t>
      </w:r>
      <w:r>
        <w:t>认证的进项税额；</w:t>
      </w:r>
    </w:p>
    <w:p>
      <w:pPr>
        <w:pStyle w:val="6"/>
        <w:spacing w:before="2"/>
      </w:pPr>
      <w:r>
        <w:t>②一般纳税人已申请稽核但尚未取得稽核相符结果的海关缴款书进项税额。</w:t>
      </w:r>
    </w:p>
    <w:p>
      <w:pPr>
        <w:pStyle w:val="13"/>
        <w:numPr>
          <w:ilvl w:val="0"/>
          <w:numId w:val="85"/>
        </w:numPr>
        <w:tabs>
          <w:tab w:val="left" w:pos="1224"/>
        </w:tabs>
        <w:spacing w:before="70" w:after="0" w:line="302" w:lineRule="auto"/>
        <w:ind w:left="322" w:right="761" w:firstLine="400"/>
        <w:jc w:val="left"/>
        <w:rPr>
          <w:sz w:val="20"/>
        </w:rPr>
      </w:pPr>
      <w:r>
        <w:rPr>
          <w:w w:val="95"/>
          <w:sz w:val="20"/>
        </w:rPr>
        <w:t>待转销项税额：核算一般纳税人销售货物、加工修理修配劳务、服务、无形资产或不动产，</w:t>
      </w:r>
      <w:r>
        <w:rPr>
          <w:color w:val="FF0000"/>
          <w:w w:val="95"/>
          <w:sz w:val="20"/>
          <w:u w:val="double" w:color="FF0000"/>
        </w:rPr>
        <w:t>已确认相</w:t>
      </w:r>
      <w:r>
        <w:rPr>
          <w:color w:val="FF0000"/>
          <w:spacing w:val="-199"/>
          <w:w w:val="95"/>
          <w:sz w:val="20"/>
          <w:u w:val="double" w:color="FF0000"/>
        </w:rPr>
        <w:t>关</w:t>
      </w:r>
      <w:r>
        <w:rPr>
          <w:color w:val="FF0000"/>
          <w:spacing w:val="161"/>
          <w:w w:val="95"/>
          <w:sz w:val="20"/>
          <w:u w:val="double" w:color="FF0000"/>
        </w:rPr>
        <w:t xml:space="preserve"> </w:t>
      </w:r>
      <w:r>
        <w:rPr>
          <w:color w:val="FF0000"/>
          <w:sz w:val="20"/>
          <w:u w:val="double" w:color="FF0000"/>
        </w:rPr>
        <w:t>收入（或利得）但尚未发生增值税纳税义务而需于以后期间确认为销项税额</w:t>
      </w:r>
      <w:r>
        <w:rPr>
          <w:sz w:val="20"/>
        </w:rPr>
        <w:t>的增值税额。</w:t>
      </w:r>
    </w:p>
    <w:p>
      <w:pPr>
        <w:pStyle w:val="13"/>
        <w:numPr>
          <w:ilvl w:val="0"/>
          <w:numId w:val="85"/>
        </w:numPr>
        <w:tabs>
          <w:tab w:val="left" w:pos="1224"/>
        </w:tabs>
        <w:spacing w:before="5" w:after="0" w:line="240" w:lineRule="auto"/>
        <w:ind w:left="1223" w:right="0" w:hanging="501"/>
        <w:jc w:val="left"/>
        <w:rPr>
          <w:sz w:val="20"/>
        </w:rPr>
      </w:pPr>
      <w:r>
        <w:rPr>
          <w:sz w:val="20"/>
        </w:rPr>
        <w:t>简易计税：核算一般纳税人采用简易计税方法发生的增值税计提、扣减、预缴、缴纳等业务。</w:t>
      </w:r>
    </w:p>
    <w:p>
      <w:pPr>
        <w:pStyle w:val="13"/>
        <w:numPr>
          <w:ilvl w:val="0"/>
          <w:numId w:val="85"/>
        </w:numPr>
        <w:tabs>
          <w:tab w:val="left" w:pos="1224"/>
        </w:tabs>
        <w:spacing w:before="70" w:after="0" w:line="240" w:lineRule="auto"/>
        <w:ind w:left="1223" w:right="0" w:hanging="501"/>
        <w:jc w:val="left"/>
        <w:rPr>
          <w:sz w:val="20"/>
        </w:rPr>
      </w:pPr>
      <w:r>
        <w:rPr>
          <w:sz w:val="20"/>
        </w:rPr>
        <w:t>转让金融商品应交增值税：核算增值税纳税人转让金融商品发生的增值税额。</w:t>
      </w:r>
    </w:p>
    <w:p>
      <w:pPr>
        <w:pStyle w:val="13"/>
        <w:numPr>
          <w:ilvl w:val="0"/>
          <w:numId w:val="85"/>
        </w:numPr>
        <w:tabs>
          <w:tab w:val="left" w:pos="1224"/>
        </w:tabs>
        <w:spacing w:before="70" w:after="0" w:line="240" w:lineRule="auto"/>
        <w:ind w:left="1223" w:right="0" w:hanging="501"/>
        <w:jc w:val="left"/>
        <w:rPr>
          <w:sz w:val="20"/>
        </w:rPr>
      </w:pPr>
      <w:r>
        <w:rPr>
          <w:sz w:val="20"/>
        </w:rPr>
        <w:t>代扣代交增值税</w:t>
      </w:r>
    </w:p>
    <w:p>
      <w:pPr>
        <w:pStyle w:val="6"/>
      </w:pPr>
      <w:r>
        <w:t>核算纳税人购进在境内未设经营机构的境外单位或个人在境内的应税行为代扣代缴的增值税。</w:t>
      </w:r>
    </w:p>
    <w:p>
      <w:pPr>
        <w:pStyle w:val="13"/>
        <w:numPr>
          <w:ilvl w:val="0"/>
          <w:numId w:val="85"/>
        </w:numPr>
        <w:tabs>
          <w:tab w:val="left" w:pos="1224"/>
        </w:tabs>
        <w:spacing w:before="70" w:after="0" w:line="240" w:lineRule="auto"/>
        <w:ind w:left="1223" w:right="0" w:hanging="501"/>
        <w:jc w:val="left"/>
        <w:rPr>
          <w:sz w:val="20"/>
        </w:rPr>
      </w:pPr>
      <w:r>
        <w:rPr>
          <w:sz w:val="20"/>
        </w:rPr>
        <w:t>应交增值税—进项税额</w:t>
      </w:r>
    </w:p>
    <w:p>
      <w:pPr>
        <w:pStyle w:val="6"/>
        <w:spacing w:before="68"/>
        <w:ind w:left="2323"/>
      </w:pPr>
      <w:r>
        <w:t>—销项税额抵减</w:t>
      </w:r>
    </w:p>
    <w:p>
      <w:pPr>
        <w:pStyle w:val="6"/>
        <w:ind w:left="2323"/>
      </w:pPr>
      <w:r>
        <w:t>—已交税金</w:t>
      </w:r>
    </w:p>
    <w:p>
      <w:pPr>
        <w:pStyle w:val="6"/>
        <w:ind w:left="2323"/>
      </w:pPr>
      <w:r>
        <w:t>—转出未交增值税</w:t>
      </w:r>
    </w:p>
    <w:p>
      <w:pPr>
        <w:pStyle w:val="6"/>
        <w:ind w:left="2323"/>
      </w:pPr>
      <w:r>
        <w:t>—出口抵减内销产品应纳税额</w:t>
      </w:r>
    </w:p>
    <w:p>
      <w:pPr>
        <w:pStyle w:val="6"/>
        <w:spacing w:before="71"/>
        <w:ind w:left="2323"/>
      </w:pPr>
      <w:r>
        <w:rPr>
          <w:w w:val="95"/>
        </w:rPr>
        <w:t>—减免税款</w:t>
      </w:r>
    </w:p>
    <w:p>
      <w:pPr>
        <w:pStyle w:val="6"/>
        <w:ind w:left="2323"/>
      </w:pPr>
      <w:r>
        <w:rPr>
          <w:w w:val="95"/>
        </w:rPr>
        <w:t>—销项税额</w:t>
      </w:r>
    </w:p>
    <w:p>
      <w:pPr>
        <w:pStyle w:val="6"/>
        <w:spacing w:before="67"/>
        <w:ind w:left="2323"/>
      </w:pPr>
      <w:r>
        <w:rPr>
          <w:w w:val="95"/>
        </w:rPr>
        <w:t>—出口退税</w:t>
      </w:r>
    </w:p>
    <w:p>
      <w:pPr>
        <w:pStyle w:val="6"/>
        <w:spacing w:before="71"/>
        <w:ind w:left="2323"/>
      </w:pPr>
      <w:r>
        <w:t>—进项税额转出</w:t>
      </w:r>
    </w:p>
    <w:p>
      <w:pPr>
        <w:pStyle w:val="6"/>
        <w:ind w:left="2323"/>
      </w:pPr>
      <w:r>
        <w:t>—转出多交增值税</w:t>
      </w:r>
    </w:p>
    <w:p>
      <w:pPr>
        <w:pStyle w:val="6"/>
        <w:spacing w:line="304" w:lineRule="auto"/>
        <w:ind w:left="322" w:right="720" w:firstLine="400"/>
      </w:pPr>
      <w:r>
        <w:rPr>
          <w:spacing w:val="-6"/>
          <w:w w:val="95"/>
        </w:rPr>
        <w:t xml:space="preserve">①进项税额：一般纳税人购进货物、加工修理修配劳务、服务、无形资产或不动产而支付或负担的、准予从   </w:t>
      </w:r>
      <w:r>
        <w:rPr>
          <w:spacing w:val="-6"/>
        </w:rPr>
        <w:t>当期销项税额中抵扣的增值税额；</w:t>
      </w:r>
    </w:p>
    <w:p>
      <w:pPr>
        <w:pStyle w:val="6"/>
        <w:spacing w:before="2"/>
      </w:pPr>
      <w:r>
        <w:t>②销项税额抵减：一般纳税人按照现行增值税制度规定因扣减销售额而减少的销项税额；</w:t>
      </w:r>
    </w:p>
    <w:p>
      <w:pPr>
        <w:pStyle w:val="6"/>
        <w:spacing w:before="68"/>
      </w:pPr>
      <w:r>
        <w:t>③已交税金：一般纳税人当月已交纳的应交增值税额；</w:t>
      </w:r>
    </w:p>
    <w:p>
      <w:pPr>
        <w:pStyle w:val="6"/>
      </w:pPr>
      <w:r>
        <w:t>④转出未交增值税、转出多交增值税：一般纳税人月度终了转出当月应交未交或多交增值税额；</w:t>
      </w:r>
    </w:p>
    <w:p>
      <w:pPr>
        <w:pStyle w:val="6"/>
      </w:pPr>
      <w:r>
        <w:t>⑤减免税款：一般纳税人按现行增值税制度规定准予减免的增值税额；</w:t>
      </w:r>
    </w:p>
    <w:p>
      <w:pPr>
        <w:pStyle w:val="6"/>
        <w:spacing w:line="304" w:lineRule="auto"/>
        <w:ind w:left="322" w:right="720" w:firstLine="400"/>
      </w:pPr>
      <w:r>
        <w:rPr>
          <w:spacing w:val="-5"/>
          <w:w w:val="95"/>
        </w:rPr>
        <w:t xml:space="preserve">⑥出口抵减内销产品应纳税额：实行“免、抵、退”办法的一般纳税人按规定计算的出口货物的进项税抵减   </w:t>
      </w:r>
      <w:r>
        <w:rPr>
          <w:spacing w:val="-5"/>
        </w:rPr>
        <w:t>内销产品的应纳税额；</w:t>
      </w:r>
    </w:p>
    <w:p>
      <w:pPr>
        <w:pStyle w:val="6"/>
        <w:spacing w:before="2"/>
      </w:pPr>
      <w:r>
        <w:t>⑦销项税额：一般纳税人销售货物、加工修理修配劳务、服务、无形资产或不动产应收取的增值税额；</w:t>
      </w:r>
    </w:p>
    <w:p>
      <w:pPr>
        <w:pStyle w:val="6"/>
        <w:spacing w:before="68"/>
      </w:pPr>
      <w:r>
        <w:t>⑧出口退税：一般纳税人出口货物、加工修理修配劳务、服务、无形资产按规定退回的增值税额；</w:t>
      </w:r>
    </w:p>
    <w:p>
      <w:pPr>
        <w:pStyle w:val="6"/>
        <w:spacing w:line="304" w:lineRule="auto"/>
        <w:ind w:left="322" w:right="722" w:firstLine="400"/>
      </w:pPr>
      <w:r>
        <w:rPr>
          <w:spacing w:val="-5"/>
          <w:w w:val="95"/>
        </w:rPr>
        <w:t xml:space="preserve">⑨进项税额转出：一般纳税人购进货物、加工修理修配劳务、服务、无形资产或不动产等发生非正常损失以   </w:t>
      </w:r>
      <w:r>
        <w:rPr>
          <w:spacing w:val="-5"/>
        </w:rPr>
        <w:t>及其他原因而不应从销项税额中抵扣、按规定转出的进项税额。</w:t>
      </w:r>
    </w:p>
    <w:p>
      <w:pPr>
        <w:spacing w:after="0" w:line="304" w:lineRule="auto"/>
        <w:sectPr>
          <w:pgSz w:w="11910" w:h="16160"/>
          <w:pgMar w:top="1680" w:right="360" w:bottom="860" w:left="760" w:header="0" w:footer="548" w:gutter="0"/>
        </w:sectPr>
      </w:pPr>
    </w:p>
    <w:p>
      <w:pPr>
        <w:pStyle w:val="6"/>
        <w:spacing w:before="11"/>
        <w:ind w:left="0"/>
        <w:rPr>
          <w:sz w:val="13"/>
        </w:rPr>
      </w:pPr>
    </w:p>
    <w:p>
      <w:pPr>
        <w:pStyle w:val="5"/>
        <w:spacing w:before="71"/>
      </w:pPr>
      <w:r>
        <w:t>2.取得资产或接受劳务的账务处理</w:t>
      </w:r>
    </w:p>
    <w:p>
      <w:pPr>
        <w:pStyle w:val="13"/>
        <w:numPr>
          <w:ilvl w:val="0"/>
          <w:numId w:val="86"/>
        </w:numPr>
        <w:tabs>
          <w:tab w:val="left" w:pos="1225"/>
        </w:tabs>
        <w:spacing w:before="70" w:after="0" w:line="304" w:lineRule="auto"/>
        <w:ind w:left="742" w:right="3338" w:hanging="20"/>
        <w:jc w:val="left"/>
        <w:rPr>
          <w:sz w:val="20"/>
        </w:rPr>
      </w:pPr>
      <w:r>
        <w:drawing>
          <wp:anchor distT="0" distB="0" distL="0" distR="0" simplePos="0" relativeHeight="482469888" behindDoc="1" locked="0" layoutInCell="1" allowOverlap="1">
            <wp:simplePos x="0" y="0"/>
            <wp:positionH relativeFrom="page">
              <wp:posOffset>5014595</wp:posOffset>
            </wp:positionH>
            <wp:positionV relativeFrom="paragraph">
              <wp:posOffset>302260</wp:posOffset>
            </wp:positionV>
            <wp:extent cx="2094865" cy="735330"/>
            <wp:effectExtent l="0" t="0" r="0" b="0"/>
            <wp:wrapNone/>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2.png"/>
                    <pic:cNvPicPr>
                      <a:picLocks noChangeAspect="1"/>
                    </pic:cNvPicPr>
                  </pic:nvPicPr>
                  <pic:blipFill>
                    <a:blip r:embed="rId50" cstate="print"/>
                    <a:stretch>
                      <a:fillRect/>
                    </a:stretch>
                  </pic:blipFill>
                  <pic:spPr>
                    <a:xfrm>
                      <a:off x="0" y="0"/>
                      <a:ext cx="2094855" cy="735347"/>
                    </a:xfrm>
                    <a:prstGeom prst="rect">
                      <a:avLst/>
                    </a:prstGeom>
                  </pic:spPr>
                </pic:pic>
              </a:graphicData>
            </a:graphic>
          </wp:anchor>
        </w:drawing>
      </w:r>
      <w:r>
        <w:rPr>
          <w:b/>
          <w:w w:val="95"/>
          <w:sz w:val="20"/>
        </w:rPr>
        <w:t xml:space="preserve">一般纳税人购进货物、加工修理修配劳务、服务、无形资产或不动产。  </w:t>
      </w:r>
      <w:r>
        <w:rPr>
          <w:sz w:val="20"/>
        </w:rPr>
        <w:t>借：在途物资/原材料/库存商品/无形资产/固定资产等</w:t>
      </w:r>
    </w:p>
    <w:p>
      <w:pPr>
        <w:pStyle w:val="6"/>
        <w:spacing w:before="2"/>
        <w:ind w:left="1124"/>
      </w:pPr>
      <w:r>
        <w:rPr>
          <w:w w:val="99"/>
        </w:rPr>
        <w:t>应交税费—增</w:t>
      </w:r>
      <w:r>
        <w:rPr>
          <w:spacing w:val="2"/>
          <w:w w:val="99"/>
        </w:rPr>
        <w:t>（</w:t>
      </w:r>
      <w:r>
        <w:rPr>
          <w:w w:val="99"/>
        </w:rPr>
        <w:t>进</w:t>
      </w:r>
      <w:r>
        <w:rPr>
          <w:spacing w:val="-99"/>
          <w:w w:val="99"/>
        </w:rPr>
        <w:t>）</w:t>
      </w:r>
      <w:r>
        <w:rPr>
          <w:w w:val="99"/>
        </w:rPr>
        <w:t>（当月已认证的可抵扣）</w:t>
      </w:r>
    </w:p>
    <w:p>
      <w:pPr>
        <w:pStyle w:val="6"/>
        <w:spacing w:line="304" w:lineRule="auto"/>
        <w:ind w:left="1124" w:right="5061"/>
      </w:pPr>
      <w:r>
        <w:t>应交税费—待认证进项税额（当月未认证的可抵扣</w:t>
      </w:r>
      <w:r>
        <w:rPr>
          <w:spacing w:val="-10"/>
        </w:rPr>
        <w:t xml:space="preserve">） </w:t>
      </w:r>
      <w:r>
        <w:t>应交税费—待抵扣进项税额（当月已认证未抵扣） 贷：应付账款/应付票据/银行存款等</w:t>
      </w:r>
    </w:p>
    <w:p>
      <w:pPr>
        <w:pStyle w:val="6"/>
        <w:spacing w:before="1" w:line="304" w:lineRule="auto"/>
        <w:ind w:left="322" w:right="621"/>
      </w:pPr>
      <w:r>
        <mc:AlternateContent>
          <mc:Choice Requires="wps">
            <w:drawing>
              <wp:anchor distT="0" distB="0" distL="114300" distR="114300" simplePos="0" relativeHeight="482470912" behindDoc="1" locked="0" layoutInCell="1" allowOverlap="1">
                <wp:simplePos x="0" y="0"/>
                <wp:positionH relativeFrom="page">
                  <wp:posOffset>814705</wp:posOffset>
                </wp:positionH>
                <wp:positionV relativeFrom="paragraph">
                  <wp:posOffset>139065</wp:posOffset>
                </wp:positionV>
                <wp:extent cx="251460" cy="5715"/>
                <wp:effectExtent l="0" t="0" r="0" b="0"/>
                <wp:wrapNone/>
                <wp:docPr id="300" name="任意多边形 20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06" o:spid="_x0000_s1026" o:spt="100" style="position:absolute;left:0pt;margin-left:64.15pt;margin-top:10.95pt;height:0.45pt;width:19.8pt;mso-position-horizontal-relative:page;z-index:-20845568;mso-width-relative:page;mso-height-relative:page;" filled="f" stroked="t" coordsize="396,9" o:gfxdata="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x&#10;WWi62AAAAAkBAAAPAAAAAAAAAAEAIAAAACIAAABkcnMvZG93bnJldi54bWxQSwECFAAUAAAACACH&#10;TuJAh/ENSpYCAABX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rPr>
          <w:spacing w:val="-2"/>
        </w:rPr>
        <w:t xml:space="preserve">】企业购进农产品，除取得增值税专用发票或海关进口增值税专用缴款书外，如用于生产税率为 </w:t>
      </w:r>
      <w:r>
        <w:t>9%的产</w:t>
      </w:r>
      <w:r>
        <w:rPr>
          <w:spacing w:val="-12"/>
        </w:rPr>
        <w:t xml:space="preserve">品，按照农产品收购发票或销售发票上注明的农产品买价和 </w:t>
      </w:r>
      <w:r>
        <w:t>9%</w:t>
      </w:r>
      <w:r>
        <w:rPr>
          <w:spacing w:val="-10"/>
        </w:rPr>
        <w:t xml:space="preserve">的扣除率计算的进项税额，如用于生产 </w:t>
      </w:r>
      <w:r>
        <w:t xml:space="preserve">13%的产品， </w:t>
      </w:r>
      <w:r>
        <w:rPr>
          <w:spacing w:val="-3"/>
        </w:rPr>
        <w:t xml:space="preserve">按照农产品收购发票或销售发票上注明的农产品买价和 </w:t>
      </w:r>
      <w:r>
        <w:t>10%的扣除率计算的进项税额。</w:t>
      </w:r>
    </w:p>
    <w:p>
      <w:pPr>
        <w:pStyle w:val="6"/>
        <w:spacing w:before="3" w:line="302" w:lineRule="auto"/>
        <w:ind w:left="322" w:right="722" w:firstLine="400"/>
      </w:pPr>
      <w:r>
        <mc:AlternateContent>
          <mc:Choice Requires="wps">
            <w:drawing>
              <wp:anchor distT="0" distB="0" distL="114300" distR="114300" simplePos="0" relativeHeight="482470912" behindDoc="1" locked="0" layoutInCell="1" allowOverlap="1">
                <wp:simplePos x="0" y="0"/>
                <wp:positionH relativeFrom="page">
                  <wp:posOffset>1068705</wp:posOffset>
                </wp:positionH>
                <wp:positionV relativeFrom="paragraph">
                  <wp:posOffset>138430</wp:posOffset>
                </wp:positionV>
                <wp:extent cx="251460" cy="5715"/>
                <wp:effectExtent l="0" t="0" r="0" b="0"/>
                <wp:wrapNone/>
                <wp:docPr id="301" name="任意多边形 20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07" o:spid="_x0000_s1026" o:spt="100" style="position:absolute;left:0pt;margin-left:84.15pt;margin-top:10.9pt;height:0.45pt;width:19.8pt;mso-position-horizontal-relative:page;z-index:-20845568;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OAs9UCV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m&#10;hhCd2QAAAAkBAAAPAAAAAAAAAAEAIAAAACIAAABkcnMvZG93bnJldi54bWxQSwECFAAUAAAACACH&#10;TuJA4Cz1QJ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19"/>
          <w:w w:val="95"/>
        </w:rPr>
        <w:t>】</w:t>
      </w:r>
      <w:r>
        <w:rPr>
          <w:w w:val="95"/>
        </w:rPr>
        <w:t>1.</w:t>
      </w:r>
      <w:r>
        <w:rPr>
          <w:spacing w:val="-5"/>
          <w:w w:val="95"/>
        </w:rPr>
        <w:t xml:space="preserve">发生退货的，如原增值税专用发票已做认证，应根据税务机关开具的红字增值税专用发票做相反   </w:t>
      </w:r>
      <w:r>
        <w:rPr>
          <w:spacing w:val="-5"/>
        </w:rPr>
        <w:t>的会计分录；如原增值税专用发票未做认证，应将发票退回并做相反的会计分录。</w:t>
      </w:r>
    </w:p>
    <w:p>
      <w:pPr>
        <w:pStyle w:val="6"/>
        <w:spacing w:before="4"/>
        <w:ind w:left="783"/>
      </w:pPr>
      <w:r>
        <w:t>2.企业购进材料商品等不能取得增值税专用发票的，发生的增值税进项税额不得抵扣应直接计入材料采购成</w:t>
      </w:r>
    </w:p>
    <w:p>
      <w:pPr>
        <w:pStyle w:val="6"/>
        <w:tabs>
          <w:tab w:val="left" w:pos="3622"/>
        </w:tabs>
        <w:spacing w:line="304" w:lineRule="auto"/>
        <w:ind w:right="5398" w:firstLine="4272"/>
      </w:pPr>
      <w:r>
        <w:t>本</w:t>
      </w:r>
      <w:r>
        <w:rPr>
          <w:spacing w:val="-19"/>
        </w:rPr>
        <w:t>。</w:t>
      </w:r>
      <w:r>
        <w:t>借：原材料等（价税合计）</w:t>
      </w:r>
      <w:r>
        <w:tab/>
      </w:r>
      <w:r>
        <w:t>贷：银行存款等</w:t>
      </w:r>
    </w:p>
    <w:p>
      <w:pPr>
        <w:pStyle w:val="5"/>
        <w:numPr>
          <w:ilvl w:val="0"/>
          <w:numId w:val="86"/>
        </w:numPr>
        <w:tabs>
          <w:tab w:val="left" w:pos="1225"/>
        </w:tabs>
        <w:spacing w:before="2" w:after="0" w:line="240" w:lineRule="auto"/>
        <w:ind w:left="1224" w:right="0" w:hanging="502"/>
        <w:jc w:val="left"/>
      </w:pPr>
      <w:r>
        <w:t>货物等已验收入库但尚未取得增值税扣税凭证</w:t>
      </w:r>
    </w:p>
    <w:p>
      <w:pPr>
        <w:pStyle w:val="6"/>
        <w:spacing w:line="304" w:lineRule="auto"/>
        <w:ind w:left="322" w:right="720" w:firstLine="400"/>
        <w:jc w:val="both"/>
      </w:pPr>
      <w:r>
        <mc:AlternateContent>
          <mc:Choice Requires="wps">
            <w:drawing>
              <wp:anchor distT="0" distB="0" distL="114300" distR="114300" simplePos="0" relativeHeight="15837184" behindDoc="0" locked="0" layoutInCell="1" allowOverlap="1">
                <wp:simplePos x="0" y="0"/>
                <wp:positionH relativeFrom="page">
                  <wp:posOffset>942975</wp:posOffset>
                </wp:positionH>
                <wp:positionV relativeFrom="paragraph">
                  <wp:posOffset>621030</wp:posOffset>
                </wp:positionV>
                <wp:extent cx="5750560" cy="1054100"/>
                <wp:effectExtent l="0" t="0" r="0" b="0"/>
                <wp:wrapNone/>
                <wp:docPr id="147" name="文本框 208"/>
                <wp:cNvGraphicFramePr/>
                <a:graphic xmlns:a="http://schemas.openxmlformats.org/drawingml/2006/main">
                  <a:graphicData uri="http://schemas.microsoft.com/office/word/2010/wordprocessingShape">
                    <wps:wsp>
                      <wps:cNvSpPr txBox="1"/>
                      <wps:spPr>
                        <a:xfrm>
                          <a:off x="0" y="0"/>
                          <a:ext cx="5750560" cy="105410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82"/>
                              <w:gridCol w:w="44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82" w:type="dxa"/>
                                  <w:shd w:val="clear" w:color="auto" w:fill="C0C0C0"/>
                                </w:tcPr>
                                <w:p>
                                  <w:pPr>
                                    <w:pStyle w:val="14"/>
                                    <w:spacing w:before="68" w:line="237" w:lineRule="exact"/>
                                    <w:ind w:left="108"/>
                                    <w:rPr>
                                      <w:sz w:val="20"/>
                                    </w:rPr>
                                  </w:pPr>
                                  <w:r>
                                    <w:rPr>
                                      <w:sz w:val="20"/>
                                    </w:rPr>
                                    <w:t>①月末暂估入账</w:t>
                                  </w:r>
                                </w:p>
                              </w:tc>
                              <w:tc>
                                <w:tcPr>
                                  <w:tcW w:w="4459" w:type="dxa"/>
                                  <w:shd w:val="clear" w:color="auto" w:fill="C0C0C0"/>
                                </w:tcPr>
                                <w:p>
                                  <w:pPr>
                                    <w:pStyle w:val="14"/>
                                    <w:spacing w:before="68" w:line="237" w:lineRule="exact"/>
                                    <w:ind w:left="107"/>
                                    <w:rPr>
                                      <w:sz w:val="20"/>
                                    </w:rPr>
                                  </w:pPr>
                                  <w:r>
                                    <w:rPr>
                                      <w:sz w:val="20"/>
                                    </w:rPr>
                                    <w:t>②下月初红字冲回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3" w:hRule="atLeast"/>
                              </w:trPr>
                              <w:tc>
                                <w:tcPr>
                                  <w:tcW w:w="4582" w:type="dxa"/>
                                </w:tcPr>
                                <w:p>
                                  <w:pPr>
                                    <w:pStyle w:val="14"/>
                                    <w:spacing w:before="68" w:line="304" w:lineRule="auto"/>
                                    <w:ind w:left="506" w:right="2863"/>
                                    <w:rPr>
                                      <w:sz w:val="20"/>
                                    </w:rPr>
                                  </w:pPr>
                                  <w:r>
                                    <w:rPr>
                                      <w:sz w:val="20"/>
                                    </w:rPr>
                                    <w:t xml:space="preserve">借：原材料 </w:t>
                                  </w:r>
                                  <w:r>
                                    <w:rPr>
                                      <w:spacing w:val="-3"/>
                                      <w:sz w:val="20"/>
                                    </w:rPr>
                                    <w:t>贷：应付账款</w:t>
                                  </w:r>
                                </w:p>
                              </w:tc>
                              <w:tc>
                                <w:tcPr>
                                  <w:tcW w:w="4459" w:type="dxa"/>
                                </w:tcPr>
                                <w:p>
                                  <w:pPr>
                                    <w:pStyle w:val="14"/>
                                    <w:spacing w:before="68"/>
                                    <w:ind w:left="508"/>
                                    <w:rPr>
                                      <w:sz w:val="20"/>
                                    </w:rPr>
                                  </w:pPr>
                                  <w:r>
                                    <w:rPr>
                                      <w:sz w:val="20"/>
                                    </w:rPr>
                                    <w:t>借：应付账款</w:t>
                                  </w:r>
                                </w:p>
                                <w:p>
                                  <w:pPr>
                                    <w:pStyle w:val="14"/>
                                    <w:tabs>
                                      <w:tab w:val="left" w:pos="508"/>
                                    </w:tabs>
                                    <w:spacing w:before="70" w:line="304" w:lineRule="auto"/>
                                    <w:ind w:left="107" w:right="2541" w:firstLine="799"/>
                                    <w:rPr>
                                      <w:sz w:val="20"/>
                                    </w:rPr>
                                  </w:pPr>
                                  <w:r>
                                    <w:rPr>
                                      <w:sz w:val="20"/>
                                    </w:rPr>
                                    <w:t>贷：原材</w:t>
                                  </w:r>
                                  <w:r>
                                    <w:rPr>
                                      <w:spacing w:val="-15"/>
                                      <w:sz w:val="20"/>
                                    </w:rPr>
                                    <w:t>料</w:t>
                                  </w:r>
                                  <w:r>
                                    <w:rPr>
                                      <w:sz w:val="20"/>
                                    </w:rPr>
                                    <w:t>或</w:t>
                                  </w:r>
                                  <w:r>
                                    <w:rPr>
                                      <w:sz w:val="20"/>
                                    </w:rPr>
                                    <w:tab/>
                                  </w:r>
                                  <w:r>
                                    <w:rPr>
                                      <w:sz w:val="20"/>
                                    </w:rPr>
                                    <w:t>借：原材料</w:t>
                                  </w:r>
                                </w:p>
                                <w:p>
                                  <w:pPr>
                                    <w:pStyle w:val="14"/>
                                    <w:spacing w:before="2" w:line="236" w:lineRule="exact"/>
                                    <w:ind w:left="906"/>
                                    <w:rPr>
                                      <w:sz w:val="20"/>
                                    </w:rPr>
                                  </w:pPr>
                                  <w:r>
                                    <w:rPr>
                                      <w:sz w:val="20"/>
                                    </w:rPr>
                                    <w:t>贷：应付账款</w:t>
                                  </w:r>
                                </w:p>
                              </w:tc>
                            </w:tr>
                          </w:tbl>
                          <w:p>
                            <w:pPr>
                              <w:pStyle w:val="6"/>
                              <w:spacing w:before="0"/>
                              <w:ind w:left="0"/>
                            </w:pPr>
                          </w:p>
                        </w:txbxContent>
                      </wps:txbx>
                      <wps:bodyPr lIns="0" tIns="0" rIns="0" bIns="0" upright="1"/>
                    </wps:wsp>
                  </a:graphicData>
                </a:graphic>
              </wp:anchor>
            </w:drawing>
          </mc:Choice>
          <mc:Fallback>
            <w:pict>
              <v:shape id="文本框 208" o:spid="_x0000_s1026" o:spt="202" type="#_x0000_t202" style="position:absolute;left:0pt;margin-left:74.25pt;margin-top:48.9pt;height:83pt;width:452.8pt;mso-position-horizontal-relative:page;z-index:15837184;mso-width-relative:page;mso-height-relative:page;" filled="f" stroked="f" coordsize="21600,21600" o:gfxdata="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JdTS67aAAAACwEAAA8A&#10;AAAAAAAAAQAgAAAAIgAAAGRycy9kb3ducmV2LnhtbFBLAQIUABQAAAAIAIdO4kDD2OmtowEAACkD&#10;AAAOAAAAAAAAAAEAIAAAACk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82"/>
                        <w:gridCol w:w="44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582" w:type="dxa"/>
                            <w:shd w:val="clear" w:color="auto" w:fill="C0C0C0"/>
                          </w:tcPr>
                          <w:p>
                            <w:pPr>
                              <w:pStyle w:val="14"/>
                              <w:spacing w:before="68" w:line="237" w:lineRule="exact"/>
                              <w:ind w:left="108"/>
                              <w:rPr>
                                <w:sz w:val="20"/>
                              </w:rPr>
                            </w:pPr>
                            <w:r>
                              <w:rPr>
                                <w:sz w:val="20"/>
                              </w:rPr>
                              <w:t>①月末暂估入账</w:t>
                            </w:r>
                          </w:p>
                        </w:tc>
                        <w:tc>
                          <w:tcPr>
                            <w:tcW w:w="4459" w:type="dxa"/>
                            <w:shd w:val="clear" w:color="auto" w:fill="C0C0C0"/>
                          </w:tcPr>
                          <w:p>
                            <w:pPr>
                              <w:pStyle w:val="14"/>
                              <w:spacing w:before="68" w:line="237" w:lineRule="exact"/>
                              <w:ind w:left="107"/>
                              <w:rPr>
                                <w:sz w:val="20"/>
                              </w:rPr>
                            </w:pPr>
                            <w:r>
                              <w:rPr>
                                <w:sz w:val="20"/>
                              </w:rPr>
                              <w:t>②下月初红字冲回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3" w:hRule="atLeast"/>
                        </w:trPr>
                        <w:tc>
                          <w:tcPr>
                            <w:tcW w:w="4582" w:type="dxa"/>
                          </w:tcPr>
                          <w:p>
                            <w:pPr>
                              <w:pStyle w:val="14"/>
                              <w:spacing w:before="68" w:line="304" w:lineRule="auto"/>
                              <w:ind w:left="506" w:right="2863"/>
                              <w:rPr>
                                <w:sz w:val="20"/>
                              </w:rPr>
                            </w:pPr>
                            <w:r>
                              <w:rPr>
                                <w:sz w:val="20"/>
                              </w:rPr>
                              <w:t xml:space="preserve">借：原材料 </w:t>
                            </w:r>
                            <w:r>
                              <w:rPr>
                                <w:spacing w:val="-3"/>
                                <w:sz w:val="20"/>
                              </w:rPr>
                              <w:t>贷：应付账款</w:t>
                            </w:r>
                          </w:p>
                        </w:tc>
                        <w:tc>
                          <w:tcPr>
                            <w:tcW w:w="4459" w:type="dxa"/>
                          </w:tcPr>
                          <w:p>
                            <w:pPr>
                              <w:pStyle w:val="14"/>
                              <w:spacing w:before="68"/>
                              <w:ind w:left="508"/>
                              <w:rPr>
                                <w:sz w:val="20"/>
                              </w:rPr>
                            </w:pPr>
                            <w:r>
                              <w:rPr>
                                <w:sz w:val="20"/>
                              </w:rPr>
                              <w:t>借：应付账款</w:t>
                            </w:r>
                          </w:p>
                          <w:p>
                            <w:pPr>
                              <w:pStyle w:val="14"/>
                              <w:tabs>
                                <w:tab w:val="left" w:pos="508"/>
                              </w:tabs>
                              <w:spacing w:before="70" w:line="304" w:lineRule="auto"/>
                              <w:ind w:left="107" w:right="2541" w:firstLine="799"/>
                              <w:rPr>
                                <w:sz w:val="20"/>
                              </w:rPr>
                            </w:pPr>
                            <w:r>
                              <w:rPr>
                                <w:sz w:val="20"/>
                              </w:rPr>
                              <w:t>贷：原材</w:t>
                            </w:r>
                            <w:r>
                              <w:rPr>
                                <w:spacing w:val="-15"/>
                                <w:sz w:val="20"/>
                              </w:rPr>
                              <w:t>料</w:t>
                            </w:r>
                            <w:r>
                              <w:rPr>
                                <w:sz w:val="20"/>
                              </w:rPr>
                              <w:t>或</w:t>
                            </w:r>
                            <w:r>
                              <w:rPr>
                                <w:sz w:val="20"/>
                              </w:rPr>
                              <w:tab/>
                            </w:r>
                            <w:r>
                              <w:rPr>
                                <w:sz w:val="20"/>
                              </w:rPr>
                              <w:t>借：原材料</w:t>
                            </w:r>
                          </w:p>
                          <w:p>
                            <w:pPr>
                              <w:pStyle w:val="14"/>
                              <w:spacing w:before="2" w:line="236" w:lineRule="exact"/>
                              <w:ind w:left="906"/>
                              <w:rPr>
                                <w:sz w:val="20"/>
                              </w:rPr>
                            </w:pPr>
                            <w:r>
                              <w:rPr>
                                <w:sz w:val="20"/>
                              </w:rPr>
                              <w:t>贷：应付账款</w:t>
                            </w:r>
                          </w:p>
                        </w:tc>
                      </w:tr>
                    </w:tbl>
                    <w:p>
                      <w:pPr>
                        <w:pStyle w:val="6"/>
                        <w:spacing w:before="0"/>
                        <w:ind w:left="0"/>
                      </w:pPr>
                    </w:p>
                  </w:txbxContent>
                </v:textbox>
              </v:shape>
            </w:pict>
          </mc:Fallback>
        </mc:AlternateContent>
      </w:r>
      <w:r>
        <w:rPr>
          <w:spacing w:val="-3"/>
          <w:w w:val="95"/>
        </w:rPr>
        <w:t xml:space="preserve">企业购进的货物等已到达并验收入库，但尚未收到增值税扣税凭证并未付款的，应在月末按货物清单或相关    </w:t>
      </w:r>
      <w:r>
        <w:rPr>
          <w:spacing w:val="-7"/>
          <w:w w:val="95"/>
        </w:rPr>
        <w:t xml:space="preserve">合同协议上的价格暂估入账，不需要将增值税的进项税额暂估入账；下月初，用红字冲销原暂估入账金额。待取    </w:t>
      </w:r>
      <w:r>
        <w:rPr>
          <w:spacing w:val="-7"/>
        </w:rPr>
        <w:t>得扣税相关增值税扣税凭证后，再按正常业务处理。</w:t>
      </w:r>
    </w:p>
    <w:p>
      <w:pPr>
        <w:pStyle w:val="6"/>
        <w:spacing w:before="0"/>
        <w:ind w:left="0"/>
      </w:pPr>
    </w:p>
    <w:p>
      <w:pPr>
        <w:pStyle w:val="6"/>
        <w:spacing w:before="0"/>
        <w:ind w:left="0"/>
      </w:pPr>
    </w:p>
    <w:p>
      <w:pPr>
        <w:pStyle w:val="6"/>
        <w:spacing w:before="0"/>
        <w:ind w:left="0"/>
      </w:pPr>
    </w:p>
    <w:p>
      <w:pPr>
        <w:pStyle w:val="6"/>
        <w:spacing w:before="9"/>
        <w:ind w:left="0"/>
        <w:rPr>
          <w:sz w:val="12"/>
        </w:rPr>
      </w:pPr>
      <w:r>
        <w:drawing>
          <wp:anchor distT="0" distB="0" distL="0" distR="0" simplePos="0" relativeHeight="1024" behindDoc="0" locked="0" layoutInCell="1" allowOverlap="1">
            <wp:simplePos x="0" y="0"/>
            <wp:positionH relativeFrom="page">
              <wp:posOffset>5281930</wp:posOffset>
            </wp:positionH>
            <wp:positionV relativeFrom="paragraph">
              <wp:posOffset>127635</wp:posOffset>
            </wp:positionV>
            <wp:extent cx="330835" cy="370840"/>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3.jpeg"/>
                    <pic:cNvPicPr>
                      <a:picLocks noChangeAspect="1"/>
                    </pic:cNvPicPr>
                  </pic:nvPicPr>
                  <pic:blipFill>
                    <a:blip r:embed="rId51" cstate="print"/>
                    <a:stretch>
                      <a:fillRect/>
                    </a:stretch>
                  </pic:blipFill>
                  <pic:spPr>
                    <a:xfrm>
                      <a:off x="0" y="0"/>
                      <a:ext cx="331054" cy="370903"/>
                    </a:xfrm>
                    <a:prstGeom prst="rect">
                      <a:avLst/>
                    </a:prstGeom>
                  </pic:spPr>
                </pic:pic>
              </a:graphicData>
            </a:graphic>
          </wp:anchor>
        </w:drawing>
      </w:r>
    </w:p>
    <w:p>
      <w:pPr>
        <w:pStyle w:val="6"/>
        <w:spacing w:before="78"/>
      </w:pPr>
      <w:r>
        <w:t>（1）2019 年 6 月 30 日，甲公司购进原材料一批已验收入库，但尚未收到增值税扣税凭证，款项也未支付。</w:t>
      </w:r>
    </w:p>
    <w:p>
      <w:pPr>
        <w:pStyle w:val="6"/>
        <w:ind w:left="322"/>
      </w:pPr>
      <w:r>
        <w:t>随货同行的材料清单列明的原材料销售价格为 260000 元，甲公司应编制如下会计分录：</w:t>
      </w:r>
    </w:p>
    <w:p>
      <w:pPr>
        <w:pStyle w:val="6"/>
        <w:spacing w:before="0"/>
        <w:ind w:left="752"/>
      </w:pPr>
      <w:r>
        <mc:AlternateContent>
          <mc:Choice Requires="wpg">
            <w:drawing>
              <wp:inline distT="0" distB="0" distL="114300" distR="114300">
                <wp:extent cx="5738495" cy="633730"/>
                <wp:effectExtent l="1905" t="1905" r="12700" b="12065"/>
                <wp:docPr id="191" name="组合 209"/>
                <wp:cNvGraphicFramePr/>
                <a:graphic xmlns:a="http://schemas.openxmlformats.org/drawingml/2006/main">
                  <a:graphicData uri="http://schemas.microsoft.com/office/word/2010/wordprocessingGroup">
                    <wpg:wgp>
                      <wpg:cNvGrpSpPr/>
                      <wpg:grpSpPr>
                        <a:xfrm>
                          <a:off x="0" y="0"/>
                          <a:ext cx="5738495" cy="633730"/>
                          <a:chOff x="0" y="0"/>
                          <a:chExt cx="9037" cy="998"/>
                        </a:xfrm>
                      </wpg:grpSpPr>
                      <wps:wsp>
                        <wps:cNvPr id="189" name="文本框 210"/>
                        <wps:cNvSpPr txBox="1"/>
                        <wps:spPr>
                          <a:xfrm>
                            <a:off x="4559" y="4"/>
                            <a:ext cx="4472" cy="988"/>
                          </a:xfrm>
                          <a:prstGeom prst="rect">
                            <a:avLst/>
                          </a:prstGeom>
                          <a:noFill/>
                          <a:ln w="6096" cap="flat" cmpd="sng">
                            <a:solidFill>
                              <a:srgbClr val="000000"/>
                            </a:solidFill>
                            <a:prstDash val="solid"/>
                            <a:miter/>
                            <a:headEnd type="none" w="med" len="med"/>
                            <a:tailEnd type="none" w="med" len="med"/>
                          </a:ln>
                        </wps:spPr>
                        <wps:txbx>
                          <w:txbxContent>
                            <w:p>
                              <w:pPr>
                                <w:spacing w:before="70"/>
                                <w:ind w:left="503" w:right="0" w:firstLine="0"/>
                                <w:jc w:val="left"/>
                                <w:rPr>
                                  <w:sz w:val="20"/>
                                </w:rPr>
                              </w:pPr>
                              <w:r>
                                <w:rPr>
                                  <w:sz w:val="20"/>
                                </w:rPr>
                                <w:t>②7 月 1 日</w:t>
                              </w:r>
                            </w:p>
                            <w:p>
                              <w:pPr>
                                <w:spacing w:before="68"/>
                                <w:ind w:left="503" w:right="0" w:firstLine="0"/>
                                <w:jc w:val="left"/>
                                <w:rPr>
                                  <w:sz w:val="20"/>
                                </w:rPr>
                              </w:pPr>
                              <w:r>
                                <w:rPr>
                                  <w:sz w:val="20"/>
                                </w:rPr>
                                <w:t>借：应付账款 260000</w:t>
                              </w:r>
                            </w:p>
                            <w:p>
                              <w:pPr>
                                <w:tabs>
                                  <w:tab w:val="left" w:pos="2102"/>
                                </w:tabs>
                                <w:spacing w:before="70"/>
                                <w:ind w:left="902" w:right="0" w:firstLine="0"/>
                                <w:jc w:val="left"/>
                                <w:rPr>
                                  <w:sz w:val="20"/>
                                </w:rPr>
                              </w:pPr>
                              <w:r>
                                <w:rPr>
                                  <w:sz w:val="20"/>
                                </w:rPr>
                                <w:t>贷：原材料</w:t>
                              </w:r>
                              <w:r>
                                <w:rPr>
                                  <w:sz w:val="20"/>
                                </w:rPr>
                                <w:tab/>
                              </w:r>
                              <w:r>
                                <w:rPr>
                                  <w:sz w:val="20"/>
                                </w:rPr>
                                <w:t>260000</w:t>
                              </w:r>
                            </w:p>
                          </w:txbxContent>
                        </wps:txbx>
                        <wps:bodyPr lIns="0" tIns="0" rIns="0" bIns="0" upright="1"/>
                      </wps:wsp>
                      <wps:wsp>
                        <wps:cNvPr id="190" name="文本框 211"/>
                        <wps:cNvSpPr txBox="1"/>
                        <wps:spPr>
                          <a:xfrm>
                            <a:off x="4" y="4"/>
                            <a:ext cx="4555" cy="988"/>
                          </a:xfrm>
                          <a:prstGeom prst="rect">
                            <a:avLst/>
                          </a:prstGeom>
                          <a:noFill/>
                          <a:ln w="6096" cap="flat" cmpd="sng">
                            <a:solidFill>
                              <a:srgbClr val="000000"/>
                            </a:solidFill>
                            <a:prstDash val="solid"/>
                            <a:miter/>
                            <a:headEnd type="none" w="med" len="med"/>
                            <a:tailEnd type="none" w="med" len="med"/>
                          </a:ln>
                        </wps:spPr>
                        <wps:txbx>
                          <w:txbxContent>
                            <w:p>
                              <w:pPr>
                                <w:spacing w:before="70"/>
                                <w:ind w:left="503" w:right="0" w:firstLine="0"/>
                                <w:jc w:val="left"/>
                                <w:rPr>
                                  <w:sz w:val="20"/>
                                </w:rPr>
                              </w:pPr>
                              <w:r>
                                <w:rPr>
                                  <w:sz w:val="20"/>
                                </w:rPr>
                                <w:t>①6 月 30 日</w:t>
                              </w:r>
                            </w:p>
                            <w:p>
                              <w:pPr>
                                <w:tabs>
                                  <w:tab w:val="left" w:pos="1703"/>
                                </w:tabs>
                                <w:spacing w:before="68"/>
                                <w:ind w:left="503" w:right="0" w:firstLine="0"/>
                                <w:jc w:val="left"/>
                                <w:rPr>
                                  <w:sz w:val="20"/>
                                </w:rPr>
                              </w:pPr>
                              <w:r>
                                <w:rPr>
                                  <w:sz w:val="20"/>
                                </w:rPr>
                                <w:t>借：原材料</w:t>
                              </w:r>
                              <w:r>
                                <w:rPr>
                                  <w:sz w:val="20"/>
                                </w:rPr>
                                <w:tab/>
                              </w:r>
                              <w:r>
                                <w:rPr>
                                  <w:sz w:val="20"/>
                                </w:rPr>
                                <w:t>260000</w:t>
                              </w:r>
                            </w:p>
                            <w:p>
                              <w:pPr>
                                <w:tabs>
                                  <w:tab w:val="left" w:pos="2303"/>
                                </w:tabs>
                                <w:spacing w:before="70"/>
                                <w:ind w:left="902" w:right="0" w:firstLine="0"/>
                                <w:jc w:val="left"/>
                                <w:rPr>
                                  <w:sz w:val="20"/>
                                </w:rPr>
                              </w:pPr>
                              <w:r>
                                <w:rPr>
                                  <w:sz w:val="20"/>
                                </w:rPr>
                                <w:t>贷：应付账款</w:t>
                              </w:r>
                              <w:r>
                                <w:rPr>
                                  <w:sz w:val="20"/>
                                </w:rPr>
                                <w:tab/>
                              </w:r>
                              <w:r>
                                <w:rPr>
                                  <w:sz w:val="20"/>
                                </w:rPr>
                                <w:t>260000</w:t>
                              </w:r>
                            </w:p>
                          </w:txbxContent>
                        </wps:txbx>
                        <wps:bodyPr lIns="0" tIns="0" rIns="0" bIns="0" upright="1"/>
                      </wps:wsp>
                    </wpg:wgp>
                  </a:graphicData>
                </a:graphic>
              </wp:inline>
            </w:drawing>
          </mc:Choice>
          <mc:Fallback>
            <w:pict>
              <v:group id="组合 209" o:spid="_x0000_s1026" o:spt="203" style="height:49.9pt;width:451.85pt;" coordsize="9037,998" o:gfxdata="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rmQTjVAAAA&#10;BAEAAA8AAAAAAAAAAQAgAAAAIgAAAGRycy9kb3ducmV2LnhtbFBLAQIUABQAAAAIAIdO4kCv1DKa&#10;kgIAAGIHAAAOAAAAAAAAAAEAIAAAACQBAABkcnMvZTJvRG9jLnhtbFBLBQYAAAAABgAGAFkBAAAo&#10;BgAAAAA=&#10;">
                <o:lock v:ext="edit" aspectratio="f"/>
                <v:shape id="文本框 210" o:spid="_x0000_s1026" o:spt="202" type="#_x0000_t202" style="position:absolute;left:4559;top:4;height:988;width:4472;" filled="f" stroked="t" coordsize="21600,21600" o:gfxdata="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SyCj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70"/>
                          <w:ind w:left="503" w:right="0" w:firstLine="0"/>
                          <w:jc w:val="left"/>
                          <w:rPr>
                            <w:sz w:val="20"/>
                          </w:rPr>
                        </w:pPr>
                        <w:r>
                          <w:rPr>
                            <w:sz w:val="20"/>
                          </w:rPr>
                          <w:t>②7 月 1 日</w:t>
                        </w:r>
                      </w:p>
                      <w:p>
                        <w:pPr>
                          <w:spacing w:before="68"/>
                          <w:ind w:left="503" w:right="0" w:firstLine="0"/>
                          <w:jc w:val="left"/>
                          <w:rPr>
                            <w:sz w:val="20"/>
                          </w:rPr>
                        </w:pPr>
                        <w:r>
                          <w:rPr>
                            <w:sz w:val="20"/>
                          </w:rPr>
                          <w:t>借：应付账款 260000</w:t>
                        </w:r>
                      </w:p>
                      <w:p>
                        <w:pPr>
                          <w:tabs>
                            <w:tab w:val="left" w:pos="2102"/>
                          </w:tabs>
                          <w:spacing w:before="70"/>
                          <w:ind w:left="902" w:right="0" w:firstLine="0"/>
                          <w:jc w:val="left"/>
                          <w:rPr>
                            <w:sz w:val="20"/>
                          </w:rPr>
                        </w:pPr>
                        <w:r>
                          <w:rPr>
                            <w:sz w:val="20"/>
                          </w:rPr>
                          <w:t>贷：原材料</w:t>
                        </w:r>
                        <w:r>
                          <w:rPr>
                            <w:sz w:val="20"/>
                          </w:rPr>
                          <w:tab/>
                        </w:r>
                        <w:r>
                          <w:rPr>
                            <w:sz w:val="20"/>
                          </w:rPr>
                          <w:t>260000</w:t>
                        </w:r>
                      </w:p>
                    </w:txbxContent>
                  </v:textbox>
                </v:shape>
                <v:shape id="文本框 211" o:spid="_x0000_s1026" o:spt="202" type="#_x0000_t202" style="position:absolute;left:4;top:4;height:988;width:4555;" filled="f" stroked="t" coordsize="21600,21600" o:gfxdata="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oH+O8AAAA&#10;3AAAAA8AAAAAAAAAAQAgAAAAIgAAAGRycy9kb3ducmV2LnhtbFBLAQIUABQAAAAIAIdO4kAzLwWe&#10;OwAAADkAAAAQAAAAAAAAAAEAIAAAAAsBAABkcnMvc2hhcGV4bWwueG1sUEsFBgAAAAAGAAYAWwEA&#10;ALUDAAAAAA==&#10;">
                  <v:fill on="f" focussize="0,0"/>
                  <v:stroke weight="0.48pt" color="#000000" joinstyle="miter"/>
                  <v:imagedata o:title=""/>
                  <o:lock v:ext="edit" aspectratio="f"/>
                  <v:textbox inset="0mm,0mm,0mm,0mm">
                    <w:txbxContent>
                      <w:p>
                        <w:pPr>
                          <w:spacing w:before="70"/>
                          <w:ind w:left="503" w:right="0" w:firstLine="0"/>
                          <w:jc w:val="left"/>
                          <w:rPr>
                            <w:sz w:val="20"/>
                          </w:rPr>
                        </w:pPr>
                        <w:r>
                          <w:rPr>
                            <w:sz w:val="20"/>
                          </w:rPr>
                          <w:t>①6 月 30 日</w:t>
                        </w:r>
                      </w:p>
                      <w:p>
                        <w:pPr>
                          <w:tabs>
                            <w:tab w:val="left" w:pos="1703"/>
                          </w:tabs>
                          <w:spacing w:before="68"/>
                          <w:ind w:left="503" w:right="0" w:firstLine="0"/>
                          <w:jc w:val="left"/>
                          <w:rPr>
                            <w:sz w:val="20"/>
                          </w:rPr>
                        </w:pPr>
                        <w:r>
                          <w:rPr>
                            <w:sz w:val="20"/>
                          </w:rPr>
                          <w:t>借：原材料</w:t>
                        </w:r>
                        <w:r>
                          <w:rPr>
                            <w:sz w:val="20"/>
                          </w:rPr>
                          <w:tab/>
                        </w:r>
                        <w:r>
                          <w:rPr>
                            <w:sz w:val="20"/>
                          </w:rPr>
                          <w:t>260000</w:t>
                        </w:r>
                      </w:p>
                      <w:p>
                        <w:pPr>
                          <w:tabs>
                            <w:tab w:val="left" w:pos="2303"/>
                          </w:tabs>
                          <w:spacing w:before="70"/>
                          <w:ind w:left="902" w:right="0" w:firstLine="0"/>
                          <w:jc w:val="left"/>
                          <w:rPr>
                            <w:sz w:val="20"/>
                          </w:rPr>
                        </w:pPr>
                        <w:r>
                          <w:rPr>
                            <w:sz w:val="20"/>
                          </w:rPr>
                          <w:t>贷：应付账款</w:t>
                        </w:r>
                        <w:r>
                          <w:rPr>
                            <w:sz w:val="20"/>
                          </w:rPr>
                          <w:tab/>
                        </w:r>
                        <w:r>
                          <w:rPr>
                            <w:sz w:val="20"/>
                          </w:rPr>
                          <w:t>260000</w:t>
                        </w:r>
                      </w:p>
                    </w:txbxContent>
                  </v:textbox>
                </v:shape>
                <w10:wrap type="none"/>
                <w10:anchorlock/>
              </v:group>
            </w:pict>
          </mc:Fallback>
        </mc:AlternateContent>
      </w:r>
    </w:p>
    <w:p>
      <w:pPr>
        <w:pStyle w:val="6"/>
        <w:spacing w:before="58" w:line="304" w:lineRule="auto"/>
        <w:ind w:left="322" w:right="811" w:firstLine="400"/>
      </w:pPr>
      <w:r>
        <w:t>（2）7</w:t>
      </w:r>
      <w:r>
        <w:rPr>
          <w:spacing w:val="-36"/>
        </w:rPr>
        <w:t xml:space="preserve"> 月 </w:t>
      </w:r>
      <w:r>
        <w:t>10</w:t>
      </w:r>
      <w:r>
        <w:rPr>
          <w:spacing w:val="-10"/>
        </w:rPr>
        <w:t xml:space="preserve"> 日，取得相关增值税专用发票上注明的价款为 </w:t>
      </w:r>
      <w:r>
        <w:t>260000</w:t>
      </w:r>
      <w:r>
        <w:rPr>
          <w:spacing w:val="-13"/>
        </w:rPr>
        <w:t xml:space="preserve"> 元，增值税税额为 </w:t>
      </w:r>
      <w:r>
        <w:t>33800</w:t>
      </w:r>
      <w:r>
        <w:rPr>
          <w:spacing w:val="-9"/>
        </w:rPr>
        <w:t xml:space="preserve"> 元，增值税专用发票已经认证。全部款项以银行存款支付，</w:t>
      </w:r>
    </w:p>
    <w:p>
      <w:pPr>
        <w:pStyle w:val="6"/>
        <w:tabs>
          <w:tab w:val="left" w:pos="1923"/>
        </w:tabs>
        <w:spacing w:before="2"/>
      </w:pPr>
      <w:r>
        <w:t>借：原材料</w:t>
      </w:r>
      <w:r>
        <w:tab/>
      </w:r>
      <w:r>
        <w:t>260000</w:t>
      </w:r>
    </w:p>
    <w:p>
      <w:pPr>
        <w:pStyle w:val="6"/>
        <w:tabs>
          <w:tab w:val="left" w:pos="4522"/>
        </w:tabs>
        <w:ind w:left="1124"/>
      </w:pPr>
      <w:r>
        <w:t>应交税费—应交增值税（进项税额）</w:t>
      </w:r>
      <w:r>
        <w:tab/>
      </w:r>
      <w:r>
        <w:t>33800</w:t>
      </w:r>
    </w:p>
    <w:p>
      <w:pPr>
        <w:pStyle w:val="6"/>
        <w:ind w:left="1124"/>
      </w:pPr>
      <w:r>
        <w:t>贷：银行存款 293800</w:t>
      </w:r>
    </w:p>
    <w:p>
      <w:pPr>
        <w:pStyle w:val="5"/>
        <w:numPr>
          <w:ilvl w:val="0"/>
          <w:numId w:val="86"/>
        </w:numPr>
        <w:tabs>
          <w:tab w:val="left" w:pos="1225"/>
        </w:tabs>
        <w:spacing w:before="68" w:after="0" w:line="240" w:lineRule="auto"/>
        <w:ind w:left="1224" w:right="0" w:hanging="502"/>
        <w:jc w:val="left"/>
      </w:pPr>
      <w:r>
        <w:t>不得抵扣进项税额</w:t>
      </w:r>
    </w:p>
    <w:p>
      <w:pPr>
        <w:pStyle w:val="6"/>
        <w:spacing w:line="304" w:lineRule="auto"/>
        <w:ind w:left="322" w:right="720" w:firstLine="400"/>
      </w:pPr>
      <w:r>
        <w:rPr>
          <w:spacing w:val="-5"/>
          <w:w w:val="95"/>
        </w:rPr>
        <w:t>一般纳税人购进货物、加工修理修配劳务、服务、无形资产或不动产，用于</w:t>
      </w:r>
      <w:r>
        <w:rPr>
          <w:color w:val="FF0000"/>
          <w:spacing w:val="-1"/>
          <w:w w:val="95"/>
          <w:u w:val="double" w:color="FF0000"/>
        </w:rPr>
        <w:t>简易计税方法计税项目、免征增</w:t>
      </w:r>
      <w:r>
        <w:rPr>
          <w:color w:val="FF0000"/>
          <w:spacing w:val="-199"/>
          <w:w w:val="95"/>
          <w:u w:val="double" w:color="FF0000"/>
        </w:rPr>
        <w:t>值</w:t>
      </w:r>
      <w:r>
        <w:rPr>
          <w:color w:val="FF0000"/>
          <w:spacing w:val="191"/>
          <w:w w:val="95"/>
          <w:u w:val="double" w:color="FF0000"/>
        </w:rPr>
        <w:t xml:space="preserve"> </w:t>
      </w:r>
      <w:r>
        <w:rPr>
          <w:color w:val="FF0000"/>
          <w:u w:val="double" w:color="FF0000"/>
        </w:rPr>
        <w:t>税项目、集体福利或个人消费</w:t>
      </w:r>
      <w:r>
        <w:t>等</w:t>
      </w:r>
    </w:p>
    <w:p>
      <w:pPr>
        <w:pStyle w:val="6"/>
        <w:spacing w:before="2"/>
      </w:pPr>
      <w:r>
        <w:t>即使取得的增值税专用发票上已注明增值税进项税额，该</w:t>
      </w:r>
      <w:r>
        <w:rPr>
          <w:color w:val="FF0000"/>
          <w:u w:val="double" w:color="FF0000"/>
        </w:rPr>
        <w:t>税额也不得从销项税额中抵扣</w:t>
      </w:r>
      <w:r>
        <w:t>。</w:t>
      </w:r>
    </w:p>
    <w:p>
      <w:pPr>
        <w:spacing w:after="0"/>
        <w:sectPr>
          <w:pgSz w:w="11910" w:h="16160"/>
          <w:pgMar w:top="1680" w:right="360" w:bottom="860" w:left="760" w:header="0" w:footer="548" w:gutter="0"/>
        </w:sectPr>
      </w:pPr>
    </w:p>
    <w:p>
      <w:pPr>
        <w:pStyle w:val="6"/>
        <w:spacing w:before="1"/>
        <w:ind w:left="0"/>
        <w:rPr>
          <w:sz w:val="14"/>
        </w:rPr>
      </w:pPr>
    </w:p>
    <w:tbl>
      <w:tblPr>
        <w:tblStyle w:val="10"/>
        <w:tblW w:w="0" w:type="auto"/>
        <w:tblInd w:w="7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69"/>
        <w:gridCol w:w="4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0" w:hRule="atLeast"/>
        </w:trPr>
        <w:tc>
          <w:tcPr>
            <w:tcW w:w="4569" w:type="dxa"/>
          </w:tcPr>
          <w:p>
            <w:pPr>
              <w:pStyle w:val="14"/>
              <w:spacing w:before="68" w:line="304" w:lineRule="auto"/>
              <w:ind w:left="507" w:right="1850"/>
              <w:rPr>
                <w:sz w:val="20"/>
              </w:rPr>
            </w:pPr>
            <w:r>
              <w:rPr>
                <w:sz w:val="20"/>
              </w:rPr>
              <w:t>①取得增值税专用发票时借：原材料等</w:t>
            </w:r>
          </w:p>
          <w:p>
            <w:pPr>
              <w:pStyle w:val="14"/>
              <w:spacing w:before="2" w:line="304" w:lineRule="auto"/>
              <w:ind w:left="908" w:right="1250"/>
              <w:rPr>
                <w:sz w:val="20"/>
              </w:rPr>
            </w:pPr>
            <w:r>
              <w:rPr>
                <w:sz w:val="20"/>
              </w:rPr>
              <w:t>应交税费—待认证进项税额贷：银行存款等</w:t>
            </w:r>
          </w:p>
        </w:tc>
        <w:tc>
          <w:tcPr>
            <w:tcW w:w="4486" w:type="dxa"/>
          </w:tcPr>
          <w:p>
            <w:pPr>
              <w:pStyle w:val="14"/>
              <w:spacing w:before="68"/>
              <w:ind w:left="508"/>
              <w:rPr>
                <w:sz w:val="20"/>
              </w:rPr>
            </w:pPr>
            <w:r>
              <w:rPr>
                <w:sz w:val="20"/>
              </w:rPr>
              <w:t>②经税务机关认证后不可抵扣</w:t>
            </w:r>
          </w:p>
          <w:p>
            <w:pPr>
              <w:pStyle w:val="14"/>
              <w:spacing w:before="70" w:line="304" w:lineRule="auto"/>
              <w:ind w:left="906" w:right="368" w:hanging="399"/>
              <w:rPr>
                <w:sz w:val="20"/>
              </w:rPr>
            </w:pPr>
            <w:r>
              <w:rPr>
                <w:sz w:val="20"/>
              </w:rPr>
              <w:t>借：应交税费—应交增值税（进项税额） 贷：应交税费—待认证进项税额</w:t>
            </w:r>
          </w:p>
          <w:p>
            <w:pPr>
              <w:pStyle w:val="14"/>
              <w:spacing w:before="2"/>
              <w:ind w:left="508"/>
              <w:rPr>
                <w:sz w:val="20"/>
              </w:rPr>
            </w:pPr>
            <w:r>
              <w:rPr>
                <w:sz w:val="20"/>
              </w:rPr>
              <w:t>借：原材料等</w:t>
            </w:r>
          </w:p>
          <w:p>
            <w:pPr>
              <w:pStyle w:val="14"/>
              <w:spacing w:before="70" w:line="236" w:lineRule="exact"/>
              <w:ind w:left="508"/>
              <w:rPr>
                <w:sz w:val="20"/>
              </w:rPr>
            </w:pPr>
            <w:r>
              <w:rPr>
                <w:spacing w:val="-5"/>
                <w:sz w:val="20"/>
              </w:rPr>
              <w:t>贷：应交税费—应交增值税</w:t>
            </w:r>
            <w:r>
              <w:rPr>
                <w:sz w:val="20"/>
              </w:rPr>
              <w:t>（进项税额转出</w:t>
            </w:r>
            <w:r>
              <w:rPr>
                <w:spacing w:val="-12"/>
                <w:sz w:val="20"/>
              </w:rPr>
              <w:t>）</w:t>
            </w:r>
          </w:p>
        </w:tc>
      </w:tr>
    </w:tbl>
    <w:p>
      <w:pPr>
        <w:pStyle w:val="5"/>
        <w:numPr>
          <w:ilvl w:val="0"/>
          <w:numId w:val="86"/>
        </w:numPr>
        <w:tabs>
          <w:tab w:val="left" w:pos="1225"/>
        </w:tabs>
        <w:spacing w:before="70" w:after="0" w:line="240" w:lineRule="auto"/>
        <w:ind w:left="1224" w:right="0" w:hanging="502"/>
        <w:jc w:val="left"/>
      </w:pPr>
      <w:r>
        <w:t>进项税额转出</w:t>
      </w:r>
    </w:p>
    <w:p>
      <w:pPr>
        <w:pStyle w:val="6"/>
      </w:pPr>
      <w:r>
        <w:t>企业已</w:t>
      </w:r>
      <w:r>
        <w:rPr>
          <w:color w:val="FF0000"/>
          <w:u w:val="double" w:color="FF0000"/>
        </w:rPr>
        <w:t>单独确认进项税额的购进货物、加工修理修配劳务或者服务、无形资产或者不动产</w:t>
      </w:r>
      <w:r>
        <w:t>但其事后改变用途</w:t>
      </w:r>
    </w:p>
    <w:p>
      <w:pPr>
        <w:pStyle w:val="6"/>
        <w:spacing w:before="68" w:line="304" w:lineRule="auto"/>
        <w:ind w:left="322" w:right="761"/>
      </w:pPr>
      <w:r>
        <w:rPr>
          <w:w w:val="99"/>
        </w:rPr>
        <w:t>（</w:t>
      </w:r>
      <w:r>
        <w:rPr>
          <w:spacing w:val="1"/>
          <w:w w:val="99"/>
        </w:rPr>
        <w:t>如用于</w:t>
      </w:r>
      <w:r>
        <w:rPr>
          <w:color w:val="FF0000"/>
          <w:w w:val="99"/>
          <w:u w:val="double" w:color="FF0000"/>
        </w:rPr>
        <w:t>简易计税方法计税项目、免征增值税项目、非增值税应税项目</w:t>
      </w:r>
      <w:r>
        <w:rPr>
          <w:w w:val="99"/>
        </w:rPr>
        <w:t>等</w:t>
      </w:r>
      <w:r>
        <w:rPr>
          <w:spacing w:val="-99"/>
          <w:w w:val="99"/>
        </w:rPr>
        <w:t>）</w:t>
      </w:r>
      <w:r>
        <w:rPr>
          <w:w w:val="99"/>
        </w:rPr>
        <w:t>，或</w:t>
      </w:r>
      <w:r>
        <w:rPr>
          <w:color w:val="FF0000"/>
          <w:w w:val="99"/>
          <w:u w:val="double" w:color="FF0000"/>
        </w:rPr>
        <w:t>发生非正常损失</w:t>
      </w:r>
      <w:r>
        <w:rPr>
          <w:w w:val="99"/>
        </w:rPr>
        <w:t>，原已计入进项</w:t>
      </w:r>
      <w:r>
        <w:t>税额、待抵扣进项税额或待认证进项税额，按照现行增值税制度规定不得从销项税额中抵扣。</w:t>
      </w:r>
    </w:p>
    <w:p>
      <w:pPr>
        <w:pStyle w:val="6"/>
        <w:spacing w:before="2" w:line="304" w:lineRule="auto"/>
        <w:ind w:left="322" w:right="763" w:firstLine="400"/>
      </w:pPr>
      <w:r>
        <w:rPr>
          <w:spacing w:val="-9"/>
          <w:w w:val="99"/>
        </w:rPr>
        <w:t>这里所说的“非正常损失”，根据现行增值税制度规定，是指</w:t>
      </w:r>
      <w:r>
        <w:rPr>
          <w:color w:val="FF0000"/>
          <w:w w:val="99"/>
          <w:u w:val="double" w:color="FF0000"/>
        </w:rPr>
        <w:t>因管理不善造成货物被盗、丢失、霉烂变质，</w:t>
      </w:r>
      <w:r>
        <w:rPr>
          <w:color w:val="FF0000"/>
          <w:spacing w:val="-200"/>
          <w:w w:val="99"/>
          <w:u w:val="double" w:color="FF0000"/>
        </w:rPr>
        <w:t>以</w:t>
      </w:r>
      <w:r>
        <w:rPr>
          <w:color w:val="FF0000"/>
          <w:u w:val="double" w:color="FF0000"/>
        </w:rPr>
        <w:t>及因违反法律法规造成货物或者不动产被依法没收、销毁、拆除的情形</w:t>
      </w:r>
      <w:r>
        <w:t>。</w:t>
      </w:r>
    </w:p>
    <w:p>
      <w:pPr>
        <w:pStyle w:val="6"/>
        <w:spacing w:before="1" w:line="304" w:lineRule="auto"/>
        <w:ind w:left="1123" w:right="5462" w:hanging="401"/>
      </w:pPr>
      <w:r>
        <w:t>借：待处理财产损溢（管理不善造成的非正常损失） 应付职工薪酬（用于集体福利）</w:t>
      </w:r>
    </w:p>
    <w:p>
      <w:pPr>
        <w:pStyle w:val="6"/>
        <w:spacing w:before="0" w:line="304" w:lineRule="auto"/>
        <w:ind w:left="1123" w:right="7260"/>
      </w:pPr>
      <w:r>
        <w:t>固定资产（简易计税项目） 无形资产（免征项目）</w:t>
      </w:r>
    </w:p>
    <w:p>
      <w:pPr>
        <w:pStyle w:val="6"/>
        <w:spacing w:before="2" w:line="304" w:lineRule="auto"/>
        <w:ind w:left="1522" w:right="5661" w:hanging="399"/>
      </w:pPr>
      <w:r>
        <w:t>贷：应交税费—应交增值税（进项税额转出） 应交税费—待抵扣进项税额</w:t>
      </w:r>
    </w:p>
    <w:p>
      <w:pPr>
        <w:spacing w:before="2" w:line="304" w:lineRule="auto"/>
        <w:ind w:left="723" w:right="6861" w:firstLine="799"/>
        <w:jc w:val="left"/>
        <w:rPr>
          <w:b/>
          <w:sz w:val="20"/>
        </w:rPr>
      </w:pPr>
      <w:r>
        <w:rPr>
          <w:sz w:val="20"/>
        </w:rPr>
        <w:t>应交税费—待认证进项税额</w:t>
      </w:r>
      <w:r>
        <w:rPr>
          <w:b/>
          <w:sz w:val="20"/>
        </w:rPr>
        <w:t>3.销售等业务的账务处理</w:t>
      </w:r>
    </w:p>
    <w:p>
      <w:pPr>
        <w:pStyle w:val="13"/>
        <w:numPr>
          <w:ilvl w:val="0"/>
          <w:numId w:val="87"/>
        </w:numPr>
        <w:tabs>
          <w:tab w:val="left" w:pos="1224"/>
        </w:tabs>
        <w:spacing w:before="0" w:after="0" w:line="304" w:lineRule="auto"/>
        <w:ind w:left="723" w:right="1562" w:firstLine="0"/>
        <w:jc w:val="left"/>
        <w:rPr>
          <w:sz w:val="20"/>
        </w:rPr>
      </w:pPr>
      <w:r>
        <w:rPr>
          <w:w w:val="95"/>
          <w:sz w:val="20"/>
        </w:rPr>
        <w:t>企业销售货物、提供加工修理修配劳务、销售服务、无形资产或不动产，</w:t>
      </w:r>
      <w:r>
        <w:rPr>
          <w:color w:val="FF0000"/>
          <w:w w:val="95"/>
          <w:sz w:val="20"/>
          <w:u w:val="double" w:color="FF0000"/>
        </w:rPr>
        <w:t>纳税义务已发生</w:t>
      </w:r>
      <w:r>
        <w:rPr>
          <w:w w:val="95"/>
          <w:sz w:val="20"/>
        </w:rPr>
        <w:t xml:space="preserve">：   </w:t>
      </w:r>
      <w:r>
        <w:rPr>
          <w:sz w:val="20"/>
        </w:rPr>
        <w:t>借：应收账款/银行存款等</w:t>
      </w:r>
    </w:p>
    <w:p>
      <w:pPr>
        <w:pStyle w:val="6"/>
        <w:spacing w:before="1" w:line="304" w:lineRule="auto"/>
        <w:ind w:left="1522" w:right="5261" w:hanging="399"/>
      </w:pPr>
      <w:r>
        <w:t>贷：主营业务收入/其他业务收入/</w:t>
      </w:r>
      <w:r>
        <w:rPr>
          <w:spacing w:val="-2"/>
        </w:rPr>
        <w:t>固定资产清理等</w:t>
      </w:r>
      <w:r>
        <w:rPr>
          <w:w w:val="99"/>
        </w:rPr>
        <w:t>应交税费一增（</w:t>
      </w:r>
      <w:r>
        <w:rPr>
          <w:spacing w:val="2"/>
          <w:w w:val="99"/>
        </w:rPr>
        <w:t>销</w:t>
      </w:r>
      <w:r>
        <w:rPr>
          <w:spacing w:val="-99"/>
          <w:w w:val="99"/>
        </w:rPr>
        <w:t>）</w:t>
      </w:r>
      <w:r>
        <w:rPr>
          <w:w w:val="99"/>
        </w:rPr>
        <w:t>（一般计税方法）</w:t>
      </w:r>
    </w:p>
    <w:p>
      <w:pPr>
        <w:pStyle w:val="6"/>
        <w:spacing w:before="2"/>
        <w:ind w:left="1522"/>
      </w:pPr>
      <w:r>
        <w:t>应交税费一简易计税（简易计税方法）</w:t>
      </w:r>
    </w:p>
    <w:p>
      <w:pPr>
        <w:pStyle w:val="6"/>
      </w:pPr>
      <w:r>
        <w:t>销售货物发生销售退回的，根据税务机关开具的红字增值税专用发票做相反的分录。</w:t>
      </w:r>
    </w:p>
    <w:p>
      <w:pPr>
        <w:pStyle w:val="13"/>
        <w:numPr>
          <w:ilvl w:val="0"/>
          <w:numId w:val="87"/>
        </w:numPr>
        <w:tabs>
          <w:tab w:val="left" w:pos="1224"/>
        </w:tabs>
        <w:spacing w:before="68" w:after="0" w:line="304" w:lineRule="auto"/>
        <w:ind w:left="322" w:right="761" w:firstLine="400"/>
        <w:jc w:val="left"/>
        <w:rPr>
          <w:sz w:val="20"/>
        </w:rPr>
      </w:pPr>
      <w:r>
        <w:rPr>
          <w:w w:val="95"/>
          <w:sz w:val="20"/>
        </w:rPr>
        <w:t>企业销售货物、提供加工修理修配劳务、销售服务、无形资产或不动产，</w:t>
      </w:r>
      <w:r>
        <w:rPr>
          <w:color w:val="FF0000"/>
          <w:w w:val="95"/>
          <w:sz w:val="20"/>
          <w:u w:val="double" w:color="FF0000"/>
        </w:rPr>
        <w:t>会计上收入或利得确认时点</w:t>
      </w:r>
      <w:r>
        <w:rPr>
          <w:color w:val="FF0000"/>
          <w:spacing w:val="-199"/>
          <w:w w:val="95"/>
          <w:sz w:val="20"/>
          <w:u w:val="double" w:color="FF0000"/>
        </w:rPr>
        <w:t>先</w:t>
      </w:r>
      <w:r>
        <w:rPr>
          <w:color w:val="FF0000"/>
          <w:spacing w:val="161"/>
          <w:w w:val="95"/>
          <w:sz w:val="20"/>
          <w:u w:val="double" w:color="FF0000"/>
        </w:rPr>
        <w:t xml:space="preserve"> </w:t>
      </w:r>
      <w:r>
        <w:rPr>
          <w:color w:val="FF0000"/>
          <w:sz w:val="20"/>
          <w:u w:val="double" w:color="FF0000"/>
        </w:rPr>
        <w:t>于增值税纳税义务发生时点的</w:t>
      </w:r>
      <w:r>
        <w:rPr>
          <w:sz w:val="20"/>
        </w:rPr>
        <w:t>：</w:t>
      </w:r>
    </w:p>
    <w:p>
      <w:pPr>
        <w:pStyle w:val="6"/>
        <w:spacing w:before="2"/>
      </w:pPr>
      <w:r>
        <w:t>借：应收账款/银行存款等</w:t>
      </w:r>
    </w:p>
    <w:p>
      <w:pPr>
        <w:pStyle w:val="6"/>
        <w:spacing w:line="304" w:lineRule="auto"/>
        <w:ind w:left="1522" w:right="5261" w:hanging="399"/>
      </w:pPr>
      <w:r>
        <w:t>贷：主营业务收入/其他业务收入/固定资产清理等应交税费一待转销项税额</w:t>
      </w:r>
    </w:p>
    <w:p>
      <w:pPr>
        <w:pStyle w:val="6"/>
        <w:spacing w:before="2"/>
      </w:pPr>
      <w:r>
        <w:t>实际发生纳税义务时：</w:t>
      </w:r>
    </w:p>
    <w:p>
      <w:pPr>
        <w:pStyle w:val="6"/>
        <w:spacing w:before="68"/>
      </w:pPr>
      <w:r>
        <w:rPr>
          <w:w w:val="95"/>
        </w:rPr>
        <w:t>借：应交税费一待转销项税额</w:t>
      </w:r>
    </w:p>
    <w:p>
      <w:pPr>
        <w:pStyle w:val="6"/>
        <w:spacing w:line="304" w:lineRule="auto"/>
        <w:ind w:left="1522" w:right="6062" w:hanging="399"/>
      </w:pPr>
      <w:r>
        <w:t>贷：应交税费—应交增值税（销项税额</w:t>
      </w:r>
      <w:r>
        <w:rPr>
          <w:spacing w:val="-11"/>
        </w:rPr>
        <w:t xml:space="preserve">） </w:t>
      </w:r>
      <w:r>
        <w:t>应交税费—简易计税</w:t>
      </w:r>
    </w:p>
    <w:p>
      <w:pPr>
        <w:pStyle w:val="13"/>
        <w:numPr>
          <w:ilvl w:val="0"/>
          <w:numId w:val="87"/>
        </w:numPr>
        <w:tabs>
          <w:tab w:val="left" w:pos="1224"/>
        </w:tabs>
        <w:spacing w:before="2" w:after="0" w:line="304" w:lineRule="auto"/>
        <w:ind w:left="322" w:right="761" w:firstLine="400"/>
        <w:jc w:val="left"/>
        <w:rPr>
          <w:sz w:val="20"/>
        </w:rPr>
      </w:pPr>
      <w:r>
        <w:rPr>
          <w:w w:val="95"/>
          <w:sz w:val="20"/>
        </w:rPr>
        <w:t>企业销售货物、提供加工修理修配劳务、销售服务、无形资产或不动产，</w:t>
      </w:r>
      <w:r>
        <w:rPr>
          <w:color w:val="FF0000"/>
          <w:w w:val="95"/>
          <w:sz w:val="20"/>
          <w:u w:val="double" w:color="FF0000"/>
        </w:rPr>
        <w:t>增值税纳税义务发生时点早</w:t>
      </w:r>
      <w:r>
        <w:rPr>
          <w:color w:val="FF0000"/>
          <w:spacing w:val="-199"/>
          <w:w w:val="95"/>
          <w:sz w:val="20"/>
          <w:u w:val="double" w:color="FF0000"/>
        </w:rPr>
        <w:t>于</w:t>
      </w:r>
      <w:r>
        <w:rPr>
          <w:color w:val="FF0000"/>
          <w:spacing w:val="161"/>
          <w:w w:val="95"/>
          <w:sz w:val="20"/>
          <w:u w:val="double" w:color="FF0000"/>
        </w:rPr>
        <w:t xml:space="preserve"> </w:t>
      </w:r>
      <w:r>
        <w:rPr>
          <w:color w:val="FF0000"/>
          <w:sz w:val="20"/>
          <w:u w:val="double" w:color="FF0000"/>
        </w:rPr>
        <w:t>按照国家统一的会计制度确认收入或利得的时点的</w:t>
      </w:r>
      <w:r>
        <w:rPr>
          <w:sz w:val="20"/>
        </w:rPr>
        <w:t>：</w:t>
      </w:r>
    </w:p>
    <w:p>
      <w:pPr>
        <w:pStyle w:val="6"/>
        <w:spacing w:before="2"/>
      </w:pPr>
      <w:r>
        <w:t>借：应收账款</w:t>
      </w:r>
    </w:p>
    <w:p>
      <w:pPr>
        <w:pStyle w:val="6"/>
        <w:spacing w:before="68"/>
        <w:ind w:left="1123"/>
      </w:pPr>
      <w:r>
        <w:t>贷：应交税费—应交增值税（销项税额）</w:t>
      </w:r>
    </w:p>
    <w:p>
      <w:pPr>
        <w:spacing w:after="0"/>
        <w:sectPr>
          <w:pgSz w:w="11910" w:h="16160"/>
          <w:pgMar w:top="1680" w:right="360" w:bottom="860" w:left="760" w:header="0" w:footer="548" w:gutter="0"/>
        </w:sectPr>
      </w:pPr>
    </w:p>
    <w:p>
      <w:pPr>
        <w:pStyle w:val="6"/>
        <w:spacing w:before="11"/>
        <w:ind w:left="0"/>
        <w:rPr>
          <w:sz w:val="13"/>
        </w:rPr>
      </w:pPr>
    </w:p>
    <w:p>
      <w:pPr>
        <w:pStyle w:val="6"/>
        <w:spacing w:before="71" w:line="304" w:lineRule="auto"/>
        <w:ind w:right="7461" w:firstLine="799"/>
      </w:pPr>
      <w:r>
        <w:rPr>
          <w:spacing w:val="-2"/>
        </w:rPr>
        <w:t>应交税费—简易计税</w:t>
      </w:r>
      <w:r>
        <w:t>确认收入时：</w:t>
      </w:r>
    </w:p>
    <w:p>
      <w:pPr>
        <w:pStyle w:val="6"/>
        <w:spacing w:before="2"/>
      </w:pPr>
      <w:r>
        <w:rPr>
          <w:w w:val="95"/>
        </w:rPr>
        <w:t>借：应收账款</w:t>
      </w:r>
    </w:p>
    <w:p>
      <w:pPr>
        <w:pStyle w:val="6"/>
        <w:ind w:left="1123"/>
      </w:pPr>
      <w:r>
        <w:t>贷：主营业务收入/其他业务收入</w:t>
      </w:r>
    </w:p>
    <w:p>
      <w:pPr>
        <w:pStyle w:val="13"/>
        <w:numPr>
          <w:ilvl w:val="0"/>
          <w:numId w:val="87"/>
        </w:numPr>
        <w:tabs>
          <w:tab w:val="left" w:pos="1224"/>
        </w:tabs>
        <w:spacing w:before="70" w:after="0" w:line="240" w:lineRule="auto"/>
        <w:ind w:left="1223" w:right="0" w:hanging="501"/>
        <w:jc w:val="left"/>
        <w:rPr>
          <w:sz w:val="20"/>
        </w:rPr>
      </w:pPr>
      <w:r>
        <w:rPr>
          <w:sz w:val="20"/>
        </w:rPr>
        <w:t>视同销售</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38"/>
        <w:gridCol w:w="3570"/>
        <w:gridCol w:w="3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38" w:type="dxa"/>
          </w:tcPr>
          <w:p>
            <w:pPr>
              <w:pStyle w:val="14"/>
              <w:spacing w:before="70" w:line="236" w:lineRule="exact"/>
              <w:ind w:left="1447" w:right="1041"/>
              <w:jc w:val="center"/>
              <w:rPr>
                <w:sz w:val="20"/>
              </w:rPr>
            </w:pPr>
            <w:r>
              <w:rPr>
                <w:sz w:val="20"/>
              </w:rPr>
              <w:t>情形</w:t>
            </w:r>
          </w:p>
        </w:tc>
        <w:tc>
          <w:tcPr>
            <w:tcW w:w="3570" w:type="dxa"/>
          </w:tcPr>
          <w:p>
            <w:pPr>
              <w:pStyle w:val="14"/>
              <w:spacing w:before="70" w:line="236" w:lineRule="exact"/>
              <w:ind w:left="763" w:right="357"/>
              <w:jc w:val="center"/>
              <w:rPr>
                <w:sz w:val="20"/>
              </w:rPr>
            </w:pPr>
            <w:r>
              <w:rPr>
                <w:sz w:val="20"/>
              </w:rPr>
              <w:t>自产、委托加工收回的货物</w:t>
            </w:r>
          </w:p>
        </w:tc>
        <w:tc>
          <w:tcPr>
            <w:tcW w:w="3874" w:type="dxa"/>
          </w:tcPr>
          <w:p>
            <w:pPr>
              <w:pStyle w:val="14"/>
              <w:spacing w:before="70" w:line="236" w:lineRule="exact"/>
              <w:ind w:right="1227"/>
              <w:jc w:val="right"/>
              <w:rPr>
                <w:sz w:val="20"/>
              </w:rPr>
            </w:pPr>
            <w:r>
              <w:rPr>
                <w:w w:val="95"/>
                <w:sz w:val="20"/>
              </w:rPr>
              <w:t>外购的货物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938" w:type="dxa"/>
          </w:tcPr>
          <w:p>
            <w:pPr>
              <w:pStyle w:val="14"/>
              <w:spacing w:before="70" w:line="236" w:lineRule="exact"/>
              <w:ind w:left="507"/>
              <w:rPr>
                <w:sz w:val="20"/>
              </w:rPr>
            </w:pPr>
            <w:r>
              <w:rPr>
                <w:sz w:val="20"/>
              </w:rPr>
              <w:t>简易计税项目、免税项目</w:t>
            </w:r>
          </w:p>
        </w:tc>
        <w:tc>
          <w:tcPr>
            <w:tcW w:w="3570" w:type="dxa"/>
          </w:tcPr>
          <w:p>
            <w:pPr>
              <w:pStyle w:val="14"/>
              <w:spacing w:before="70" w:line="236" w:lineRule="exact"/>
              <w:ind w:left="763" w:right="354"/>
              <w:jc w:val="center"/>
              <w:rPr>
                <w:sz w:val="20"/>
              </w:rPr>
            </w:pPr>
            <w:r>
              <w:rPr>
                <w:sz w:val="20"/>
              </w:rPr>
              <w:t>不得抵扣</w:t>
            </w:r>
          </w:p>
        </w:tc>
        <w:tc>
          <w:tcPr>
            <w:tcW w:w="3874" w:type="dxa"/>
          </w:tcPr>
          <w:p>
            <w:pPr>
              <w:pStyle w:val="14"/>
              <w:spacing w:before="70" w:line="236" w:lineRule="exact"/>
              <w:ind w:right="1325"/>
              <w:jc w:val="right"/>
              <w:rPr>
                <w:sz w:val="20"/>
              </w:rPr>
            </w:pPr>
            <w:r>
              <w:rPr>
                <w:w w:val="95"/>
                <w:sz w:val="20"/>
              </w:rPr>
              <w:t>不得抵扣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938" w:type="dxa"/>
          </w:tcPr>
          <w:p>
            <w:pPr>
              <w:pStyle w:val="14"/>
              <w:spacing w:before="70" w:line="236" w:lineRule="exact"/>
              <w:ind w:left="507"/>
              <w:rPr>
                <w:sz w:val="20"/>
              </w:rPr>
            </w:pPr>
            <w:r>
              <w:rPr>
                <w:sz w:val="20"/>
              </w:rPr>
              <w:t>集体福利或个人消费</w:t>
            </w:r>
          </w:p>
        </w:tc>
        <w:tc>
          <w:tcPr>
            <w:tcW w:w="3570" w:type="dxa"/>
          </w:tcPr>
          <w:p>
            <w:pPr>
              <w:pStyle w:val="14"/>
              <w:spacing w:before="70" w:line="236" w:lineRule="exact"/>
              <w:ind w:left="763" w:right="354"/>
              <w:jc w:val="center"/>
              <w:rPr>
                <w:sz w:val="20"/>
              </w:rPr>
            </w:pPr>
            <w:r>
              <w:rPr>
                <w:sz w:val="20"/>
              </w:rPr>
              <w:t>视同销售</w:t>
            </w:r>
          </w:p>
        </w:tc>
        <w:tc>
          <w:tcPr>
            <w:tcW w:w="3874" w:type="dxa"/>
          </w:tcPr>
          <w:p>
            <w:pPr>
              <w:pStyle w:val="14"/>
              <w:spacing w:before="70" w:line="236" w:lineRule="exact"/>
              <w:ind w:right="1325"/>
              <w:jc w:val="right"/>
              <w:rPr>
                <w:sz w:val="20"/>
              </w:rPr>
            </w:pPr>
            <w:r>
              <w:rPr>
                <w:w w:val="95"/>
                <w:sz w:val="20"/>
              </w:rPr>
              <w:t>不得抵扣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938" w:type="dxa"/>
          </w:tcPr>
          <w:p>
            <w:pPr>
              <w:pStyle w:val="14"/>
              <w:spacing w:before="70" w:line="236" w:lineRule="exact"/>
              <w:ind w:left="507"/>
              <w:rPr>
                <w:sz w:val="20"/>
              </w:rPr>
            </w:pPr>
            <w:r>
              <w:rPr>
                <w:sz w:val="20"/>
              </w:rPr>
              <w:t>投资、分配、捐赠</w:t>
            </w:r>
          </w:p>
        </w:tc>
        <w:tc>
          <w:tcPr>
            <w:tcW w:w="3570" w:type="dxa"/>
          </w:tcPr>
          <w:p>
            <w:pPr>
              <w:pStyle w:val="14"/>
              <w:spacing w:before="70" w:line="236" w:lineRule="exact"/>
              <w:ind w:left="763" w:right="354"/>
              <w:jc w:val="center"/>
              <w:rPr>
                <w:sz w:val="20"/>
              </w:rPr>
            </w:pPr>
            <w:r>
              <w:rPr>
                <w:sz w:val="20"/>
              </w:rPr>
              <w:t>视同销售</w:t>
            </w:r>
          </w:p>
        </w:tc>
        <w:tc>
          <w:tcPr>
            <w:tcW w:w="3874" w:type="dxa"/>
          </w:tcPr>
          <w:p>
            <w:pPr>
              <w:pStyle w:val="14"/>
              <w:spacing w:before="70" w:line="236" w:lineRule="exact"/>
              <w:ind w:right="1325"/>
              <w:jc w:val="right"/>
              <w:rPr>
                <w:sz w:val="20"/>
              </w:rPr>
            </w:pPr>
            <w:r>
              <w:rPr>
                <w:w w:val="95"/>
                <w:sz w:val="20"/>
              </w:rPr>
              <w:t>视同销售</w:t>
            </w:r>
          </w:p>
        </w:tc>
      </w:tr>
    </w:tbl>
    <w:p>
      <w:pPr>
        <w:pStyle w:val="6"/>
        <w:spacing w:line="302" w:lineRule="auto"/>
        <w:ind w:left="1124" w:right="4961" w:hanging="401"/>
      </w:pPr>
      <w:r>
        <w:t>借：长期股权投资/应付职工薪酬/利润分配/营业外支出等贷：应交税费一应交增值税（销项税额）</w:t>
      </w:r>
    </w:p>
    <w:p>
      <w:pPr>
        <w:pStyle w:val="6"/>
        <w:spacing w:before="5"/>
        <w:ind w:left="1522"/>
      </w:pPr>
      <w:r>
        <w:t>应交税费—简易计税</w:t>
      </w:r>
    </w:p>
    <w:p>
      <w:pPr>
        <w:pStyle w:val="6"/>
      </w:pPr>
      <w:r>
        <mc:AlternateContent>
          <mc:Choice Requires="wps">
            <w:drawing>
              <wp:anchor distT="0" distB="0" distL="114300" distR="114300" simplePos="0" relativeHeight="15838208" behindDoc="0" locked="0" layoutInCell="1" allowOverlap="1">
                <wp:simplePos x="0" y="0"/>
                <wp:positionH relativeFrom="page">
                  <wp:posOffset>1068705</wp:posOffset>
                </wp:positionH>
                <wp:positionV relativeFrom="paragraph">
                  <wp:posOffset>182880</wp:posOffset>
                </wp:positionV>
                <wp:extent cx="251460" cy="5715"/>
                <wp:effectExtent l="0" t="0" r="0" b="0"/>
                <wp:wrapNone/>
                <wp:docPr id="149" name="任意多边形 21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12" o:spid="_x0000_s1026" o:spt="100" style="position:absolute;left:0pt;margin-left:84.15pt;margin-top:14.4pt;height:0.45pt;width:19.8pt;mso-position-horizontal-relative:page;z-index:15838208;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D+n&#10;NPPZAAAACQEAAA8AAAAAAAAAAQAgAAAAIgAAAGRycy9kb3ducmV2LnhtbFBLAQIUABQAAAAIAIdO&#10;4kBk4M4Y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】视同销售行为的账务处理分为两类：①只确认税，不确认收入②既确认税，又确认收入</w:t>
      </w:r>
    </w:p>
    <w:tbl>
      <w:tblPr>
        <w:tblStyle w:val="10"/>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14"/>
        <w:gridCol w:w="3396"/>
        <w:gridCol w:w="29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814" w:type="dxa"/>
          </w:tcPr>
          <w:p>
            <w:pPr>
              <w:pStyle w:val="14"/>
              <w:spacing w:before="69" w:line="237" w:lineRule="exact"/>
              <w:ind w:left="1686" w:right="1278"/>
              <w:jc w:val="center"/>
              <w:rPr>
                <w:sz w:val="20"/>
              </w:rPr>
            </w:pPr>
            <w:r>
              <w:rPr>
                <w:sz w:val="20"/>
              </w:rPr>
              <w:t>货物来源</w:t>
            </w:r>
          </w:p>
        </w:tc>
        <w:tc>
          <w:tcPr>
            <w:tcW w:w="3396" w:type="dxa"/>
          </w:tcPr>
          <w:p>
            <w:pPr>
              <w:pStyle w:val="14"/>
              <w:spacing w:before="69" w:line="237" w:lineRule="exact"/>
              <w:ind w:left="973" w:right="568"/>
              <w:jc w:val="center"/>
              <w:rPr>
                <w:sz w:val="20"/>
              </w:rPr>
            </w:pPr>
            <w:r>
              <w:rPr>
                <w:sz w:val="20"/>
              </w:rPr>
              <w:t>用途</w:t>
            </w:r>
          </w:p>
        </w:tc>
        <w:tc>
          <w:tcPr>
            <w:tcW w:w="2949" w:type="dxa"/>
          </w:tcPr>
          <w:p>
            <w:pPr>
              <w:pStyle w:val="14"/>
              <w:spacing w:before="69" w:line="237" w:lineRule="exact"/>
              <w:ind w:left="1452" w:right="1046"/>
              <w:jc w:val="center"/>
              <w:rPr>
                <w:sz w:val="20"/>
              </w:rPr>
            </w:pPr>
            <w:r>
              <w:rPr>
                <w:sz w:val="20"/>
              </w:rPr>
              <w:t>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3814" w:type="dxa"/>
          </w:tcPr>
          <w:p>
            <w:pPr>
              <w:pStyle w:val="14"/>
              <w:spacing w:before="69"/>
              <w:ind w:left="506"/>
              <w:rPr>
                <w:sz w:val="20"/>
              </w:rPr>
            </w:pPr>
            <w:r>
              <w:rPr>
                <w:sz w:val="20"/>
              </w:rPr>
              <w:t>自产、委托加工、购进</w:t>
            </w:r>
          </w:p>
        </w:tc>
        <w:tc>
          <w:tcPr>
            <w:tcW w:w="3396" w:type="dxa"/>
          </w:tcPr>
          <w:p>
            <w:pPr>
              <w:pStyle w:val="14"/>
              <w:spacing w:before="69"/>
              <w:ind w:left="976" w:right="568"/>
              <w:jc w:val="center"/>
              <w:rPr>
                <w:sz w:val="20"/>
              </w:rPr>
            </w:pPr>
            <w:r>
              <w:rPr>
                <w:sz w:val="20"/>
              </w:rPr>
              <w:t>无偿赠送</w:t>
            </w:r>
          </w:p>
        </w:tc>
        <w:tc>
          <w:tcPr>
            <w:tcW w:w="2949" w:type="dxa"/>
          </w:tcPr>
          <w:p>
            <w:pPr>
              <w:pStyle w:val="14"/>
              <w:spacing w:before="8" w:line="326" w:lineRule="exact"/>
              <w:ind w:left="1274" w:right="765" w:hanging="101"/>
              <w:rPr>
                <w:sz w:val="20"/>
              </w:rPr>
            </w:pPr>
            <w:r>
              <w:rPr>
                <w:sz w:val="20"/>
              </w:rPr>
              <w:t>不确认收入只确认税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3814" w:type="dxa"/>
          </w:tcPr>
          <w:p>
            <w:pPr>
              <w:pStyle w:val="14"/>
              <w:spacing w:before="61" w:line="237" w:lineRule="exact"/>
              <w:ind w:left="506"/>
              <w:rPr>
                <w:sz w:val="20"/>
              </w:rPr>
            </w:pPr>
            <w:r>
              <w:rPr>
                <w:sz w:val="20"/>
              </w:rPr>
              <w:t>自产、委托加工</w:t>
            </w:r>
          </w:p>
        </w:tc>
        <w:tc>
          <w:tcPr>
            <w:tcW w:w="3396" w:type="dxa"/>
          </w:tcPr>
          <w:p>
            <w:pPr>
              <w:pStyle w:val="14"/>
              <w:spacing w:before="61" w:line="237" w:lineRule="exact"/>
              <w:ind w:left="978" w:right="568"/>
              <w:jc w:val="center"/>
              <w:rPr>
                <w:sz w:val="20"/>
              </w:rPr>
            </w:pPr>
            <w:r>
              <w:rPr>
                <w:sz w:val="20"/>
              </w:rPr>
              <w:t>集体福利、个人消费</w:t>
            </w:r>
          </w:p>
        </w:tc>
        <w:tc>
          <w:tcPr>
            <w:tcW w:w="2949" w:type="dxa"/>
            <w:vMerge w:val="restart"/>
          </w:tcPr>
          <w:p>
            <w:pPr>
              <w:pStyle w:val="14"/>
              <w:spacing w:line="326" w:lineRule="exact"/>
              <w:ind w:left="1372" w:right="863" w:hanging="99"/>
              <w:rPr>
                <w:sz w:val="20"/>
              </w:rPr>
            </w:pPr>
            <w:r>
              <w:rPr>
                <w:sz w:val="20"/>
              </w:rPr>
              <w:t>确认收入确认税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814" w:type="dxa"/>
          </w:tcPr>
          <w:p>
            <w:pPr>
              <w:pStyle w:val="14"/>
              <w:spacing w:before="69" w:line="237" w:lineRule="exact"/>
              <w:ind w:left="506"/>
              <w:rPr>
                <w:sz w:val="20"/>
              </w:rPr>
            </w:pPr>
            <w:r>
              <w:rPr>
                <w:sz w:val="20"/>
              </w:rPr>
              <w:t>自产、委托加工、购进</w:t>
            </w:r>
          </w:p>
        </w:tc>
        <w:tc>
          <w:tcPr>
            <w:tcW w:w="3396" w:type="dxa"/>
          </w:tcPr>
          <w:p>
            <w:pPr>
              <w:pStyle w:val="14"/>
              <w:spacing w:before="69" w:line="237" w:lineRule="exact"/>
              <w:ind w:left="973" w:right="568"/>
              <w:jc w:val="center"/>
              <w:rPr>
                <w:sz w:val="20"/>
              </w:rPr>
            </w:pPr>
            <w:r>
              <w:rPr>
                <w:sz w:val="20"/>
              </w:rPr>
              <w:t>投资、分配</w:t>
            </w:r>
          </w:p>
        </w:tc>
        <w:tc>
          <w:tcPr>
            <w:tcW w:w="2949" w:type="dxa"/>
            <w:vMerge w:val="continue"/>
            <w:tcBorders>
              <w:top w:val="nil"/>
            </w:tcBorders>
          </w:tcPr>
          <w:p>
            <w:pPr>
              <w:rPr>
                <w:sz w:val="2"/>
                <w:szCs w:val="2"/>
              </w:rPr>
            </w:pPr>
          </w:p>
        </w:tc>
      </w:tr>
    </w:tbl>
    <w:p>
      <w:pPr>
        <w:pStyle w:val="6"/>
        <w:spacing w:before="69"/>
      </w:pPr>
      <w:r>
        <mc:AlternateContent>
          <mc:Choice Requires="wps">
            <w:drawing>
              <wp:anchor distT="0" distB="0" distL="114300" distR="114300" simplePos="0" relativeHeight="15838208" behindDoc="0" locked="0" layoutInCell="1" allowOverlap="1">
                <wp:simplePos x="0" y="0"/>
                <wp:positionH relativeFrom="page">
                  <wp:posOffset>3910330</wp:posOffset>
                </wp:positionH>
                <wp:positionV relativeFrom="paragraph">
                  <wp:posOffset>192405</wp:posOffset>
                </wp:positionV>
                <wp:extent cx="3185160" cy="3775075"/>
                <wp:effectExtent l="0" t="0" r="0" b="0"/>
                <wp:wrapNone/>
                <wp:docPr id="148" name="文本框 213"/>
                <wp:cNvGraphicFramePr/>
                <a:graphic xmlns:a="http://schemas.openxmlformats.org/drawingml/2006/main">
                  <a:graphicData uri="http://schemas.microsoft.com/office/word/2010/wordprocessingShape">
                    <wps:wsp>
                      <wps:cNvSpPr txBox="1"/>
                      <wps:spPr>
                        <a:xfrm>
                          <a:off x="0" y="0"/>
                          <a:ext cx="3185160" cy="3775075"/>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0"/>
                              <w:gridCol w:w="1063"/>
                              <w:gridCol w:w="682"/>
                              <w:gridCol w:w="2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60" w:type="dxa"/>
                                </w:tcPr>
                                <w:p>
                                  <w:pPr>
                                    <w:pStyle w:val="14"/>
                                    <w:spacing w:before="9" w:line="326" w:lineRule="exact"/>
                                    <w:ind w:left="129" w:right="119"/>
                                    <w:rPr>
                                      <w:sz w:val="20"/>
                                    </w:rPr>
                                  </w:pPr>
                                  <w:r>
                                    <w:rPr>
                                      <w:sz w:val="20"/>
                                    </w:rPr>
                                    <w:t>项目</w:t>
                                  </w:r>
                                </w:p>
                              </w:tc>
                              <w:tc>
                                <w:tcPr>
                                  <w:tcW w:w="1063" w:type="dxa"/>
                                </w:tcPr>
                                <w:p>
                                  <w:pPr>
                                    <w:pStyle w:val="14"/>
                                    <w:spacing w:before="2"/>
                                    <w:rPr>
                                      <w:sz w:val="18"/>
                                    </w:rPr>
                                  </w:pPr>
                                </w:p>
                                <w:p>
                                  <w:pPr>
                                    <w:pStyle w:val="14"/>
                                    <w:ind w:left="107" w:right="103"/>
                                    <w:jc w:val="center"/>
                                    <w:rPr>
                                      <w:sz w:val="20"/>
                                    </w:rPr>
                                  </w:pPr>
                                  <w:r>
                                    <w:rPr>
                                      <w:sz w:val="20"/>
                                    </w:rPr>
                                    <w:t>用途</w:t>
                                  </w:r>
                                </w:p>
                              </w:tc>
                              <w:tc>
                                <w:tcPr>
                                  <w:tcW w:w="682" w:type="dxa"/>
                                </w:tcPr>
                                <w:p>
                                  <w:pPr>
                                    <w:pStyle w:val="14"/>
                                    <w:spacing w:before="2"/>
                                    <w:rPr>
                                      <w:sz w:val="18"/>
                                    </w:rPr>
                                  </w:pPr>
                                </w:p>
                                <w:p>
                                  <w:pPr>
                                    <w:pStyle w:val="14"/>
                                    <w:ind w:left="140"/>
                                    <w:rPr>
                                      <w:sz w:val="20"/>
                                    </w:rPr>
                                  </w:pPr>
                                  <w:r>
                                    <w:rPr>
                                      <w:sz w:val="20"/>
                                    </w:rPr>
                                    <w:t>性质</w:t>
                                  </w:r>
                                </w:p>
                              </w:tc>
                              <w:tc>
                                <w:tcPr>
                                  <w:tcW w:w="2796" w:type="dxa"/>
                                </w:tcPr>
                                <w:p>
                                  <w:pPr>
                                    <w:pStyle w:val="14"/>
                                    <w:spacing w:before="2"/>
                                    <w:rPr>
                                      <w:sz w:val="18"/>
                                    </w:rPr>
                                  </w:pPr>
                                </w:p>
                                <w:p>
                                  <w:pPr>
                                    <w:pStyle w:val="14"/>
                                    <w:ind w:left="1198"/>
                                    <w:rPr>
                                      <w:sz w:val="20"/>
                                    </w:rPr>
                                  </w:pPr>
                                  <w:r>
                                    <w:rPr>
                                      <w:sz w:val="20"/>
                                    </w:rPr>
                                    <w:t>账务处理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460" w:type="dxa"/>
                                  <w:vMerge w:val="restart"/>
                                </w:tcPr>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spacing w:before="7"/>
                                    <w:rPr>
                                      <w:sz w:val="24"/>
                                    </w:rPr>
                                  </w:pPr>
                                </w:p>
                                <w:p>
                                  <w:pPr>
                                    <w:pStyle w:val="14"/>
                                    <w:spacing w:line="304" w:lineRule="auto"/>
                                    <w:ind w:left="129" w:right="119"/>
                                    <w:rPr>
                                      <w:sz w:val="20"/>
                                    </w:rPr>
                                  </w:pPr>
                                  <w:r>
                                    <w:rPr>
                                      <w:sz w:val="20"/>
                                    </w:rPr>
                                    <w:t>外购</w:t>
                                  </w:r>
                                </w:p>
                              </w:tc>
                              <w:tc>
                                <w:tcPr>
                                  <w:tcW w:w="1063" w:type="dxa"/>
                                </w:tcPr>
                                <w:p>
                                  <w:pPr>
                                    <w:pStyle w:val="14"/>
                                    <w:spacing w:before="2" w:line="324" w:lineRule="exact"/>
                                    <w:ind w:left="231" w:right="220"/>
                                    <w:rPr>
                                      <w:sz w:val="20"/>
                                    </w:rPr>
                                  </w:pPr>
                                  <w:r>
                                    <w:rPr>
                                      <w:sz w:val="20"/>
                                    </w:rPr>
                                    <w:t>用于固定资产</w:t>
                                  </w:r>
                                </w:p>
                              </w:tc>
                              <w:tc>
                                <w:tcPr>
                                  <w:tcW w:w="682" w:type="dxa"/>
                                </w:tcPr>
                                <w:p>
                                  <w:pPr>
                                    <w:pStyle w:val="14"/>
                                    <w:spacing w:before="2" w:line="324" w:lineRule="exact"/>
                                    <w:ind w:left="140" w:right="131"/>
                                    <w:rPr>
                                      <w:sz w:val="20"/>
                                    </w:rPr>
                                  </w:pPr>
                                  <w:r>
                                    <w:rPr>
                                      <w:sz w:val="20"/>
                                    </w:rPr>
                                    <w:t>一般业务</w:t>
                                  </w:r>
                                </w:p>
                              </w:tc>
                              <w:tc>
                                <w:tcPr>
                                  <w:tcW w:w="2796" w:type="dxa"/>
                                </w:tcPr>
                                <w:p>
                                  <w:pPr>
                                    <w:pStyle w:val="14"/>
                                    <w:spacing w:before="61"/>
                                    <w:ind w:left="108"/>
                                    <w:rPr>
                                      <w:sz w:val="20"/>
                                    </w:rPr>
                                  </w:pPr>
                                  <w:r>
                                    <w:rPr>
                                      <w:sz w:val="20"/>
                                    </w:rPr>
                                    <w:t>借：在建工程</w:t>
                                  </w:r>
                                </w:p>
                                <w:p>
                                  <w:pPr>
                                    <w:pStyle w:val="14"/>
                                    <w:spacing w:before="68" w:line="238" w:lineRule="exact"/>
                                    <w:ind w:left="506"/>
                                    <w:rPr>
                                      <w:sz w:val="20"/>
                                    </w:rPr>
                                  </w:pPr>
                                  <w:r>
                                    <w:rPr>
                                      <w:sz w:val="20"/>
                                    </w:rPr>
                                    <w:t>贷：原材料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31"/>
                                    <w:ind w:left="107" w:right="103"/>
                                    <w:jc w:val="center"/>
                                    <w:rPr>
                                      <w:sz w:val="20"/>
                                    </w:rPr>
                                  </w:pPr>
                                  <w:r>
                                    <w:rPr>
                                      <w:sz w:val="20"/>
                                    </w:rPr>
                                    <w:t>投资</w:t>
                                  </w:r>
                                </w:p>
                              </w:tc>
                              <w:tc>
                                <w:tcPr>
                                  <w:tcW w:w="682" w:type="dxa"/>
                                </w:tcPr>
                                <w:p>
                                  <w:pPr>
                                    <w:pStyle w:val="14"/>
                                    <w:spacing w:before="6"/>
                                    <w:rPr>
                                      <w:sz w:val="17"/>
                                    </w:rPr>
                                  </w:pPr>
                                </w:p>
                                <w:p>
                                  <w:pPr>
                                    <w:pStyle w:val="14"/>
                                    <w:spacing w:line="304" w:lineRule="auto"/>
                                    <w:ind w:left="140" w:right="131"/>
                                    <w:rPr>
                                      <w:sz w:val="20"/>
                                    </w:rPr>
                                  </w:pPr>
                                  <w:r>
                                    <w:rPr>
                                      <w:sz w:val="20"/>
                                    </w:rPr>
                                    <w:t>视同销售</w:t>
                                  </w:r>
                                </w:p>
                              </w:tc>
                              <w:tc>
                                <w:tcPr>
                                  <w:tcW w:w="2796" w:type="dxa"/>
                                </w:tcPr>
                                <w:p>
                                  <w:pPr>
                                    <w:pStyle w:val="14"/>
                                    <w:spacing w:before="61"/>
                                    <w:ind w:left="108"/>
                                    <w:rPr>
                                      <w:sz w:val="20"/>
                                    </w:rPr>
                                  </w:pPr>
                                  <w:r>
                                    <w:rPr>
                                      <w:sz w:val="20"/>
                                    </w:rPr>
                                    <w:t>借：长期股权投资</w:t>
                                  </w:r>
                                </w:p>
                                <w:p>
                                  <w:pPr>
                                    <w:pStyle w:val="14"/>
                                    <w:spacing w:before="70"/>
                                    <w:ind w:left="506"/>
                                    <w:rPr>
                                      <w:sz w:val="20"/>
                                    </w:rPr>
                                  </w:pPr>
                                  <w:r>
                                    <w:rPr>
                                      <w:sz w:val="20"/>
                                    </w:rPr>
                                    <w:t>贷：其他业务收入</w:t>
                                  </w:r>
                                </w:p>
                                <w:p>
                                  <w:pPr>
                                    <w:pStyle w:val="14"/>
                                    <w:spacing w:before="70" w:line="237" w:lineRule="exact"/>
                                    <w:ind w:left="907"/>
                                    <w:rPr>
                                      <w:sz w:val="20"/>
                                    </w:rPr>
                                  </w:pPr>
                                  <w:r>
                                    <w:rPr>
                                      <w:sz w:val="20"/>
                                    </w:rPr>
                                    <w:t>应交税费—增（销）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4"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39" w:line="304" w:lineRule="auto"/>
                                    <w:ind w:left="130" w:right="121"/>
                                    <w:rPr>
                                      <w:sz w:val="20"/>
                                    </w:rPr>
                                  </w:pPr>
                                  <w:r>
                                    <w:rPr>
                                      <w:sz w:val="20"/>
                                    </w:rPr>
                                    <w:t>集体福利个人消费</w:t>
                                  </w:r>
                                </w:p>
                              </w:tc>
                              <w:tc>
                                <w:tcPr>
                                  <w:tcW w:w="682" w:type="dxa"/>
                                </w:tcPr>
                                <w:p>
                                  <w:pPr>
                                    <w:pStyle w:val="14"/>
                                    <w:spacing w:before="1"/>
                                    <w:rPr>
                                      <w:sz w:val="18"/>
                                    </w:rPr>
                                  </w:pPr>
                                </w:p>
                                <w:p>
                                  <w:pPr>
                                    <w:pStyle w:val="14"/>
                                    <w:spacing w:line="304" w:lineRule="auto"/>
                                    <w:ind w:left="140" w:right="131"/>
                                    <w:jc w:val="both"/>
                                    <w:rPr>
                                      <w:sz w:val="20"/>
                                    </w:rPr>
                                  </w:pPr>
                                  <w:r>
                                    <w:rPr>
                                      <w:sz w:val="20"/>
                                    </w:rPr>
                                    <w:t>进项税额转出</w:t>
                                  </w:r>
                                </w:p>
                              </w:tc>
                              <w:tc>
                                <w:tcPr>
                                  <w:tcW w:w="2796" w:type="dxa"/>
                                </w:tcPr>
                                <w:p>
                                  <w:pPr>
                                    <w:pStyle w:val="14"/>
                                    <w:spacing w:before="69" w:line="304" w:lineRule="auto"/>
                                    <w:ind w:left="506" w:right="1077" w:hanging="399"/>
                                    <w:rPr>
                                      <w:sz w:val="20"/>
                                    </w:rPr>
                                  </w:pPr>
                                  <w:r>
                                    <w:rPr>
                                      <w:sz w:val="20"/>
                                    </w:rPr>
                                    <w:t>借：应付职工薪酬贷：原材料</w:t>
                                  </w:r>
                                </w:p>
                                <w:p>
                                  <w:pPr>
                                    <w:pStyle w:val="14"/>
                                    <w:spacing w:before="2"/>
                                    <w:ind w:left="907"/>
                                    <w:rPr>
                                      <w:sz w:val="20"/>
                                    </w:rPr>
                                  </w:pPr>
                                  <w:r>
                                    <w:rPr>
                                      <w:sz w:val="20"/>
                                    </w:rPr>
                                    <w:t>应交税费—增（进项</w:t>
                                  </w:r>
                                </w:p>
                                <w:p>
                                  <w:pPr>
                                    <w:pStyle w:val="14"/>
                                    <w:spacing w:before="70" w:line="236" w:lineRule="exact"/>
                                    <w:ind w:left="108"/>
                                    <w:rPr>
                                      <w:sz w:val="20"/>
                                    </w:rPr>
                                  </w:pPr>
                                  <w:r>
                                    <w:rPr>
                                      <w:sz w:val="20"/>
                                    </w:rPr>
                                    <w:t>税额转出）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0"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42" w:line="302" w:lineRule="auto"/>
                                    <w:ind w:left="231" w:right="220" w:firstLine="98"/>
                                    <w:rPr>
                                      <w:sz w:val="20"/>
                                    </w:rPr>
                                  </w:pPr>
                                  <w:r>
                                    <w:rPr>
                                      <w:sz w:val="20"/>
                                    </w:rPr>
                                    <w:t>非正常损失</w:t>
                                  </w:r>
                                </w:p>
                              </w:tc>
                              <w:tc>
                                <w:tcPr>
                                  <w:tcW w:w="682" w:type="dxa"/>
                                </w:tcPr>
                                <w:p>
                                  <w:pPr>
                                    <w:pStyle w:val="14"/>
                                    <w:spacing w:before="5"/>
                                    <w:rPr>
                                      <w:sz w:val="18"/>
                                    </w:rPr>
                                  </w:pPr>
                                </w:p>
                                <w:p>
                                  <w:pPr>
                                    <w:pStyle w:val="14"/>
                                    <w:spacing w:line="304" w:lineRule="auto"/>
                                    <w:ind w:left="140" w:right="131"/>
                                    <w:jc w:val="both"/>
                                    <w:rPr>
                                      <w:sz w:val="20"/>
                                    </w:rPr>
                                  </w:pPr>
                                  <w:r>
                                    <w:rPr>
                                      <w:sz w:val="20"/>
                                    </w:rPr>
                                    <w:t>进项税额转出</w:t>
                                  </w:r>
                                </w:p>
                              </w:tc>
                              <w:tc>
                                <w:tcPr>
                                  <w:tcW w:w="2796" w:type="dxa"/>
                                </w:tcPr>
                                <w:p>
                                  <w:pPr>
                                    <w:pStyle w:val="14"/>
                                    <w:spacing w:before="70" w:line="302" w:lineRule="auto"/>
                                    <w:ind w:left="506" w:right="875" w:hanging="399"/>
                                    <w:rPr>
                                      <w:sz w:val="20"/>
                                    </w:rPr>
                                  </w:pPr>
                                  <w:r>
                                    <w:rPr>
                                      <w:sz w:val="20"/>
                                    </w:rPr>
                                    <w:t>借：待处理财产损溢贷：原材料</w:t>
                                  </w:r>
                                </w:p>
                                <w:p>
                                  <w:pPr>
                                    <w:pStyle w:val="14"/>
                                    <w:spacing w:before="5"/>
                                    <w:ind w:left="708"/>
                                    <w:rPr>
                                      <w:sz w:val="20"/>
                                    </w:rPr>
                                  </w:pPr>
                                  <w:r>
                                    <w:rPr>
                                      <w:sz w:val="20"/>
                                    </w:rPr>
                                    <w:t>应交税费—增（进项税</w:t>
                                  </w:r>
                                </w:p>
                                <w:p>
                                  <w:pPr>
                                    <w:pStyle w:val="14"/>
                                    <w:spacing w:before="70" w:line="244" w:lineRule="exact"/>
                                    <w:ind w:left="108"/>
                                    <w:rPr>
                                      <w:sz w:val="20"/>
                                    </w:rPr>
                                  </w:pPr>
                                  <w:r>
                                    <w:rPr>
                                      <w:sz w:val="20"/>
                                    </w:rPr>
                                    <w:t>额转出）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39"/>
                                    <w:ind w:left="109" w:right="103"/>
                                    <w:jc w:val="center"/>
                                    <w:rPr>
                                      <w:sz w:val="20"/>
                                    </w:rPr>
                                  </w:pPr>
                                  <w:r>
                                    <w:rPr>
                                      <w:sz w:val="20"/>
                                    </w:rPr>
                                    <w:t>对外捐赠</w:t>
                                  </w:r>
                                </w:p>
                              </w:tc>
                              <w:tc>
                                <w:tcPr>
                                  <w:tcW w:w="682" w:type="dxa"/>
                                </w:tcPr>
                                <w:p>
                                  <w:pPr>
                                    <w:pStyle w:val="14"/>
                                    <w:spacing w:before="1"/>
                                    <w:rPr>
                                      <w:sz w:val="18"/>
                                    </w:rPr>
                                  </w:pPr>
                                </w:p>
                                <w:p>
                                  <w:pPr>
                                    <w:pStyle w:val="14"/>
                                    <w:spacing w:line="304" w:lineRule="auto"/>
                                    <w:ind w:left="140" w:right="131"/>
                                    <w:rPr>
                                      <w:sz w:val="20"/>
                                    </w:rPr>
                                  </w:pPr>
                                  <w:r>
                                    <w:rPr>
                                      <w:sz w:val="20"/>
                                    </w:rPr>
                                    <w:t>视同销售</w:t>
                                  </w:r>
                                </w:p>
                              </w:tc>
                              <w:tc>
                                <w:tcPr>
                                  <w:tcW w:w="2796" w:type="dxa"/>
                                </w:tcPr>
                                <w:p>
                                  <w:pPr>
                                    <w:pStyle w:val="14"/>
                                    <w:spacing w:before="69" w:line="304" w:lineRule="auto"/>
                                    <w:ind w:left="506" w:right="1276" w:hanging="399"/>
                                    <w:rPr>
                                      <w:sz w:val="20"/>
                                    </w:rPr>
                                  </w:pPr>
                                  <w:r>
                                    <w:rPr>
                                      <w:sz w:val="20"/>
                                    </w:rPr>
                                    <w:t>借：营业外支出贷：原材料</w:t>
                                  </w:r>
                                </w:p>
                                <w:p>
                                  <w:pPr>
                                    <w:pStyle w:val="14"/>
                                    <w:spacing w:before="2" w:line="236" w:lineRule="exact"/>
                                    <w:ind w:left="907"/>
                                    <w:rPr>
                                      <w:sz w:val="20"/>
                                    </w:rPr>
                                  </w:pPr>
                                  <w:r>
                                    <w:rPr>
                                      <w:sz w:val="20"/>
                                    </w:rPr>
                                    <w:t>应交税费—增（销）</w:t>
                                  </w:r>
                                </w:p>
                              </w:tc>
                            </w:tr>
                          </w:tbl>
                          <w:p>
                            <w:pPr>
                              <w:pStyle w:val="6"/>
                              <w:spacing w:before="0"/>
                              <w:ind w:left="0"/>
                            </w:pPr>
                          </w:p>
                        </w:txbxContent>
                      </wps:txbx>
                      <wps:bodyPr lIns="0" tIns="0" rIns="0" bIns="0" upright="1"/>
                    </wps:wsp>
                  </a:graphicData>
                </a:graphic>
              </wp:anchor>
            </w:drawing>
          </mc:Choice>
          <mc:Fallback>
            <w:pict>
              <v:shape id="文本框 213" o:spid="_x0000_s1026" o:spt="202" type="#_x0000_t202" style="position:absolute;left:0pt;margin-left:307.9pt;margin-top:15.15pt;height:297.25pt;width:250.8pt;mso-position-horizontal-relative:page;z-index:15838208;mso-width-relative:page;mso-height-relative:page;" filled="f" stroked="f" coordsize="21600,21600" o:gfxdata="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dw39D2QAAAAsBAAAPAAAA&#10;AAAAAAEAIAAAACIAAABkcnMvZG93bnJldi54bWxQSwECFAAUAAAACACHTuJAp7OSo6IBAAApAwAA&#10;DgAAAAAAAAABACAAAAAo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0"/>
                        <w:gridCol w:w="1063"/>
                        <w:gridCol w:w="682"/>
                        <w:gridCol w:w="2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60" w:type="dxa"/>
                          </w:tcPr>
                          <w:p>
                            <w:pPr>
                              <w:pStyle w:val="14"/>
                              <w:spacing w:before="9" w:line="326" w:lineRule="exact"/>
                              <w:ind w:left="129" w:right="119"/>
                              <w:rPr>
                                <w:sz w:val="20"/>
                              </w:rPr>
                            </w:pPr>
                            <w:r>
                              <w:rPr>
                                <w:sz w:val="20"/>
                              </w:rPr>
                              <w:t>项目</w:t>
                            </w:r>
                          </w:p>
                        </w:tc>
                        <w:tc>
                          <w:tcPr>
                            <w:tcW w:w="1063" w:type="dxa"/>
                          </w:tcPr>
                          <w:p>
                            <w:pPr>
                              <w:pStyle w:val="14"/>
                              <w:spacing w:before="2"/>
                              <w:rPr>
                                <w:sz w:val="18"/>
                              </w:rPr>
                            </w:pPr>
                          </w:p>
                          <w:p>
                            <w:pPr>
                              <w:pStyle w:val="14"/>
                              <w:ind w:left="107" w:right="103"/>
                              <w:jc w:val="center"/>
                              <w:rPr>
                                <w:sz w:val="20"/>
                              </w:rPr>
                            </w:pPr>
                            <w:r>
                              <w:rPr>
                                <w:sz w:val="20"/>
                              </w:rPr>
                              <w:t>用途</w:t>
                            </w:r>
                          </w:p>
                        </w:tc>
                        <w:tc>
                          <w:tcPr>
                            <w:tcW w:w="682" w:type="dxa"/>
                          </w:tcPr>
                          <w:p>
                            <w:pPr>
                              <w:pStyle w:val="14"/>
                              <w:spacing w:before="2"/>
                              <w:rPr>
                                <w:sz w:val="18"/>
                              </w:rPr>
                            </w:pPr>
                          </w:p>
                          <w:p>
                            <w:pPr>
                              <w:pStyle w:val="14"/>
                              <w:ind w:left="140"/>
                              <w:rPr>
                                <w:sz w:val="20"/>
                              </w:rPr>
                            </w:pPr>
                            <w:r>
                              <w:rPr>
                                <w:sz w:val="20"/>
                              </w:rPr>
                              <w:t>性质</w:t>
                            </w:r>
                          </w:p>
                        </w:tc>
                        <w:tc>
                          <w:tcPr>
                            <w:tcW w:w="2796" w:type="dxa"/>
                          </w:tcPr>
                          <w:p>
                            <w:pPr>
                              <w:pStyle w:val="14"/>
                              <w:spacing w:before="2"/>
                              <w:rPr>
                                <w:sz w:val="18"/>
                              </w:rPr>
                            </w:pPr>
                          </w:p>
                          <w:p>
                            <w:pPr>
                              <w:pStyle w:val="14"/>
                              <w:ind w:left="1198"/>
                              <w:rPr>
                                <w:sz w:val="20"/>
                              </w:rPr>
                            </w:pPr>
                            <w:r>
                              <w:rPr>
                                <w:sz w:val="20"/>
                              </w:rPr>
                              <w:t>账务处理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460" w:type="dxa"/>
                            <w:vMerge w:val="restart"/>
                          </w:tcPr>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spacing w:before="7"/>
                              <w:rPr>
                                <w:sz w:val="24"/>
                              </w:rPr>
                            </w:pPr>
                          </w:p>
                          <w:p>
                            <w:pPr>
                              <w:pStyle w:val="14"/>
                              <w:spacing w:line="304" w:lineRule="auto"/>
                              <w:ind w:left="129" w:right="119"/>
                              <w:rPr>
                                <w:sz w:val="20"/>
                              </w:rPr>
                            </w:pPr>
                            <w:r>
                              <w:rPr>
                                <w:sz w:val="20"/>
                              </w:rPr>
                              <w:t>外购</w:t>
                            </w:r>
                          </w:p>
                        </w:tc>
                        <w:tc>
                          <w:tcPr>
                            <w:tcW w:w="1063" w:type="dxa"/>
                          </w:tcPr>
                          <w:p>
                            <w:pPr>
                              <w:pStyle w:val="14"/>
                              <w:spacing w:before="2" w:line="324" w:lineRule="exact"/>
                              <w:ind w:left="231" w:right="220"/>
                              <w:rPr>
                                <w:sz w:val="20"/>
                              </w:rPr>
                            </w:pPr>
                            <w:r>
                              <w:rPr>
                                <w:sz w:val="20"/>
                              </w:rPr>
                              <w:t>用于固定资产</w:t>
                            </w:r>
                          </w:p>
                        </w:tc>
                        <w:tc>
                          <w:tcPr>
                            <w:tcW w:w="682" w:type="dxa"/>
                          </w:tcPr>
                          <w:p>
                            <w:pPr>
                              <w:pStyle w:val="14"/>
                              <w:spacing w:before="2" w:line="324" w:lineRule="exact"/>
                              <w:ind w:left="140" w:right="131"/>
                              <w:rPr>
                                <w:sz w:val="20"/>
                              </w:rPr>
                            </w:pPr>
                            <w:r>
                              <w:rPr>
                                <w:sz w:val="20"/>
                              </w:rPr>
                              <w:t>一般业务</w:t>
                            </w:r>
                          </w:p>
                        </w:tc>
                        <w:tc>
                          <w:tcPr>
                            <w:tcW w:w="2796" w:type="dxa"/>
                          </w:tcPr>
                          <w:p>
                            <w:pPr>
                              <w:pStyle w:val="14"/>
                              <w:spacing w:before="61"/>
                              <w:ind w:left="108"/>
                              <w:rPr>
                                <w:sz w:val="20"/>
                              </w:rPr>
                            </w:pPr>
                            <w:r>
                              <w:rPr>
                                <w:sz w:val="20"/>
                              </w:rPr>
                              <w:t>借：在建工程</w:t>
                            </w:r>
                          </w:p>
                          <w:p>
                            <w:pPr>
                              <w:pStyle w:val="14"/>
                              <w:spacing w:before="68" w:line="238" w:lineRule="exact"/>
                              <w:ind w:left="506"/>
                              <w:rPr>
                                <w:sz w:val="20"/>
                              </w:rPr>
                            </w:pPr>
                            <w:r>
                              <w:rPr>
                                <w:sz w:val="20"/>
                              </w:rPr>
                              <w:t>贷：原材料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1"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31"/>
                              <w:ind w:left="107" w:right="103"/>
                              <w:jc w:val="center"/>
                              <w:rPr>
                                <w:sz w:val="20"/>
                              </w:rPr>
                            </w:pPr>
                            <w:r>
                              <w:rPr>
                                <w:sz w:val="20"/>
                              </w:rPr>
                              <w:t>投资</w:t>
                            </w:r>
                          </w:p>
                        </w:tc>
                        <w:tc>
                          <w:tcPr>
                            <w:tcW w:w="682" w:type="dxa"/>
                          </w:tcPr>
                          <w:p>
                            <w:pPr>
                              <w:pStyle w:val="14"/>
                              <w:spacing w:before="6"/>
                              <w:rPr>
                                <w:sz w:val="17"/>
                              </w:rPr>
                            </w:pPr>
                          </w:p>
                          <w:p>
                            <w:pPr>
                              <w:pStyle w:val="14"/>
                              <w:spacing w:line="304" w:lineRule="auto"/>
                              <w:ind w:left="140" w:right="131"/>
                              <w:rPr>
                                <w:sz w:val="20"/>
                              </w:rPr>
                            </w:pPr>
                            <w:r>
                              <w:rPr>
                                <w:sz w:val="20"/>
                              </w:rPr>
                              <w:t>视同销售</w:t>
                            </w:r>
                          </w:p>
                        </w:tc>
                        <w:tc>
                          <w:tcPr>
                            <w:tcW w:w="2796" w:type="dxa"/>
                          </w:tcPr>
                          <w:p>
                            <w:pPr>
                              <w:pStyle w:val="14"/>
                              <w:spacing w:before="61"/>
                              <w:ind w:left="108"/>
                              <w:rPr>
                                <w:sz w:val="20"/>
                              </w:rPr>
                            </w:pPr>
                            <w:r>
                              <w:rPr>
                                <w:sz w:val="20"/>
                              </w:rPr>
                              <w:t>借：长期股权投资</w:t>
                            </w:r>
                          </w:p>
                          <w:p>
                            <w:pPr>
                              <w:pStyle w:val="14"/>
                              <w:spacing w:before="70"/>
                              <w:ind w:left="506"/>
                              <w:rPr>
                                <w:sz w:val="20"/>
                              </w:rPr>
                            </w:pPr>
                            <w:r>
                              <w:rPr>
                                <w:sz w:val="20"/>
                              </w:rPr>
                              <w:t>贷：其他业务收入</w:t>
                            </w:r>
                          </w:p>
                          <w:p>
                            <w:pPr>
                              <w:pStyle w:val="14"/>
                              <w:spacing w:before="70" w:line="237" w:lineRule="exact"/>
                              <w:ind w:left="907"/>
                              <w:rPr>
                                <w:sz w:val="20"/>
                              </w:rPr>
                            </w:pPr>
                            <w:r>
                              <w:rPr>
                                <w:sz w:val="20"/>
                              </w:rPr>
                              <w:t>应交税费—增（销）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4"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39" w:line="304" w:lineRule="auto"/>
                              <w:ind w:left="130" w:right="121"/>
                              <w:rPr>
                                <w:sz w:val="20"/>
                              </w:rPr>
                            </w:pPr>
                            <w:r>
                              <w:rPr>
                                <w:sz w:val="20"/>
                              </w:rPr>
                              <w:t>集体福利个人消费</w:t>
                            </w:r>
                          </w:p>
                        </w:tc>
                        <w:tc>
                          <w:tcPr>
                            <w:tcW w:w="682" w:type="dxa"/>
                          </w:tcPr>
                          <w:p>
                            <w:pPr>
                              <w:pStyle w:val="14"/>
                              <w:spacing w:before="1"/>
                              <w:rPr>
                                <w:sz w:val="18"/>
                              </w:rPr>
                            </w:pPr>
                          </w:p>
                          <w:p>
                            <w:pPr>
                              <w:pStyle w:val="14"/>
                              <w:spacing w:line="304" w:lineRule="auto"/>
                              <w:ind w:left="140" w:right="131"/>
                              <w:jc w:val="both"/>
                              <w:rPr>
                                <w:sz w:val="20"/>
                              </w:rPr>
                            </w:pPr>
                            <w:r>
                              <w:rPr>
                                <w:sz w:val="20"/>
                              </w:rPr>
                              <w:t>进项税额转出</w:t>
                            </w:r>
                          </w:p>
                        </w:tc>
                        <w:tc>
                          <w:tcPr>
                            <w:tcW w:w="2796" w:type="dxa"/>
                          </w:tcPr>
                          <w:p>
                            <w:pPr>
                              <w:pStyle w:val="14"/>
                              <w:spacing w:before="69" w:line="304" w:lineRule="auto"/>
                              <w:ind w:left="506" w:right="1077" w:hanging="399"/>
                              <w:rPr>
                                <w:sz w:val="20"/>
                              </w:rPr>
                            </w:pPr>
                            <w:r>
                              <w:rPr>
                                <w:sz w:val="20"/>
                              </w:rPr>
                              <w:t>借：应付职工薪酬贷：原材料</w:t>
                            </w:r>
                          </w:p>
                          <w:p>
                            <w:pPr>
                              <w:pStyle w:val="14"/>
                              <w:spacing w:before="2"/>
                              <w:ind w:left="907"/>
                              <w:rPr>
                                <w:sz w:val="20"/>
                              </w:rPr>
                            </w:pPr>
                            <w:r>
                              <w:rPr>
                                <w:sz w:val="20"/>
                              </w:rPr>
                              <w:t>应交税费—增（进项</w:t>
                            </w:r>
                          </w:p>
                          <w:p>
                            <w:pPr>
                              <w:pStyle w:val="14"/>
                              <w:spacing w:before="70" w:line="236" w:lineRule="exact"/>
                              <w:ind w:left="108"/>
                              <w:rPr>
                                <w:sz w:val="20"/>
                              </w:rPr>
                            </w:pPr>
                            <w:r>
                              <w:rPr>
                                <w:sz w:val="20"/>
                              </w:rPr>
                              <w:t>税额转出）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0"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42" w:line="302" w:lineRule="auto"/>
                              <w:ind w:left="231" w:right="220" w:firstLine="98"/>
                              <w:rPr>
                                <w:sz w:val="20"/>
                              </w:rPr>
                            </w:pPr>
                            <w:r>
                              <w:rPr>
                                <w:sz w:val="20"/>
                              </w:rPr>
                              <w:t>非正常损失</w:t>
                            </w:r>
                          </w:p>
                        </w:tc>
                        <w:tc>
                          <w:tcPr>
                            <w:tcW w:w="682" w:type="dxa"/>
                          </w:tcPr>
                          <w:p>
                            <w:pPr>
                              <w:pStyle w:val="14"/>
                              <w:spacing w:before="5"/>
                              <w:rPr>
                                <w:sz w:val="18"/>
                              </w:rPr>
                            </w:pPr>
                          </w:p>
                          <w:p>
                            <w:pPr>
                              <w:pStyle w:val="14"/>
                              <w:spacing w:line="304" w:lineRule="auto"/>
                              <w:ind w:left="140" w:right="131"/>
                              <w:jc w:val="both"/>
                              <w:rPr>
                                <w:sz w:val="20"/>
                              </w:rPr>
                            </w:pPr>
                            <w:r>
                              <w:rPr>
                                <w:sz w:val="20"/>
                              </w:rPr>
                              <w:t>进项税额转出</w:t>
                            </w:r>
                          </w:p>
                        </w:tc>
                        <w:tc>
                          <w:tcPr>
                            <w:tcW w:w="2796" w:type="dxa"/>
                          </w:tcPr>
                          <w:p>
                            <w:pPr>
                              <w:pStyle w:val="14"/>
                              <w:spacing w:before="70" w:line="302" w:lineRule="auto"/>
                              <w:ind w:left="506" w:right="875" w:hanging="399"/>
                              <w:rPr>
                                <w:sz w:val="20"/>
                              </w:rPr>
                            </w:pPr>
                            <w:r>
                              <w:rPr>
                                <w:sz w:val="20"/>
                              </w:rPr>
                              <w:t>借：待处理财产损溢贷：原材料</w:t>
                            </w:r>
                          </w:p>
                          <w:p>
                            <w:pPr>
                              <w:pStyle w:val="14"/>
                              <w:spacing w:before="5"/>
                              <w:ind w:left="708"/>
                              <w:rPr>
                                <w:sz w:val="20"/>
                              </w:rPr>
                            </w:pPr>
                            <w:r>
                              <w:rPr>
                                <w:sz w:val="20"/>
                              </w:rPr>
                              <w:t>应交税费—增（进项税</w:t>
                            </w:r>
                          </w:p>
                          <w:p>
                            <w:pPr>
                              <w:pStyle w:val="14"/>
                              <w:spacing w:before="70" w:line="244" w:lineRule="exact"/>
                              <w:ind w:left="108"/>
                              <w:rPr>
                                <w:sz w:val="20"/>
                              </w:rPr>
                            </w:pPr>
                            <w:r>
                              <w:rPr>
                                <w:sz w:val="20"/>
                              </w:rPr>
                              <w:t>额转出）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460" w:type="dxa"/>
                            <w:vMerge w:val="continue"/>
                            <w:tcBorders>
                              <w:top w:val="nil"/>
                            </w:tcBorders>
                          </w:tcPr>
                          <w:p>
                            <w:pPr>
                              <w:rPr>
                                <w:sz w:val="2"/>
                                <w:szCs w:val="2"/>
                              </w:rPr>
                            </w:pPr>
                          </w:p>
                        </w:tc>
                        <w:tc>
                          <w:tcPr>
                            <w:tcW w:w="1063" w:type="dxa"/>
                          </w:tcPr>
                          <w:p>
                            <w:pPr>
                              <w:pStyle w:val="14"/>
                              <w:rPr>
                                <w:sz w:val="20"/>
                              </w:rPr>
                            </w:pPr>
                          </w:p>
                          <w:p>
                            <w:pPr>
                              <w:pStyle w:val="14"/>
                              <w:spacing w:before="139"/>
                              <w:ind w:left="109" w:right="103"/>
                              <w:jc w:val="center"/>
                              <w:rPr>
                                <w:sz w:val="20"/>
                              </w:rPr>
                            </w:pPr>
                            <w:r>
                              <w:rPr>
                                <w:sz w:val="20"/>
                              </w:rPr>
                              <w:t>对外捐赠</w:t>
                            </w:r>
                          </w:p>
                        </w:tc>
                        <w:tc>
                          <w:tcPr>
                            <w:tcW w:w="682" w:type="dxa"/>
                          </w:tcPr>
                          <w:p>
                            <w:pPr>
                              <w:pStyle w:val="14"/>
                              <w:spacing w:before="1"/>
                              <w:rPr>
                                <w:sz w:val="18"/>
                              </w:rPr>
                            </w:pPr>
                          </w:p>
                          <w:p>
                            <w:pPr>
                              <w:pStyle w:val="14"/>
                              <w:spacing w:line="304" w:lineRule="auto"/>
                              <w:ind w:left="140" w:right="131"/>
                              <w:rPr>
                                <w:sz w:val="20"/>
                              </w:rPr>
                            </w:pPr>
                            <w:r>
                              <w:rPr>
                                <w:sz w:val="20"/>
                              </w:rPr>
                              <w:t>视同销售</w:t>
                            </w:r>
                          </w:p>
                        </w:tc>
                        <w:tc>
                          <w:tcPr>
                            <w:tcW w:w="2796" w:type="dxa"/>
                          </w:tcPr>
                          <w:p>
                            <w:pPr>
                              <w:pStyle w:val="14"/>
                              <w:spacing w:before="69" w:line="304" w:lineRule="auto"/>
                              <w:ind w:left="506" w:right="1276" w:hanging="399"/>
                              <w:rPr>
                                <w:sz w:val="20"/>
                              </w:rPr>
                            </w:pPr>
                            <w:r>
                              <w:rPr>
                                <w:sz w:val="20"/>
                              </w:rPr>
                              <w:t>借：营业外支出贷：原材料</w:t>
                            </w:r>
                          </w:p>
                          <w:p>
                            <w:pPr>
                              <w:pStyle w:val="14"/>
                              <w:spacing w:before="2" w:line="236" w:lineRule="exact"/>
                              <w:ind w:left="907"/>
                              <w:rPr>
                                <w:sz w:val="20"/>
                              </w:rPr>
                            </w:pPr>
                            <w:r>
                              <w:rPr>
                                <w:sz w:val="20"/>
                              </w:rPr>
                              <w:t>应交税费—增（销）</w:t>
                            </w:r>
                          </w:p>
                        </w:tc>
                      </w:tr>
                    </w:tbl>
                    <w:p>
                      <w:pPr>
                        <w:pStyle w:val="6"/>
                        <w:spacing w:before="0"/>
                        <w:ind w:left="0"/>
                      </w:pPr>
                    </w:p>
                  </w:txbxContent>
                </v:textbox>
              </v:shape>
            </w:pict>
          </mc:Fallback>
        </mc:AlternateContent>
      </w:r>
      <w:r>
        <w:t>一般纳税人的视同销售和进项税额转出：</w:t>
      </w:r>
    </w:p>
    <w:p>
      <w:pPr>
        <w:spacing w:after="0"/>
        <w:sectPr>
          <w:pgSz w:w="11910" w:h="16160"/>
          <w:pgMar w:top="1680" w:right="360" w:bottom="860" w:left="760" w:header="0" w:footer="548" w:gutter="0"/>
        </w:sectPr>
      </w:pPr>
    </w:p>
    <w:p>
      <w:pPr>
        <w:pStyle w:val="6"/>
        <w:spacing w:before="1"/>
        <w:ind w:left="0"/>
        <w:rPr>
          <w:sz w:val="14"/>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14"/>
        <w:gridCol w:w="1069"/>
        <w:gridCol w:w="654"/>
        <w:gridCol w:w="28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14" w:type="dxa"/>
          </w:tcPr>
          <w:p>
            <w:pPr>
              <w:pStyle w:val="14"/>
              <w:spacing w:before="7" w:line="326" w:lineRule="exact"/>
              <w:ind w:left="107" w:right="95"/>
              <w:rPr>
                <w:sz w:val="20"/>
              </w:rPr>
            </w:pPr>
            <w:r>
              <w:rPr>
                <w:sz w:val="20"/>
              </w:rPr>
              <w:t>来源</w:t>
            </w:r>
          </w:p>
        </w:tc>
        <w:tc>
          <w:tcPr>
            <w:tcW w:w="1069" w:type="dxa"/>
          </w:tcPr>
          <w:p>
            <w:pPr>
              <w:pStyle w:val="14"/>
              <w:rPr>
                <w:sz w:val="18"/>
              </w:rPr>
            </w:pPr>
          </w:p>
          <w:p>
            <w:pPr>
              <w:pStyle w:val="14"/>
              <w:ind w:right="324"/>
              <w:jc w:val="right"/>
              <w:rPr>
                <w:sz w:val="20"/>
              </w:rPr>
            </w:pPr>
            <w:r>
              <w:rPr>
                <w:w w:val="95"/>
                <w:sz w:val="20"/>
              </w:rPr>
              <w:t>用途</w:t>
            </w:r>
          </w:p>
        </w:tc>
        <w:tc>
          <w:tcPr>
            <w:tcW w:w="654" w:type="dxa"/>
          </w:tcPr>
          <w:p>
            <w:pPr>
              <w:pStyle w:val="14"/>
              <w:rPr>
                <w:sz w:val="18"/>
              </w:rPr>
            </w:pPr>
          </w:p>
          <w:p>
            <w:pPr>
              <w:pStyle w:val="14"/>
              <w:ind w:left="126"/>
              <w:rPr>
                <w:sz w:val="20"/>
              </w:rPr>
            </w:pPr>
            <w:r>
              <w:rPr>
                <w:sz w:val="20"/>
              </w:rPr>
              <w:t>性质</w:t>
            </w:r>
          </w:p>
        </w:tc>
        <w:tc>
          <w:tcPr>
            <w:tcW w:w="2850" w:type="dxa"/>
          </w:tcPr>
          <w:p>
            <w:pPr>
              <w:pStyle w:val="14"/>
              <w:rPr>
                <w:sz w:val="18"/>
              </w:rPr>
            </w:pPr>
          </w:p>
          <w:p>
            <w:pPr>
              <w:pStyle w:val="14"/>
              <w:ind w:left="1004" w:right="995"/>
              <w:jc w:val="center"/>
              <w:rPr>
                <w:sz w:val="20"/>
              </w:rPr>
            </w:pPr>
            <w:r>
              <w:rPr>
                <w:sz w:val="20"/>
              </w:rPr>
              <w:t>账务处理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414" w:type="dxa"/>
            <w:vMerge w:val="restart"/>
          </w:tcPr>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rPr>
                <w:sz w:val="20"/>
              </w:rPr>
            </w:pPr>
          </w:p>
          <w:p>
            <w:pPr>
              <w:pStyle w:val="14"/>
              <w:spacing w:before="2"/>
              <w:rPr>
                <w:sz w:val="19"/>
              </w:rPr>
            </w:pPr>
          </w:p>
          <w:p>
            <w:pPr>
              <w:pStyle w:val="14"/>
              <w:spacing w:line="302" w:lineRule="auto"/>
              <w:ind w:left="107" w:right="95"/>
              <w:rPr>
                <w:sz w:val="20"/>
              </w:rPr>
            </w:pPr>
            <w:r>
              <w:rPr>
                <w:sz w:val="20"/>
              </w:rPr>
              <w:t>自产</w:t>
            </w:r>
          </w:p>
        </w:tc>
        <w:tc>
          <w:tcPr>
            <w:tcW w:w="1069" w:type="dxa"/>
          </w:tcPr>
          <w:p>
            <w:pPr>
              <w:pStyle w:val="14"/>
              <w:spacing w:line="326" w:lineRule="exact"/>
              <w:ind w:left="108" w:right="348"/>
              <w:rPr>
                <w:sz w:val="20"/>
              </w:rPr>
            </w:pPr>
            <w:r>
              <w:rPr>
                <w:sz w:val="20"/>
              </w:rPr>
              <w:t>用于固定资产</w:t>
            </w:r>
          </w:p>
        </w:tc>
        <w:tc>
          <w:tcPr>
            <w:tcW w:w="654" w:type="dxa"/>
          </w:tcPr>
          <w:p>
            <w:pPr>
              <w:pStyle w:val="14"/>
              <w:spacing w:line="326" w:lineRule="exact"/>
              <w:ind w:left="126" w:right="117"/>
              <w:rPr>
                <w:sz w:val="20"/>
              </w:rPr>
            </w:pPr>
            <w:r>
              <w:rPr>
                <w:sz w:val="20"/>
              </w:rPr>
              <w:t>一般业务</w:t>
            </w:r>
          </w:p>
        </w:tc>
        <w:tc>
          <w:tcPr>
            <w:tcW w:w="2850" w:type="dxa"/>
          </w:tcPr>
          <w:p>
            <w:pPr>
              <w:pStyle w:val="14"/>
              <w:spacing w:before="61"/>
              <w:ind w:left="108"/>
              <w:rPr>
                <w:sz w:val="20"/>
              </w:rPr>
            </w:pPr>
            <w:r>
              <w:rPr>
                <w:sz w:val="20"/>
              </w:rPr>
              <w:t>借：在建工程</w:t>
            </w:r>
          </w:p>
          <w:p>
            <w:pPr>
              <w:pStyle w:val="14"/>
              <w:spacing w:before="70" w:line="237" w:lineRule="exact"/>
              <w:ind w:left="506"/>
              <w:rPr>
                <w:sz w:val="20"/>
              </w:rPr>
            </w:pPr>
            <w:r>
              <w:rPr>
                <w:sz w:val="20"/>
              </w:rPr>
              <w:t>贷：库存商品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414" w:type="dxa"/>
            <w:vMerge w:val="continue"/>
            <w:tcBorders>
              <w:top w:val="nil"/>
            </w:tcBorders>
          </w:tcPr>
          <w:p>
            <w:pPr>
              <w:rPr>
                <w:sz w:val="2"/>
                <w:szCs w:val="2"/>
              </w:rPr>
            </w:pPr>
          </w:p>
        </w:tc>
        <w:tc>
          <w:tcPr>
            <w:tcW w:w="1069" w:type="dxa"/>
          </w:tcPr>
          <w:p>
            <w:pPr>
              <w:pStyle w:val="14"/>
              <w:rPr>
                <w:sz w:val="20"/>
              </w:rPr>
            </w:pPr>
          </w:p>
          <w:p>
            <w:pPr>
              <w:pStyle w:val="14"/>
              <w:spacing w:before="132"/>
              <w:ind w:right="324"/>
              <w:jc w:val="right"/>
              <w:rPr>
                <w:sz w:val="20"/>
              </w:rPr>
            </w:pPr>
            <w:r>
              <w:rPr>
                <w:w w:val="95"/>
                <w:sz w:val="20"/>
              </w:rPr>
              <w:t>投资</w:t>
            </w:r>
          </w:p>
        </w:tc>
        <w:tc>
          <w:tcPr>
            <w:tcW w:w="654" w:type="dxa"/>
          </w:tcPr>
          <w:p>
            <w:pPr>
              <w:pStyle w:val="14"/>
              <w:spacing w:before="7"/>
              <w:rPr>
                <w:sz w:val="17"/>
              </w:rPr>
            </w:pPr>
          </w:p>
          <w:p>
            <w:pPr>
              <w:pStyle w:val="14"/>
              <w:spacing w:line="304" w:lineRule="auto"/>
              <w:ind w:left="126" w:right="117"/>
              <w:rPr>
                <w:sz w:val="20"/>
              </w:rPr>
            </w:pPr>
            <w:r>
              <w:rPr>
                <w:sz w:val="20"/>
              </w:rPr>
              <w:t>视同销售</w:t>
            </w:r>
          </w:p>
        </w:tc>
        <w:tc>
          <w:tcPr>
            <w:tcW w:w="2850" w:type="dxa"/>
          </w:tcPr>
          <w:p>
            <w:pPr>
              <w:pStyle w:val="14"/>
              <w:spacing w:before="62"/>
              <w:ind w:left="108"/>
              <w:rPr>
                <w:sz w:val="20"/>
              </w:rPr>
            </w:pPr>
            <w:r>
              <w:rPr>
                <w:sz w:val="20"/>
              </w:rPr>
              <w:t>借：长期股权投资</w:t>
            </w:r>
          </w:p>
          <w:p>
            <w:pPr>
              <w:pStyle w:val="14"/>
              <w:spacing w:before="70"/>
              <w:ind w:left="506"/>
              <w:rPr>
                <w:sz w:val="20"/>
              </w:rPr>
            </w:pPr>
            <w:r>
              <w:rPr>
                <w:sz w:val="20"/>
              </w:rPr>
              <w:t>贷：主营业务收入</w:t>
            </w:r>
          </w:p>
          <w:p>
            <w:pPr>
              <w:pStyle w:val="14"/>
              <w:spacing w:before="70" w:line="236" w:lineRule="exact"/>
              <w:ind w:left="907"/>
              <w:rPr>
                <w:sz w:val="20"/>
              </w:rPr>
            </w:pPr>
            <w:r>
              <w:rPr>
                <w:sz w:val="20"/>
              </w:rPr>
              <w:t>应交税费—增（销）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8" w:hRule="atLeast"/>
        </w:trPr>
        <w:tc>
          <w:tcPr>
            <w:tcW w:w="414" w:type="dxa"/>
            <w:vMerge w:val="continue"/>
            <w:tcBorders>
              <w:top w:val="nil"/>
            </w:tcBorders>
          </w:tcPr>
          <w:p>
            <w:pPr>
              <w:rPr>
                <w:sz w:val="2"/>
                <w:szCs w:val="2"/>
              </w:rPr>
            </w:pPr>
          </w:p>
        </w:tc>
        <w:tc>
          <w:tcPr>
            <w:tcW w:w="1069" w:type="dxa"/>
          </w:tcPr>
          <w:p>
            <w:pPr>
              <w:pStyle w:val="14"/>
              <w:spacing w:before="2"/>
              <w:rPr>
                <w:sz w:val="18"/>
              </w:rPr>
            </w:pPr>
          </w:p>
          <w:p>
            <w:pPr>
              <w:pStyle w:val="14"/>
              <w:spacing w:line="302" w:lineRule="auto"/>
              <w:ind w:left="134" w:right="123"/>
              <w:rPr>
                <w:sz w:val="20"/>
              </w:rPr>
            </w:pPr>
            <w:r>
              <w:rPr>
                <w:sz w:val="20"/>
              </w:rPr>
              <w:t>集体福利个人消费</w:t>
            </w:r>
          </w:p>
        </w:tc>
        <w:tc>
          <w:tcPr>
            <w:tcW w:w="654" w:type="dxa"/>
          </w:tcPr>
          <w:p>
            <w:pPr>
              <w:pStyle w:val="14"/>
              <w:spacing w:before="2"/>
              <w:rPr>
                <w:sz w:val="18"/>
              </w:rPr>
            </w:pPr>
          </w:p>
          <w:p>
            <w:pPr>
              <w:pStyle w:val="14"/>
              <w:spacing w:line="302" w:lineRule="auto"/>
              <w:ind w:left="126" w:right="117"/>
              <w:rPr>
                <w:sz w:val="20"/>
              </w:rPr>
            </w:pPr>
            <w:r>
              <w:rPr>
                <w:sz w:val="20"/>
              </w:rPr>
              <w:t>视同销售</w:t>
            </w:r>
          </w:p>
        </w:tc>
        <w:tc>
          <w:tcPr>
            <w:tcW w:w="2850" w:type="dxa"/>
          </w:tcPr>
          <w:p>
            <w:pPr>
              <w:pStyle w:val="14"/>
              <w:spacing w:before="70"/>
              <w:ind w:left="108"/>
              <w:rPr>
                <w:sz w:val="20"/>
              </w:rPr>
            </w:pPr>
            <w:r>
              <w:rPr>
                <w:sz w:val="20"/>
              </w:rPr>
              <w:t>借：应付职工薪酬</w:t>
            </w:r>
          </w:p>
          <w:p>
            <w:pPr>
              <w:pStyle w:val="14"/>
              <w:spacing w:before="70"/>
              <w:ind w:left="506"/>
              <w:rPr>
                <w:sz w:val="20"/>
              </w:rPr>
            </w:pPr>
            <w:r>
              <w:rPr>
                <w:sz w:val="20"/>
              </w:rPr>
              <w:t>贷：主营业务收入</w:t>
            </w:r>
          </w:p>
          <w:p>
            <w:pPr>
              <w:pStyle w:val="14"/>
              <w:spacing w:before="67" w:line="238" w:lineRule="exact"/>
              <w:ind w:left="907"/>
              <w:rPr>
                <w:sz w:val="20"/>
              </w:rPr>
            </w:pPr>
            <w:r>
              <w:rPr>
                <w:sz w:val="20"/>
              </w:rPr>
              <w:t>应交税费—增（销）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414" w:type="dxa"/>
            <w:vMerge w:val="continue"/>
            <w:tcBorders>
              <w:top w:val="nil"/>
            </w:tcBorders>
          </w:tcPr>
          <w:p>
            <w:pPr>
              <w:rPr>
                <w:sz w:val="2"/>
                <w:szCs w:val="2"/>
              </w:rPr>
            </w:pPr>
          </w:p>
        </w:tc>
        <w:tc>
          <w:tcPr>
            <w:tcW w:w="1069" w:type="dxa"/>
          </w:tcPr>
          <w:p>
            <w:pPr>
              <w:pStyle w:val="14"/>
              <w:rPr>
                <w:sz w:val="18"/>
              </w:rPr>
            </w:pPr>
          </w:p>
          <w:p>
            <w:pPr>
              <w:pStyle w:val="14"/>
              <w:spacing w:line="304" w:lineRule="auto"/>
              <w:ind w:left="333" w:right="324"/>
              <w:rPr>
                <w:sz w:val="20"/>
              </w:rPr>
            </w:pPr>
            <w:r>
              <w:rPr>
                <w:sz w:val="20"/>
              </w:rPr>
              <w:t>对外捐赠</w:t>
            </w:r>
          </w:p>
        </w:tc>
        <w:tc>
          <w:tcPr>
            <w:tcW w:w="654" w:type="dxa"/>
          </w:tcPr>
          <w:p>
            <w:pPr>
              <w:pStyle w:val="14"/>
              <w:rPr>
                <w:sz w:val="18"/>
              </w:rPr>
            </w:pPr>
          </w:p>
          <w:p>
            <w:pPr>
              <w:pStyle w:val="14"/>
              <w:spacing w:line="304" w:lineRule="auto"/>
              <w:ind w:left="126" w:right="117"/>
              <w:rPr>
                <w:sz w:val="20"/>
              </w:rPr>
            </w:pPr>
            <w:r>
              <w:rPr>
                <w:sz w:val="20"/>
              </w:rPr>
              <w:t>视同销售</w:t>
            </w:r>
          </w:p>
        </w:tc>
        <w:tc>
          <w:tcPr>
            <w:tcW w:w="2850" w:type="dxa"/>
          </w:tcPr>
          <w:p>
            <w:pPr>
              <w:pStyle w:val="14"/>
              <w:spacing w:before="68" w:line="304" w:lineRule="auto"/>
              <w:ind w:left="506" w:right="1131" w:hanging="399"/>
              <w:rPr>
                <w:sz w:val="20"/>
              </w:rPr>
            </w:pPr>
            <w:r>
              <w:rPr>
                <w:sz w:val="20"/>
              </w:rPr>
              <w:t xml:space="preserve">借：营业外支出 </w:t>
            </w:r>
            <w:r>
              <w:rPr>
                <w:spacing w:val="-3"/>
                <w:sz w:val="20"/>
              </w:rPr>
              <w:t>贷：库存商品</w:t>
            </w:r>
          </w:p>
          <w:p>
            <w:pPr>
              <w:pStyle w:val="14"/>
              <w:spacing w:before="2" w:line="237" w:lineRule="exact"/>
              <w:ind w:left="907"/>
              <w:rPr>
                <w:sz w:val="20"/>
              </w:rPr>
            </w:pPr>
            <w:r>
              <w:rPr>
                <w:sz w:val="20"/>
              </w:rPr>
              <w:t>应交税费—增（销）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3" w:hRule="atLeast"/>
        </w:trPr>
        <w:tc>
          <w:tcPr>
            <w:tcW w:w="414" w:type="dxa"/>
            <w:vMerge w:val="continue"/>
            <w:tcBorders>
              <w:top w:val="nil"/>
            </w:tcBorders>
          </w:tcPr>
          <w:p>
            <w:pPr>
              <w:rPr>
                <w:sz w:val="2"/>
                <w:szCs w:val="2"/>
              </w:rPr>
            </w:pPr>
          </w:p>
        </w:tc>
        <w:tc>
          <w:tcPr>
            <w:tcW w:w="1069" w:type="dxa"/>
          </w:tcPr>
          <w:p>
            <w:pPr>
              <w:pStyle w:val="14"/>
              <w:rPr>
                <w:sz w:val="20"/>
              </w:rPr>
            </w:pPr>
          </w:p>
          <w:p>
            <w:pPr>
              <w:pStyle w:val="14"/>
              <w:spacing w:before="139" w:line="304" w:lineRule="auto"/>
              <w:ind w:left="333" w:right="224" w:hanging="101"/>
              <w:rPr>
                <w:sz w:val="20"/>
              </w:rPr>
            </w:pPr>
            <w:r>
              <w:rPr>
                <w:sz w:val="20"/>
              </w:rPr>
              <w:t>非正常损失</w:t>
            </w:r>
          </w:p>
        </w:tc>
        <w:tc>
          <w:tcPr>
            <w:tcW w:w="654" w:type="dxa"/>
          </w:tcPr>
          <w:p>
            <w:pPr>
              <w:pStyle w:val="14"/>
              <w:spacing w:before="1"/>
              <w:rPr>
                <w:sz w:val="18"/>
              </w:rPr>
            </w:pPr>
          </w:p>
          <w:p>
            <w:pPr>
              <w:pStyle w:val="14"/>
              <w:spacing w:line="304" w:lineRule="auto"/>
              <w:ind w:left="126" w:right="117"/>
              <w:jc w:val="both"/>
              <w:rPr>
                <w:sz w:val="20"/>
              </w:rPr>
            </w:pPr>
            <w:r>
              <w:rPr>
                <w:sz w:val="20"/>
              </w:rPr>
              <w:t>进项税额转出</w:t>
            </w:r>
          </w:p>
        </w:tc>
        <w:tc>
          <w:tcPr>
            <w:tcW w:w="2850" w:type="dxa"/>
          </w:tcPr>
          <w:p>
            <w:pPr>
              <w:pStyle w:val="14"/>
              <w:spacing w:before="69" w:line="304" w:lineRule="auto"/>
              <w:ind w:left="506" w:right="929" w:hanging="399"/>
              <w:rPr>
                <w:sz w:val="20"/>
              </w:rPr>
            </w:pPr>
            <w:r>
              <w:rPr>
                <w:sz w:val="20"/>
              </w:rPr>
              <w:t>借：待处理财产损溢贷：库存商品</w:t>
            </w:r>
          </w:p>
          <w:p>
            <w:pPr>
              <w:pStyle w:val="14"/>
              <w:spacing w:before="2"/>
              <w:ind w:left="708"/>
              <w:rPr>
                <w:sz w:val="20"/>
              </w:rPr>
            </w:pPr>
            <w:r>
              <w:rPr>
                <w:sz w:val="20"/>
              </w:rPr>
              <w:t>应交税费—增（进项税</w:t>
            </w:r>
          </w:p>
          <w:p>
            <w:pPr>
              <w:pStyle w:val="14"/>
              <w:spacing w:before="70" w:line="236" w:lineRule="exact"/>
              <w:ind w:left="108"/>
              <w:rPr>
                <w:sz w:val="20"/>
              </w:rPr>
            </w:pPr>
            <w:r>
              <w:rPr>
                <w:sz w:val="20"/>
              </w:rPr>
              <w:t>额转出）</w:t>
            </w:r>
          </w:p>
        </w:tc>
      </w:tr>
    </w:tbl>
    <w:p>
      <w:pPr>
        <w:spacing w:after="0" w:line="236" w:lineRule="exact"/>
        <w:rPr>
          <w:sz w:val="20"/>
        </w:rPr>
        <w:sectPr>
          <w:pgSz w:w="11910" w:h="16160"/>
          <w:pgMar w:top="1680" w:right="360" w:bottom="780" w:left="760" w:header="0" w:footer="548" w:gutter="0"/>
        </w:sectPr>
      </w:pPr>
    </w:p>
    <w:p>
      <w:pPr>
        <w:pStyle w:val="6"/>
        <w:spacing w:before="11"/>
        <w:ind w:left="0"/>
        <w:rPr>
          <w:sz w:val="13"/>
        </w:rPr>
      </w:pPr>
    </w:p>
    <w:p>
      <w:pPr>
        <w:pStyle w:val="5"/>
        <w:spacing w:before="71"/>
      </w:pPr>
      <w:r>
        <w:t>（三）小规模纳税人的账务处理</w:t>
      </w:r>
    </w:p>
    <w:p>
      <w:pPr>
        <w:pStyle w:val="6"/>
        <w:spacing w:line="304" w:lineRule="auto"/>
        <w:ind w:left="322" w:right="647" w:firstLine="400"/>
      </w:pPr>
      <w:r>
        <w:rPr>
          <w:w w:val="95"/>
        </w:rPr>
        <w:t xml:space="preserve">小规模纳税人核算增值税采用简化的方法，购进货物、应税劳务或应税行为，取得的增值税专用发票上注明   </w:t>
      </w:r>
      <w:r>
        <w:t>的增值税一律不得抵扣，直接计入相关成本费用或资产。</w:t>
      </w:r>
    </w:p>
    <w:p>
      <w:pPr>
        <w:pStyle w:val="6"/>
        <w:spacing w:before="2" w:line="304" w:lineRule="auto"/>
        <w:ind w:left="322" w:right="722" w:firstLine="400"/>
      </w:pPr>
      <w:r>
        <w:rPr>
          <w:spacing w:val="-6"/>
          <w:w w:val="95"/>
        </w:rPr>
        <w:t>①购进货物、接受应税劳务和应税行为支付的增值税，一律不予抵扣，直接计入有关货物或劳务的成本，</w:t>
      </w:r>
      <w:r>
        <w:rPr>
          <w:color w:val="FF0000"/>
          <w:spacing w:val="-99"/>
          <w:w w:val="95"/>
          <w:u w:val="double" w:color="FF0000"/>
        </w:rPr>
        <w:t>不通</w:t>
      </w:r>
      <w:r>
        <w:rPr>
          <w:color w:val="FF0000"/>
          <w:spacing w:val="190"/>
          <w:w w:val="95"/>
          <w:u w:val="double" w:color="FF0000"/>
        </w:rPr>
        <w:t xml:space="preserve"> </w:t>
      </w:r>
      <w:r>
        <w:rPr>
          <w:color w:val="FF0000"/>
          <w:u w:val="double" w:color="FF0000"/>
        </w:rPr>
        <w:t>过应交税费—应交增值税</w:t>
      </w:r>
      <w:r>
        <w:t>核算。</w:t>
      </w:r>
    </w:p>
    <w:p>
      <w:pPr>
        <w:pStyle w:val="6"/>
        <w:spacing w:before="0" w:line="304" w:lineRule="auto"/>
        <w:ind w:left="322" w:right="621" w:firstLine="400"/>
      </w:pPr>
      <w:r>
        <w:rPr>
          <w:spacing w:val="-13"/>
          <w:w w:val="95"/>
        </w:rPr>
        <w:t xml:space="preserve">②销售货物、提供应税劳务和应税行为时，按照不含税的销售额和规定的增值税征收率计算应交纳的增值税，    </w:t>
      </w:r>
      <w:r>
        <w:rPr>
          <w:spacing w:val="-13"/>
        </w:rPr>
        <w:t>但</w:t>
      </w:r>
      <w:r>
        <w:rPr>
          <w:color w:val="FF0000"/>
          <w:spacing w:val="-13"/>
          <w:u w:val="double" w:color="FF0000"/>
        </w:rPr>
        <w:t>不得开具增值税专用发票</w:t>
      </w:r>
      <w:r>
        <w:rPr>
          <w:spacing w:val="-13"/>
        </w:rPr>
        <w:t>。</w:t>
      </w:r>
    </w:p>
    <w:p>
      <w:pPr>
        <w:pStyle w:val="6"/>
        <w:spacing w:before="1" w:line="304" w:lineRule="auto"/>
        <w:ind w:left="322" w:right="722" w:firstLine="400"/>
      </w:pPr>
      <w:r>
        <w:rPr>
          <w:spacing w:val="-7"/>
          <w:w w:val="95"/>
        </w:rPr>
        <w:t xml:space="preserve">③小规模纳税企业只需在“应交税费”科目下设置“应交增值税”明细科目，不需要在“应交增值税”明细   </w:t>
      </w:r>
      <w:r>
        <w:rPr>
          <w:spacing w:val="-7"/>
        </w:rPr>
        <w:t>科目中设置专栏。</w:t>
      </w:r>
    </w:p>
    <w:p>
      <w:pPr>
        <w:pStyle w:val="6"/>
        <w:spacing w:before="2" w:line="304" w:lineRule="auto"/>
        <w:ind w:left="322" w:right="722" w:firstLine="400"/>
      </w:pPr>
      <w:r>
        <mc:AlternateContent>
          <mc:Choice Requires="wps">
            <w:drawing>
              <wp:anchor distT="0" distB="0" distL="114300" distR="114300" simplePos="0" relativeHeight="482475008" behindDoc="1" locked="0" layoutInCell="1" allowOverlap="1">
                <wp:simplePos x="0" y="0"/>
                <wp:positionH relativeFrom="page">
                  <wp:posOffset>1068705</wp:posOffset>
                </wp:positionH>
                <wp:positionV relativeFrom="paragraph">
                  <wp:posOffset>139700</wp:posOffset>
                </wp:positionV>
                <wp:extent cx="251460" cy="5715"/>
                <wp:effectExtent l="0" t="0" r="0" b="0"/>
                <wp:wrapNone/>
                <wp:docPr id="302" name="任意多边形 21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14" o:spid="_x0000_s1026" o:spt="100" style="position:absolute;left:0pt;margin-left:84.15pt;margin-top:11pt;height:0.45pt;width:19.8pt;mso-position-horizontal-relative:page;z-index:-20841472;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rnBycpYCAABX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10;Hqwj2AAAAAkBAAAPAAAAAAAAAAEAIAAAACIAAABkcnMvZG93bnJldi54bWxQSwECFAAUAAAACACH&#10;TuJArnBycpYCAABX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7"/>
          <w:w w:val="95"/>
        </w:rPr>
        <w:t xml:space="preserve">】一般纳税人企业购入材料，不能取得增值税专用发票的，比照小规模纳税企业进行处理，发生的增   </w:t>
      </w:r>
      <w:r>
        <w:rPr>
          <w:spacing w:val="-7"/>
        </w:rPr>
        <w:t>值税计入材料采购成本。</w:t>
      </w:r>
    </w:p>
    <w:p>
      <w:pPr>
        <w:tabs>
          <w:tab w:val="left" w:pos="4939"/>
        </w:tabs>
        <w:spacing w:before="0" w:line="304" w:lineRule="auto"/>
        <w:ind w:left="723" w:right="2263" w:firstLine="0"/>
        <w:jc w:val="left"/>
        <w:rPr>
          <w:b/>
          <w:sz w:val="20"/>
        </w:rPr>
      </w:pPr>
      <w:r>
        <w:rPr>
          <w:w w:val="95"/>
          <w:sz w:val="20"/>
        </w:rPr>
        <w:t xml:space="preserve">④小规模纳税人采用销售额和应纳税额合并定价方法向客户结算款项，应进行价税分离。   </w:t>
      </w:r>
      <w:r>
        <w:rPr>
          <w:b/>
          <w:color w:val="00AFEF"/>
          <w:sz w:val="20"/>
          <w:u w:val="single" w:color="00AFEF"/>
        </w:rPr>
        <w:t>不含税销售额=含税销售额÷（1+征收率）</w:t>
      </w:r>
      <w:r>
        <w:rPr>
          <w:b/>
          <w:color w:val="00AFEF"/>
          <w:sz w:val="20"/>
          <w:u w:val="single" w:color="00AFEF"/>
        </w:rPr>
        <w:tab/>
      </w:r>
      <w:r>
        <w:rPr>
          <w:b/>
          <w:color w:val="00AFEF"/>
          <w:sz w:val="20"/>
          <w:u w:val="single" w:color="00AFEF"/>
        </w:rPr>
        <w:t>应纳税额=不含税销售额×征收率</w:t>
      </w:r>
    </w:p>
    <w:p>
      <w:pPr>
        <w:pStyle w:val="6"/>
        <w:spacing w:before="2"/>
      </w:pPr>
      <w:r>
        <mc:AlternateContent>
          <mc:Choice Requires="wps">
            <w:drawing>
              <wp:anchor distT="0" distB="0" distL="114300" distR="114300" simplePos="0" relativeHeight="15841280" behindDoc="0" locked="0" layoutInCell="1" allowOverlap="1">
                <wp:simplePos x="0" y="0"/>
                <wp:positionH relativeFrom="page">
                  <wp:posOffset>1068705</wp:posOffset>
                </wp:positionH>
                <wp:positionV relativeFrom="paragraph">
                  <wp:posOffset>139700</wp:posOffset>
                </wp:positionV>
                <wp:extent cx="251460" cy="5715"/>
                <wp:effectExtent l="0" t="0" r="0" b="0"/>
                <wp:wrapNone/>
                <wp:docPr id="150" name="任意多边形 21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15" o:spid="_x0000_s1026" o:spt="100" style="position:absolute;left:0pt;margin-left:84.15pt;margin-top:11pt;height:0.45pt;width:19.8pt;mso-position-horizontal-relative:page;z-index:15841280;mso-width-relative:page;mso-height-relative:page;" filled="f" stroked="t" coordsize="396,9" o:gfxdata="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P4erCPYAAAA&#10;CQEAAA8AAAAAAAAAAQAgAAAAIgAAAGRycy9kb3ducmV2LnhtbFBLAQIUABQAAAAIAIdO4kAE0Tya&#10;jwIAAFcHAAAOAAAAAAAAAAEAIAAAACcBAABkcnMvZTJvRG9jLnhtbFBLBQYAAAAABgAGAFkBAAAo&#10;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】一般纳税人价税分离公式：</w:t>
      </w:r>
    </w:p>
    <w:p>
      <w:pPr>
        <w:pStyle w:val="5"/>
        <w:tabs>
          <w:tab w:val="left" w:pos="4939"/>
        </w:tabs>
      </w:pPr>
      <w:r>
        <w:rPr>
          <w:color w:val="00AFEF"/>
          <w:u w:val="single" w:color="00AFEF"/>
        </w:rPr>
        <w:t>不含税销售额=含税销售额÷（1+税率）</w:t>
      </w:r>
      <w:r>
        <w:rPr>
          <w:color w:val="00AFEF"/>
          <w:u w:val="single" w:color="00AFEF"/>
        </w:rPr>
        <w:tab/>
      </w:r>
      <w:r>
        <w:rPr>
          <w:color w:val="00AFEF"/>
          <w:u w:val="single" w:color="00AFEF"/>
        </w:rPr>
        <w:t>应纳税额=不含税销售额×税率</w:t>
      </w:r>
    </w:p>
    <w:p>
      <w:pPr>
        <w:pStyle w:val="5"/>
      </w:pPr>
      <w:r>
        <w:t>（四）差额征税的账务处理</w:t>
      </w:r>
    </w:p>
    <w:p>
      <w:pPr>
        <w:pStyle w:val="6"/>
        <w:spacing w:line="304" w:lineRule="auto"/>
        <w:ind w:left="322" w:right="720" w:firstLine="400"/>
        <w:jc w:val="both"/>
      </w:pPr>
      <w:r>
        <w:rPr>
          <w:spacing w:val="-2"/>
          <w:w w:val="95"/>
        </w:rPr>
        <w:t>对于企业发生的某些业务</w:t>
      </w:r>
      <w:r>
        <w:rPr>
          <w:w w:val="95"/>
        </w:rPr>
        <w:t>（</w:t>
      </w:r>
      <w:r>
        <w:rPr>
          <w:color w:val="FF0000"/>
          <w:spacing w:val="-5"/>
          <w:w w:val="95"/>
          <w:u w:val="double" w:color="FF0000"/>
        </w:rPr>
        <w:t>金融商品转让、经纪代理服务、融资租赁和融资性售后回租业务、一般纳税人提</w:t>
      </w:r>
      <w:r>
        <w:rPr>
          <w:color w:val="FF0000"/>
          <w:spacing w:val="-199"/>
          <w:w w:val="95"/>
          <w:u w:val="double" w:color="FF0000"/>
        </w:rPr>
        <w:t>供</w:t>
      </w:r>
      <w:r>
        <w:rPr>
          <w:color w:val="FF0000"/>
          <w:spacing w:val="190"/>
          <w:w w:val="95"/>
          <w:u w:val="double" w:color="FF0000"/>
        </w:rPr>
        <w:t xml:space="preserve"> </w:t>
      </w:r>
      <w:r>
        <w:rPr>
          <w:color w:val="FF0000"/>
          <w:spacing w:val="-4"/>
          <w:u w:val="double" w:color="FF0000"/>
        </w:rPr>
        <w:t>客运场站服务、试点纳税人提供旅游服务、选择简易计税方法提供建筑服务</w:t>
      </w:r>
      <w:r>
        <w:t>等</w:t>
      </w:r>
      <w:r>
        <w:rPr>
          <w:spacing w:val="-19"/>
        </w:rPr>
        <w:t>）</w:t>
      </w:r>
      <w:r>
        <w:t>无法通过抵扣机制避免重复征 税的，应采用差额征税方式计算交纳增值税。</w:t>
      </w:r>
    </w:p>
    <w:p>
      <w:pPr>
        <w:pStyle w:val="5"/>
        <w:numPr>
          <w:ilvl w:val="0"/>
          <w:numId w:val="88"/>
        </w:numPr>
        <w:tabs>
          <w:tab w:val="left" w:pos="925"/>
        </w:tabs>
        <w:spacing w:before="1" w:after="0" w:line="240" w:lineRule="auto"/>
        <w:ind w:left="924" w:right="0" w:hanging="202"/>
        <w:jc w:val="left"/>
      </w:pPr>
      <w:r>
        <w:t>企业按规定成本费用允许扣减销售额的账务处理</w:t>
      </w:r>
    </w:p>
    <w:p>
      <w:pPr>
        <w:pStyle w:val="6"/>
        <w:spacing w:before="0"/>
        <w:ind w:left="508"/>
      </w:pPr>
      <w:r>
        <mc:AlternateContent>
          <mc:Choice Requires="wpg">
            <w:drawing>
              <wp:inline distT="0" distB="0" distL="114300" distR="114300">
                <wp:extent cx="5949950" cy="840740"/>
                <wp:effectExtent l="1905" t="1905" r="10795" b="14605"/>
                <wp:docPr id="195" name="组合 216"/>
                <wp:cNvGraphicFramePr/>
                <a:graphic xmlns:a="http://schemas.openxmlformats.org/drawingml/2006/main">
                  <a:graphicData uri="http://schemas.microsoft.com/office/word/2010/wordprocessingGroup">
                    <wpg:wgp>
                      <wpg:cNvGrpSpPr/>
                      <wpg:grpSpPr>
                        <a:xfrm>
                          <a:off x="0" y="0"/>
                          <a:ext cx="5949950" cy="840740"/>
                          <a:chOff x="0" y="0"/>
                          <a:chExt cx="9370" cy="1324"/>
                        </a:xfrm>
                      </wpg:grpSpPr>
                      <wps:wsp>
                        <wps:cNvPr id="193" name="文本框 217"/>
                        <wps:cNvSpPr txBox="1"/>
                        <wps:spPr>
                          <a:xfrm>
                            <a:off x="4214" y="4"/>
                            <a:ext cx="5150" cy="1314"/>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104" w:right="3834" w:firstLine="0"/>
                                <w:jc w:val="left"/>
                                <w:rPr>
                                  <w:sz w:val="20"/>
                                </w:rPr>
                              </w:pPr>
                              <w:r>
                                <w:rPr>
                                  <w:sz w:val="20"/>
                                </w:rPr>
                                <w:t>②取得收入时借：银行存款</w:t>
                              </w:r>
                            </w:p>
                            <w:p>
                              <w:pPr>
                                <w:spacing w:before="2"/>
                                <w:ind w:left="502" w:right="0" w:firstLine="0"/>
                                <w:jc w:val="left"/>
                                <w:rPr>
                                  <w:sz w:val="20"/>
                                </w:rPr>
                              </w:pPr>
                              <w:r>
                                <w:rPr>
                                  <w:sz w:val="20"/>
                                </w:rPr>
                                <w:t>贷：主营业务收入</w:t>
                              </w:r>
                            </w:p>
                            <w:p>
                              <w:pPr>
                                <w:spacing w:before="70" w:line="256" w:lineRule="exact"/>
                                <w:ind w:left="903" w:right="0" w:firstLine="0"/>
                                <w:jc w:val="left"/>
                                <w:rPr>
                                  <w:sz w:val="20"/>
                                </w:rPr>
                              </w:pPr>
                              <w:r>
                                <w:rPr>
                                  <w:sz w:val="20"/>
                                </w:rPr>
                                <w:t>应交税费—应交增值税（销项税额）</w:t>
                              </w:r>
                            </w:p>
                          </w:txbxContent>
                        </wps:txbx>
                        <wps:bodyPr lIns="0" tIns="0" rIns="0" bIns="0" upright="1"/>
                      </wps:wsp>
                      <wps:wsp>
                        <wps:cNvPr id="194" name="文本框 218"/>
                        <wps:cNvSpPr txBox="1"/>
                        <wps:spPr>
                          <a:xfrm>
                            <a:off x="4" y="4"/>
                            <a:ext cx="4210" cy="1314"/>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102" w:right="2495" w:firstLine="0"/>
                                <w:jc w:val="left"/>
                                <w:rPr>
                                  <w:sz w:val="20"/>
                                </w:rPr>
                              </w:pPr>
                              <w:r>
                                <w:rPr>
                                  <w:sz w:val="20"/>
                                </w:rPr>
                                <w:t>①发生成本费用时借：主营业务成本</w:t>
                              </w:r>
                            </w:p>
                            <w:p>
                              <w:pPr>
                                <w:spacing w:before="2"/>
                                <w:ind w:left="503" w:right="0" w:firstLine="0"/>
                                <w:jc w:val="left"/>
                                <w:rPr>
                                  <w:sz w:val="20"/>
                                </w:rPr>
                              </w:pPr>
                              <w:r>
                                <w:rPr>
                                  <w:sz w:val="20"/>
                                </w:rPr>
                                <w:t>应交税费—应交增值税（销项税额抵减）</w:t>
                              </w:r>
                            </w:p>
                            <w:p>
                              <w:pPr>
                                <w:spacing w:before="70" w:line="256" w:lineRule="exact"/>
                                <w:ind w:left="503" w:right="0" w:firstLine="0"/>
                                <w:jc w:val="left"/>
                                <w:rPr>
                                  <w:sz w:val="20"/>
                                </w:rPr>
                              </w:pPr>
                              <w:r>
                                <w:rPr>
                                  <w:sz w:val="20"/>
                                </w:rPr>
                                <w:t>贷：银行存款</w:t>
                              </w:r>
                            </w:p>
                          </w:txbxContent>
                        </wps:txbx>
                        <wps:bodyPr lIns="0" tIns="0" rIns="0" bIns="0" upright="1"/>
                      </wps:wsp>
                    </wpg:wgp>
                  </a:graphicData>
                </a:graphic>
              </wp:inline>
            </w:drawing>
          </mc:Choice>
          <mc:Fallback>
            <w:pict>
              <v:group id="组合 216" o:spid="_x0000_s1026" o:spt="203" style="height:66.2pt;width:468.5pt;" coordsize="9370,1324" o:gfxdata="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veHeLV&#10;AAAABQEAAA8AAAAAAAAAAQAgAAAAIgAAAGRycy9kb3ducmV2LnhtbFBLAQIUABQAAAAIAIdO4kAN&#10;ilujlQIAAGUHAAAOAAAAAAAAAAEAIAAAACQBAABkcnMvZTJvRG9jLnhtbFBLBQYAAAAABgAGAFkB&#10;AAArBgAAAAA=&#10;">
                <o:lock v:ext="edit" aspectratio="f"/>
                <v:shape id="文本框 217" o:spid="_x0000_s1026" o:spt="202" type="#_x0000_t202" style="position:absolute;left:4214;top:4;height:1314;width:5150;" filled="f" stroked="t" coordsize="21600,21600" o:gfxdata="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9eoGU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9" w:line="304" w:lineRule="auto"/>
                          <w:ind w:left="104" w:right="3834" w:firstLine="0"/>
                          <w:jc w:val="left"/>
                          <w:rPr>
                            <w:sz w:val="20"/>
                          </w:rPr>
                        </w:pPr>
                        <w:r>
                          <w:rPr>
                            <w:sz w:val="20"/>
                          </w:rPr>
                          <w:t>②取得收入时借：银行存款</w:t>
                        </w:r>
                      </w:p>
                      <w:p>
                        <w:pPr>
                          <w:spacing w:before="2"/>
                          <w:ind w:left="502" w:right="0" w:firstLine="0"/>
                          <w:jc w:val="left"/>
                          <w:rPr>
                            <w:sz w:val="20"/>
                          </w:rPr>
                        </w:pPr>
                        <w:r>
                          <w:rPr>
                            <w:sz w:val="20"/>
                          </w:rPr>
                          <w:t>贷：主营业务收入</w:t>
                        </w:r>
                      </w:p>
                      <w:p>
                        <w:pPr>
                          <w:spacing w:before="70" w:line="256" w:lineRule="exact"/>
                          <w:ind w:left="903" w:right="0" w:firstLine="0"/>
                          <w:jc w:val="left"/>
                          <w:rPr>
                            <w:sz w:val="20"/>
                          </w:rPr>
                        </w:pPr>
                        <w:r>
                          <w:rPr>
                            <w:sz w:val="20"/>
                          </w:rPr>
                          <w:t>应交税费—应交增值税（销项税额）</w:t>
                        </w:r>
                      </w:p>
                    </w:txbxContent>
                  </v:textbox>
                </v:shape>
                <v:shape id="文本框 218" o:spid="_x0000_s1026" o:spt="202" type="#_x0000_t202" style="position:absolute;left:4;top:4;height:1314;width:4210;" filled="f" stroked="t" coordsize="21600,21600" o:gfxdata="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ykxng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9" w:line="304" w:lineRule="auto"/>
                          <w:ind w:left="102" w:right="2495" w:firstLine="0"/>
                          <w:jc w:val="left"/>
                          <w:rPr>
                            <w:sz w:val="20"/>
                          </w:rPr>
                        </w:pPr>
                        <w:r>
                          <w:rPr>
                            <w:sz w:val="20"/>
                          </w:rPr>
                          <w:t>①发生成本费用时借：主营业务成本</w:t>
                        </w:r>
                      </w:p>
                      <w:p>
                        <w:pPr>
                          <w:spacing w:before="2"/>
                          <w:ind w:left="503" w:right="0" w:firstLine="0"/>
                          <w:jc w:val="left"/>
                          <w:rPr>
                            <w:sz w:val="20"/>
                          </w:rPr>
                        </w:pPr>
                        <w:r>
                          <w:rPr>
                            <w:sz w:val="20"/>
                          </w:rPr>
                          <w:t>应交税费—应交增值税（销项税额抵减）</w:t>
                        </w:r>
                      </w:p>
                      <w:p>
                        <w:pPr>
                          <w:spacing w:before="70" w:line="256" w:lineRule="exact"/>
                          <w:ind w:left="503" w:right="0" w:firstLine="0"/>
                          <w:jc w:val="left"/>
                          <w:rPr>
                            <w:sz w:val="20"/>
                          </w:rPr>
                        </w:pPr>
                        <w:r>
                          <w:rPr>
                            <w:sz w:val="20"/>
                          </w:rPr>
                          <w:t>贷：银行存款</w:t>
                        </w:r>
                      </w:p>
                    </w:txbxContent>
                  </v:textbox>
                </v:shape>
                <w10:wrap type="none"/>
                <w10:anchorlock/>
              </v:group>
            </w:pict>
          </mc:Fallback>
        </mc:AlternateContent>
      </w:r>
    </w:p>
    <w:p>
      <w:pPr>
        <w:pStyle w:val="5"/>
        <w:numPr>
          <w:ilvl w:val="0"/>
          <w:numId w:val="88"/>
        </w:numPr>
        <w:tabs>
          <w:tab w:val="left" w:pos="925"/>
        </w:tabs>
        <w:spacing w:before="59" w:after="0" w:line="240" w:lineRule="auto"/>
        <w:ind w:left="924" w:right="0" w:hanging="202"/>
        <w:jc w:val="left"/>
      </w:pPr>
      <w:r>
        <w:t>企业转让金融商品按规定以盈亏相抵后的余额作为销售额</w:t>
      </w:r>
    </w:p>
    <w:p>
      <w:pPr>
        <w:spacing w:before="68" w:line="304" w:lineRule="auto"/>
        <w:ind w:left="322" w:right="642" w:firstLine="400"/>
        <w:jc w:val="left"/>
        <w:rPr>
          <w:sz w:val="20"/>
        </w:rPr>
      </w:pPr>
      <w:r>
        <w:rPr>
          <w:w w:val="95"/>
          <w:sz w:val="20"/>
        </w:rPr>
        <w:t>金融商品转让按照卖出价扣除买入价（</w:t>
      </w:r>
      <w:r>
        <w:rPr>
          <w:b/>
          <w:color w:val="00AFEF"/>
          <w:w w:val="95"/>
          <w:sz w:val="20"/>
          <w:u w:val="single" w:color="00AFEF"/>
        </w:rPr>
        <w:t>不需要扣除已宣告未发放现金股利和已到付息期但尚未领取的利息</w:t>
      </w:r>
      <w:r>
        <w:rPr>
          <w:w w:val="95"/>
          <w:sz w:val="20"/>
        </w:rPr>
        <w:t xml:space="preserve">）   </w:t>
      </w:r>
      <w:r>
        <w:rPr>
          <w:spacing w:val="-4"/>
          <w:sz w:val="20"/>
        </w:rPr>
        <w:t>后的余额作为销售额计算增值税，即转让金融商品按盈亏相抵后的余额为销售额。若相抵后出现负差，可结转下一纳税期与下期金融商品销售额互抵，但年末时仍出现负差，不得转入下一会计年度。</w:t>
      </w:r>
    </w:p>
    <w:p>
      <w:pPr>
        <w:pStyle w:val="13"/>
        <w:numPr>
          <w:ilvl w:val="0"/>
          <w:numId w:val="89"/>
        </w:numPr>
        <w:tabs>
          <w:tab w:val="left" w:pos="1224"/>
        </w:tabs>
        <w:spacing w:before="3" w:after="0" w:line="240" w:lineRule="auto"/>
        <w:ind w:left="1223" w:right="0" w:hanging="501"/>
        <w:jc w:val="left"/>
        <w:rPr>
          <w:sz w:val="20"/>
        </w:rPr>
      </w:pPr>
      <w:r>
        <w:rPr>
          <w:sz w:val="20"/>
        </w:rPr>
        <w:t>转让金融资产当月月末</w:t>
      </w:r>
    </w:p>
    <w:p>
      <w:pPr>
        <w:pStyle w:val="6"/>
        <w:spacing w:line="304" w:lineRule="auto"/>
        <w:ind w:right="7262"/>
      </w:pPr>
      <w:r>
        <w:t>①如产生转让收益，按应纳税额借：投资收益</w:t>
      </w:r>
    </w:p>
    <w:p>
      <w:pPr>
        <w:pStyle w:val="6"/>
        <w:spacing w:before="0" w:line="256" w:lineRule="exact"/>
        <w:ind w:left="1124"/>
      </w:pPr>
      <w:r>
        <w:t>贷：应交税费—转让金融商品应交增值税</w:t>
      </w:r>
    </w:p>
    <w:p>
      <w:pPr>
        <w:pStyle w:val="6"/>
        <w:ind w:left="824"/>
      </w:pPr>
      <w:r>
        <w:t>②交纳增值税</w:t>
      </w:r>
    </w:p>
    <w:p>
      <w:pPr>
        <w:pStyle w:val="6"/>
        <w:spacing w:before="71" w:line="304" w:lineRule="auto"/>
        <w:ind w:left="1124" w:right="6463" w:hanging="401"/>
      </w:pPr>
      <w:r>
        <w:t>借：应交税费—转让金融商品应交增值税贷：银行存款</w:t>
      </w:r>
    </w:p>
    <w:p>
      <w:pPr>
        <w:pStyle w:val="6"/>
        <w:spacing w:before="2" w:line="304" w:lineRule="auto"/>
        <w:ind w:right="6261"/>
      </w:pPr>
      <w:r>
        <w:t>③如产生转让损失，按可结转下月抵扣税额借：应交税费—转让金融商品应交增值税</w:t>
      </w:r>
    </w:p>
    <w:p>
      <w:pPr>
        <w:pStyle w:val="6"/>
        <w:spacing w:before="0" w:line="256" w:lineRule="exact"/>
        <w:ind w:left="1124"/>
      </w:pPr>
      <w:r>
        <w:t>贷：投资收益</w:t>
      </w:r>
    </w:p>
    <w:p>
      <w:pPr>
        <w:spacing w:after="0" w:line="256" w:lineRule="exact"/>
        <w:sectPr>
          <w:pgSz w:w="11910" w:h="16160"/>
          <w:pgMar w:top="1680" w:right="360" w:bottom="780" w:left="760" w:header="0" w:footer="548" w:gutter="0"/>
        </w:sectPr>
      </w:pPr>
    </w:p>
    <w:p>
      <w:pPr>
        <w:pStyle w:val="6"/>
        <w:spacing w:before="11"/>
        <w:ind w:left="0"/>
        <w:rPr>
          <w:sz w:val="13"/>
        </w:rPr>
      </w:pPr>
    </w:p>
    <w:p>
      <w:pPr>
        <w:pStyle w:val="13"/>
        <w:numPr>
          <w:ilvl w:val="0"/>
          <w:numId w:val="89"/>
        </w:numPr>
        <w:tabs>
          <w:tab w:val="left" w:pos="1224"/>
          <w:tab w:val="left" w:pos="2923"/>
          <w:tab w:val="left" w:pos="4723"/>
        </w:tabs>
        <w:spacing w:before="71" w:after="0" w:line="304" w:lineRule="auto"/>
        <w:ind w:left="322" w:right="761" w:firstLine="400"/>
        <w:jc w:val="left"/>
        <w:rPr>
          <w:sz w:val="20"/>
        </w:rPr>
      </w:pPr>
      <w:r>
        <w:rPr>
          <w:w w:val="95"/>
          <w:sz w:val="20"/>
        </w:rPr>
        <w:t xml:space="preserve">年末，如果“应交税费—转让金融商品应交增值税”科目有借方余额说明本年度金融商品转让损失无   </w:t>
      </w:r>
      <w:r>
        <w:rPr>
          <w:sz w:val="20"/>
        </w:rPr>
        <w:t>法弥补，不得转入下年。</w:t>
      </w:r>
      <w:r>
        <w:rPr>
          <w:sz w:val="20"/>
        </w:rPr>
        <w:tab/>
      </w:r>
      <w:r>
        <w:rPr>
          <w:sz w:val="20"/>
        </w:rPr>
        <w:t>借：投资收益</w:t>
      </w:r>
      <w:r>
        <w:rPr>
          <w:sz w:val="20"/>
        </w:rPr>
        <w:tab/>
      </w:r>
      <w:r>
        <w:rPr>
          <w:sz w:val="20"/>
        </w:rPr>
        <w:t>贷：应交税费—转让金融商品应交增值税</w:t>
      </w:r>
    </w:p>
    <w:p>
      <w:pPr>
        <w:pStyle w:val="5"/>
        <w:spacing w:before="2"/>
      </w:pPr>
      <w:r>
        <w:t>（五）增值税税控系统专用设备和技术维护费用抵减增值税额的账务处理</w:t>
      </w:r>
    </w:p>
    <w:p>
      <w:pPr>
        <w:pStyle w:val="6"/>
        <w:spacing w:line="304" w:lineRule="auto"/>
        <w:ind w:left="322" w:right="702" w:firstLine="400"/>
      </w:pPr>
      <w:r>
        <mc:AlternateContent>
          <mc:Choice Requires="wpg">
            <w:drawing>
              <wp:anchor distT="0" distB="0" distL="114300" distR="114300" simplePos="0" relativeHeight="482480128" behindDoc="1" locked="0" layoutInCell="1" allowOverlap="1">
                <wp:simplePos x="0" y="0"/>
                <wp:positionH relativeFrom="page">
                  <wp:posOffset>615950</wp:posOffset>
                </wp:positionH>
                <wp:positionV relativeFrom="paragraph">
                  <wp:posOffset>828040</wp:posOffset>
                </wp:positionV>
                <wp:extent cx="6479540" cy="1254760"/>
                <wp:effectExtent l="1270" t="1270" r="15240" b="20320"/>
                <wp:wrapNone/>
                <wp:docPr id="308" name="组合 219"/>
                <wp:cNvGraphicFramePr/>
                <a:graphic xmlns:a="http://schemas.openxmlformats.org/drawingml/2006/main">
                  <a:graphicData uri="http://schemas.microsoft.com/office/word/2010/wordprocessingGroup">
                    <wpg:wgp>
                      <wpg:cNvGrpSpPr/>
                      <wpg:grpSpPr>
                        <a:xfrm>
                          <a:off x="0" y="0"/>
                          <a:ext cx="6479540" cy="1254760"/>
                          <a:chOff x="970" y="1304"/>
                          <a:chExt cx="10204" cy="1976"/>
                        </a:xfrm>
                      </wpg:grpSpPr>
                      <wps:wsp>
                        <wps:cNvPr id="306" name="文本框 220"/>
                        <wps:cNvSpPr txBox="1"/>
                        <wps:spPr>
                          <a:xfrm>
                            <a:off x="6072" y="1309"/>
                            <a:ext cx="5097" cy="1966"/>
                          </a:xfrm>
                          <a:prstGeom prst="rect">
                            <a:avLst/>
                          </a:prstGeom>
                          <a:noFill/>
                          <a:ln w="6096" cap="flat" cmpd="sng">
                            <a:solidFill>
                              <a:srgbClr val="000000"/>
                            </a:solidFill>
                            <a:prstDash val="solid"/>
                            <a:miter/>
                            <a:headEnd type="none" w="med" len="med"/>
                            <a:tailEnd type="none" w="med" len="med"/>
                          </a:ln>
                        </wps:spPr>
                        <wps:txbx>
                          <w:txbxContent>
                            <w:p>
                              <w:pPr>
                                <w:spacing w:before="68" w:line="304" w:lineRule="auto"/>
                                <w:ind w:left="103" w:right="1183" w:firstLine="0"/>
                                <w:jc w:val="left"/>
                                <w:rPr>
                                  <w:sz w:val="20"/>
                                </w:rPr>
                              </w:pPr>
                              <w:r>
                                <w:rPr>
                                  <w:sz w:val="20"/>
                                </w:rPr>
                                <w:t>②发生增值税税控系统专用设备技术维护费借：管理费用</w:t>
                              </w:r>
                            </w:p>
                            <w:p>
                              <w:pPr>
                                <w:spacing w:before="2"/>
                                <w:ind w:left="503" w:right="0" w:firstLine="0"/>
                                <w:jc w:val="left"/>
                                <w:rPr>
                                  <w:sz w:val="20"/>
                                </w:rPr>
                              </w:pPr>
                              <w:r>
                                <w:rPr>
                                  <w:sz w:val="20"/>
                                </w:rPr>
                                <w:t>贷：银行存款</w:t>
                              </w:r>
                            </w:p>
                            <w:p>
                              <w:pPr>
                                <w:spacing w:before="71" w:line="304" w:lineRule="auto"/>
                                <w:ind w:left="503" w:right="84" w:hanging="401"/>
                                <w:jc w:val="left"/>
                                <w:rPr>
                                  <w:sz w:val="20"/>
                                </w:rPr>
                              </w:pPr>
                              <w:r>
                                <w:rPr>
                                  <w:w w:val="95"/>
                                  <w:sz w:val="20"/>
                                </w:rPr>
                                <w:t>借：应交税费—应交增值税（减免税款</w:t>
                              </w:r>
                              <w:r>
                                <w:rPr>
                                  <w:spacing w:val="-101"/>
                                  <w:w w:val="95"/>
                                  <w:sz w:val="20"/>
                                </w:rPr>
                                <w:t>）</w:t>
                              </w:r>
                              <w:r>
                                <w:rPr>
                                  <w:w w:val="95"/>
                                  <w:sz w:val="20"/>
                                </w:rPr>
                                <w:t xml:space="preserve">【一般纳税人】 </w:t>
                              </w:r>
                              <w:r>
                                <w:rPr>
                                  <w:sz w:val="20"/>
                                </w:rPr>
                                <w:t>应交税费—应交增值税【小规模纳税人】</w:t>
                              </w:r>
                            </w:p>
                            <w:p>
                              <w:pPr>
                                <w:spacing w:before="0" w:line="256" w:lineRule="exact"/>
                                <w:ind w:left="503" w:right="0" w:firstLine="0"/>
                                <w:jc w:val="left"/>
                                <w:rPr>
                                  <w:sz w:val="20"/>
                                </w:rPr>
                              </w:pPr>
                              <w:r>
                                <w:rPr>
                                  <w:sz w:val="20"/>
                                </w:rPr>
                                <w:t>贷：管理费用</w:t>
                              </w:r>
                            </w:p>
                          </w:txbxContent>
                        </wps:txbx>
                        <wps:bodyPr lIns="0" tIns="0" rIns="0" bIns="0" upright="1"/>
                      </wps:wsp>
                      <wps:wsp>
                        <wps:cNvPr id="307" name="文本框 221"/>
                        <wps:cNvSpPr txBox="1"/>
                        <wps:spPr>
                          <a:xfrm>
                            <a:off x="975" y="1309"/>
                            <a:ext cx="5097" cy="1966"/>
                          </a:xfrm>
                          <a:prstGeom prst="rect">
                            <a:avLst/>
                          </a:prstGeom>
                          <a:noFill/>
                          <a:ln w="6096" cap="flat" cmpd="sng">
                            <a:solidFill>
                              <a:srgbClr val="000000"/>
                            </a:solidFill>
                            <a:prstDash val="solid"/>
                            <a:miter/>
                            <a:headEnd type="none" w="med" len="med"/>
                            <a:tailEnd type="none" w="med" len="med"/>
                          </a:ln>
                        </wps:spPr>
                        <wps:txbx>
                          <w:txbxContent>
                            <w:p>
                              <w:pPr>
                                <w:spacing w:before="68" w:line="304" w:lineRule="auto"/>
                                <w:ind w:left="102" w:right="1781" w:firstLine="0"/>
                                <w:jc w:val="left"/>
                                <w:rPr>
                                  <w:sz w:val="20"/>
                                </w:rPr>
                              </w:pPr>
                              <w:r>
                                <w:rPr>
                                  <w:sz w:val="20"/>
                                </w:rPr>
                                <w:t>①初次购入增值税税控系统专用设备借：固定资产</w:t>
                              </w:r>
                            </w:p>
                            <w:p>
                              <w:pPr>
                                <w:spacing w:before="2"/>
                                <w:ind w:left="503" w:right="0" w:firstLine="0"/>
                                <w:jc w:val="left"/>
                                <w:rPr>
                                  <w:sz w:val="20"/>
                                </w:rPr>
                              </w:pPr>
                              <w:r>
                                <w:rPr>
                                  <w:sz w:val="20"/>
                                </w:rPr>
                                <w:t>贷：银行存款</w:t>
                              </w:r>
                            </w:p>
                            <w:p>
                              <w:pPr>
                                <w:spacing w:before="71" w:line="304" w:lineRule="auto"/>
                                <w:ind w:left="503" w:right="82" w:hanging="401"/>
                                <w:jc w:val="left"/>
                                <w:rPr>
                                  <w:sz w:val="20"/>
                                </w:rPr>
                              </w:pPr>
                              <w:r>
                                <w:rPr>
                                  <w:w w:val="95"/>
                                  <w:sz w:val="20"/>
                                </w:rPr>
                                <w:t>借：应交税费—应交增值税（减免税款</w:t>
                              </w:r>
                              <w:r>
                                <w:rPr>
                                  <w:spacing w:val="-99"/>
                                  <w:w w:val="95"/>
                                  <w:sz w:val="20"/>
                                </w:rPr>
                                <w:t>）</w:t>
                              </w:r>
                              <w:r>
                                <w:rPr>
                                  <w:w w:val="95"/>
                                  <w:sz w:val="20"/>
                                </w:rPr>
                                <w:t xml:space="preserve">【一般纳税人】 </w:t>
                              </w:r>
                              <w:r>
                                <w:rPr>
                                  <w:sz w:val="20"/>
                                </w:rPr>
                                <w:t>应交税费—应交增值税【小规模纳税人】</w:t>
                              </w:r>
                            </w:p>
                            <w:p>
                              <w:pPr>
                                <w:spacing w:before="0" w:line="256" w:lineRule="exact"/>
                                <w:ind w:left="503" w:right="0" w:firstLine="0"/>
                                <w:jc w:val="left"/>
                                <w:rPr>
                                  <w:sz w:val="20"/>
                                </w:rPr>
                              </w:pPr>
                              <w:r>
                                <w:rPr>
                                  <w:sz w:val="20"/>
                                </w:rPr>
                                <w:t>贷：管理费用</w:t>
                              </w:r>
                            </w:p>
                          </w:txbxContent>
                        </wps:txbx>
                        <wps:bodyPr lIns="0" tIns="0" rIns="0" bIns="0" upright="1"/>
                      </wps:wsp>
                    </wpg:wgp>
                  </a:graphicData>
                </a:graphic>
              </wp:anchor>
            </w:drawing>
          </mc:Choice>
          <mc:Fallback>
            <w:pict>
              <v:group id="组合 219" o:spid="_x0000_s1026" o:spt="203" style="position:absolute;left:0pt;margin-left:48.5pt;margin-top:65.2pt;height:98.8pt;width:510.2pt;mso-position-horizontal-relative:page;z-index:-20836352;mso-width-relative:page;mso-height-relative:page;" coordorigin="970,1304" coordsize="10204,1976" o:gfxdata="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IDskrfbAAAACwEAAA8AAAAAAAAAAQAgAAAAIgAAAGRycy9kb3ducmV2LnhtbFBLAQIUABQAAAAI&#10;AIdO4kCjJxjDlQIAAHQHAAAOAAAAAAAAAAEAIAAAACoBAABkcnMvZTJvRG9jLnhtbFBLBQYAAAAA&#10;BgAGAFkBAAAxBgAAAAA=&#10;">
                <o:lock v:ext="edit" aspectratio="f"/>
                <v:shape id="文本框 220" o:spid="_x0000_s1026" o:spt="202" type="#_x0000_t202" style="position:absolute;left:6072;top:1309;height:1966;width:5097;" filled="f" stroked="t" coordsize="21600,21600" o:gfxdata="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9lq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spacing w:before="68" w:line="304" w:lineRule="auto"/>
                          <w:ind w:left="103" w:right="1183" w:firstLine="0"/>
                          <w:jc w:val="left"/>
                          <w:rPr>
                            <w:sz w:val="20"/>
                          </w:rPr>
                        </w:pPr>
                        <w:r>
                          <w:rPr>
                            <w:sz w:val="20"/>
                          </w:rPr>
                          <w:t>②发生增值税税控系统专用设备技术维护费借：管理费用</w:t>
                        </w:r>
                      </w:p>
                      <w:p>
                        <w:pPr>
                          <w:spacing w:before="2"/>
                          <w:ind w:left="503" w:right="0" w:firstLine="0"/>
                          <w:jc w:val="left"/>
                          <w:rPr>
                            <w:sz w:val="20"/>
                          </w:rPr>
                        </w:pPr>
                        <w:r>
                          <w:rPr>
                            <w:sz w:val="20"/>
                          </w:rPr>
                          <w:t>贷：银行存款</w:t>
                        </w:r>
                      </w:p>
                      <w:p>
                        <w:pPr>
                          <w:spacing w:before="71" w:line="304" w:lineRule="auto"/>
                          <w:ind w:left="503" w:right="84" w:hanging="401"/>
                          <w:jc w:val="left"/>
                          <w:rPr>
                            <w:sz w:val="20"/>
                          </w:rPr>
                        </w:pPr>
                        <w:r>
                          <w:rPr>
                            <w:w w:val="95"/>
                            <w:sz w:val="20"/>
                          </w:rPr>
                          <w:t>借：应交税费—应交增值税（减免税款</w:t>
                        </w:r>
                        <w:r>
                          <w:rPr>
                            <w:spacing w:val="-101"/>
                            <w:w w:val="95"/>
                            <w:sz w:val="20"/>
                          </w:rPr>
                          <w:t>）</w:t>
                        </w:r>
                        <w:r>
                          <w:rPr>
                            <w:w w:val="95"/>
                            <w:sz w:val="20"/>
                          </w:rPr>
                          <w:t xml:space="preserve">【一般纳税人】 </w:t>
                        </w:r>
                        <w:r>
                          <w:rPr>
                            <w:sz w:val="20"/>
                          </w:rPr>
                          <w:t>应交税费—应交增值税【小规模纳税人】</w:t>
                        </w:r>
                      </w:p>
                      <w:p>
                        <w:pPr>
                          <w:spacing w:before="0" w:line="256" w:lineRule="exact"/>
                          <w:ind w:left="503" w:right="0" w:firstLine="0"/>
                          <w:jc w:val="left"/>
                          <w:rPr>
                            <w:sz w:val="20"/>
                          </w:rPr>
                        </w:pPr>
                        <w:r>
                          <w:rPr>
                            <w:sz w:val="20"/>
                          </w:rPr>
                          <w:t>贷：管理费用</w:t>
                        </w:r>
                      </w:p>
                    </w:txbxContent>
                  </v:textbox>
                </v:shape>
                <v:shape id="文本框 221" o:spid="_x0000_s1026" o:spt="202" type="#_x0000_t202" style="position:absolute;left:975;top:1309;height:1966;width:5097;" filled="f" stroked="t" coordsize="21600,21600" o:gfxdata="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j3zx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spacing w:before="68" w:line="304" w:lineRule="auto"/>
                          <w:ind w:left="102" w:right="1781" w:firstLine="0"/>
                          <w:jc w:val="left"/>
                          <w:rPr>
                            <w:sz w:val="20"/>
                          </w:rPr>
                        </w:pPr>
                        <w:r>
                          <w:rPr>
                            <w:sz w:val="20"/>
                          </w:rPr>
                          <w:t>①初次购入增值税税控系统专用设备借：固定资产</w:t>
                        </w:r>
                      </w:p>
                      <w:p>
                        <w:pPr>
                          <w:spacing w:before="2"/>
                          <w:ind w:left="503" w:right="0" w:firstLine="0"/>
                          <w:jc w:val="left"/>
                          <w:rPr>
                            <w:sz w:val="20"/>
                          </w:rPr>
                        </w:pPr>
                        <w:r>
                          <w:rPr>
                            <w:sz w:val="20"/>
                          </w:rPr>
                          <w:t>贷：银行存款</w:t>
                        </w:r>
                      </w:p>
                      <w:p>
                        <w:pPr>
                          <w:spacing w:before="71" w:line="304" w:lineRule="auto"/>
                          <w:ind w:left="503" w:right="82" w:hanging="401"/>
                          <w:jc w:val="left"/>
                          <w:rPr>
                            <w:sz w:val="20"/>
                          </w:rPr>
                        </w:pPr>
                        <w:r>
                          <w:rPr>
                            <w:w w:val="95"/>
                            <w:sz w:val="20"/>
                          </w:rPr>
                          <w:t>借：应交税费—应交增值税（减免税款</w:t>
                        </w:r>
                        <w:r>
                          <w:rPr>
                            <w:spacing w:val="-99"/>
                            <w:w w:val="95"/>
                            <w:sz w:val="20"/>
                          </w:rPr>
                          <w:t>）</w:t>
                        </w:r>
                        <w:r>
                          <w:rPr>
                            <w:w w:val="95"/>
                            <w:sz w:val="20"/>
                          </w:rPr>
                          <w:t xml:space="preserve">【一般纳税人】 </w:t>
                        </w:r>
                        <w:r>
                          <w:rPr>
                            <w:sz w:val="20"/>
                          </w:rPr>
                          <w:t>应交税费—应交增值税【小规模纳税人】</w:t>
                        </w:r>
                      </w:p>
                      <w:p>
                        <w:pPr>
                          <w:spacing w:before="0" w:line="256" w:lineRule="exact"/>
                          <w:ind w:left="503" w:right="0" w:firstLine="0"/>
                          <w:jc w:val="left"/>
                          <w:rPr>
                            <w:sz w:val="20"/>
                          </w:rPr>
                        </w:pPr>
                        <w:r>
                          <w:rPr>
                            <w:sz w:val="20"/>
                          </w:rPr>
                          <w:t>贷：管理费用</w:t>
                        </w:r>
                      </w:p>
                    </w:txbxContent>
                  </v:textbox>
                </v:shape>
              </v:group>
            </w:pict>
          </mc:Fallback>
        </mc:AlternateContent>
      </w:r>
      <w:r>
        <w:t>企业</w:t>
      </w:r>
      <w:r>
        <w:rPr>
          <w:color w:val="FF0000"/>
          <w:u w:val="double" w:color="FF0000"/>
        </w:rPr>
        <w:t>初次购买增值税税控系统专用设备支付的费用以及缴纳的技术维护费</w:t>
      </w:r>
      <w:r>
        <w:t>允许在增值税应纳税额中</w:t>
      </w:r>
      <w:r>
        <w:rPr>
          <w:color w:val="FF0000"/>
          <w:u w:val="double" w:color="FF0000"/>
        </w:rPr>
        <w:t>全额抵减</w:t>
      </w:r>
      <w:r>
        <w:t>。增值税税控系统专用设备，</w:t>
      </w:r>
      <w:r>
        <w:rPr>
          <w:b/>
          <w:color w:val="00AFEF"/>
          <w:u w:val="single" w:color="00AFEF"/>
        </w:rPr>
        <w:t>包括增值税防伪税控系统设备</w:t>
      </w:r>
      <w:r>
        <w:t>（如金税卡、IC</w:t>
      </w:r>
      <w:r>
        <w:rPr>
          <w:spacing w:val="-9"/>
        </w:rPr>
        <w:t xml:space="preserve"> 卡、读卡器或金税盘和报税盘</w:t>
      </w:r>
      <w:r>
        <w:rPr>
          <w:spacing w:val="-99"/>
        </w:rPr>
        <w:t>）</w:t>
      </w:r>
      <w:r>
        <w:t>、货物运输业增值税专用发票税控系统设备（如税控盘和报税盘</w:t>
      </w:r>
      <w:r>
        <w:rPr>
          <w:spacing w:val="-99"/>
        </w:rPr>
        <w:t>）</w:t>
      </w:r>
      <w:r>
        <w:t>、机动车销售统一发票税控系统和公路、内河货物运输业发票税控系统的设备（如税控盘和传输盘</w:t>
      </w:r>
      <w:r>
        <w:rPr>
          <w:spacing w:val="-101"/>
        </w:rPr>
        <w:t>）</w:t>
      </w:r>
      <w: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1"/>
        <w:ind w:left="0"/>
        <w:rPr>
          <w:sz w:val="27"/>
        </w:rPr>
      </w:pPr>
      <w:r>
        <mc:AlternateContent>
          <mc:Choice Requires="wps">
            <w:drawing>
              <wp:anchor distT="0" distB="0" distL="0" distR="0" simplePos="0" relativeHeight="487700480" behindDoc="1" locked="0" layoutInCell="1" allowOverlap="1">
                <wp:simplePos x="0" y="0"/>
                <wp:positionH relativeFrom="page">
                  <wp:posOffset>954405</wp:posOffset>
                </wp:positionH>
                <wp:positionV relativeFrom="paragraph">
                  <wp:posOffset>235585</wp:posOffset>
                </wp:positionV>
                <wp:extent cx="936625" cy="185420"/>
                <wp:effectExtent l="0" t="0" r="15875" b="5080"/>
                <wp:wrapTopAndBottom/>
                <wp:docPr id="352" name="文本框 222"/>
                <wp:cNvGraphicFramePr/>
                <a:graphic xmlns:a="http://schemas.openxmlformats.org/drawingml/2006/main">
                  <a:graphicData uri="http://schemas.microsoft.com/office/word/2010/wordprocessingShape">
                    <wps:wsp>
                      <wps:cNvSpPr txBox="1"/>
                      <wps:spPr>
                        <a:xfrm>
                          <a:off x="0" y="0"/>
                          <a:ext cx="936625" cy="185420"/>
                        </a:xfrm>
                        <a:prstGeom prst="rect">
                          <a:avLst/>
                        </a:prstGeom>
                        <a:solidFill>
                          <a:srgbClr val="C0C0C0"/>
                        </a:solidFill>
                        <a:ln>
                          <a:noFill/>
                        </a:ln>
                      </wps:spPr>
                      <wps:txbx>
                        <w:txbxContent>
                          <w:p>
                            <w:pPr>
                              <w:spacing w:before="22"/>
                              <w:ind w:left="-1" w:right="0" w:firstLine="0"/>
                              <w:jc w:val="left"/>
                              <w:rPr>
                                <w:b/>
                                <w:sz w:val="21"/>
                              </w:rPr>
                            </w:pPr>
                            <w:bookmarkStart w:id="182" w:name="三、应交消费税"/>
                            <w:bookmarkEnd w:id="182"/>
                            <w:r>
                              <w:rPr>
                                <w:b/>
                                <w:sz w:val="21"/>
                              </w:rPr>
                              <w:t>三、应交消费税</w:t>
                            </w:r>
                          </w:p>
                        </w:txbxContent>
                      </wps:txbx>
                      <wps:bodyPr lIns="0" tIns="0" rIns="0" bIns="0" upright="1"/>
                    </wps:wsp>
                  </a:graphicData>
                </a:graphic>
              </wp:anchor>
            </w:drawing>
          </mc:Choice>
          <mc:Fallback>
            <w:pict>
              <v:shape id="文本框 222" o:spid="_x0000_s1026" o:spt="202" type="#_x0000_t202" style="position:absolute;left:0pt;margin-left:75.15pt;margin-top:18.55pt;height:14.6pt;width:73.75pt;mso-position-horizontal-relative:page;mso-wrap-distance-bottom:0pt;mso-wrap-distance-top:0pt;z-index:-15616000;mso-width-relative:page;mso-height-relative:page;" fillcolor="#C0C0C0" filled="t" stroked="f" coordsize="21600,21600" o:gfxdata="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I1qPrYAAAACQEAAA8AAAAAAAAAAQAgAAAAIgAAAGRycy9kb3ducmV2LnhtbFBLAQIU&#10;ABQAAAAIAIdO4kADnX4yugEAAFADAAAOAAAAAAAAAAEAIAAAACcBAABkcnMvZTJvRG9jLnhtbFBL&#10;BQYAAAAABgAGAFkBAABTBQAAAAA=&#10;">
                <v:fill on="t" focussize="0,0"/>
                <v:stroke on="f"/>
                <v:imagedata o:title=""/>
                <o:lock v:ext="edit" aspectratio="f"/>
                <v:textbox inset="0mm,0mm,0mm,0mm">
                  <w:txbxContent>
                    <w:p>
                      <w:pPr>
                        <w:spacing w:before="22"/>
                        <w:ind w:left="-1" w:right="0" w:firstLine="0"/>
                        <w:jc w:val="left"/>
                        <w:rPr>
                          <w:b/>
                          <w:sz w:val="21"/>
                        </w:rPr>
                      </w:pPr>
                      <w:bookmarkStart w:id="182" w:name="三、应交消费税"/>
                      <w:bookmarkEnd w:id="182"/>
                      <w:r>
                        <w:rPr>
                          <w:b/>
                          <w:sz w:val="21"/>
                        </w:rPr>
                        <w:t>三、应交消费税</w:t>
                      </w:r>
                    </w:p>
                  </w:txbxContent>
                </v:textbox>
                <w10:wrap type="topAndBottom"/>
              </v:shape>
            </w:pict>
          </mc:Fallback>
        </mc:AlternateContent>
      </w:r>
    </w:p>
    <w:p>
      <w:pPr>
        <w:pStyle w:val="5"/>
        <w:spacing w:before="73"/>
      </w:pPr>
      <w:r>
        <w:t>（一）消费税概述</w:t>
      </w:r>
    </w:p>
    <w:p>
      <w:pPr>
        <w:pStyle w:val="5"/>
        <w:rPr>
          <w:b w:val="0"/>
        </w:rPr>
      </w:pPr>
      <w:r>
        <w:rPr>
          <w:b w:val="0"/>
        </w:rPr>
        <w:t>消费税是</w:t>
      </w:r>
      <w:r>
        <w:rPr>
          <w:color w:val="00AFEF"/>
          <w:u w:val="single" w:color="00AFEF"/>
        </w:rPr>
        <w:t>指在我国境内生产、委托加工和进口应税消费品的单位和个人，按其流转额交纳的一种税</w:t>
      </w:r>
      <w:r>
        <w:rPr>
          <w:b w:val="0"/>
        </w:rPr>
        <w:t>。</w:t>
      </w:r>
    </w:p>
    <w:p>
      <w:pPr>
        <w:pStyle w:val="6"/>
        <w:spacing w:before="8"/>
        <w:ind w:left="0"/>
        <w:rPr>
          <w:sz w:val="11"/>
        </w:rPr>
      </w:pPr>
      <w:r>
        <w:drawing>
          <wp:anchor distT="0" distB="0" distL="0" distR="0" simplePos="0" relativeHeight="1024" behindDoc="0" locked="0" layoutInCell="1" allowOverlap="1">
            <wp:simplePos x="0" y="0"/>
            <wp:positionH relativeFrom="page">
              <wp:posOffset>2727325</wp:posOffset>
            </wp:positionH>
            <wp:positionV relativeFrom="paragraph">
              <wp:posOffset>119380</wp:posOffset>
            </wp:positionV>
            <wp:extent cx="2336165" cy="533400"/>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4.png"/>
                    <pic:cNvPicPr>
                      <a:picLocks noChangeAspect="1"/>
                    </pic:cNvPicPr>
                  </pic:nvPicPr>
                  <pic:blipFill>
                    <a:blip r:embed="rId52" cstate="print"/>
                    <a:stretch>
                      <a:fillRect/>
                    </a:stretch>
                  </pic:blipFill>
                  <pic:spPr>
                    <a:xfrm>
                      <a:off x="0" y="0"/>
                      <a:ext cx="2336080" cy="533400"/>
                    </a:xfrm>
                    <a:prstGeom prst="rect">
                      <a:avLst/>
                    </a:prstGeom>
                  </pic:spPr>
                </pic:pic>
              </a:graphicData>
            </a:graphic>
          </wp:anchor>
        </w:drawing>
      </w:r>
    </w:p>
    <w:p>
      <w:pPr>
        <w:pStyle w:val="6"/>
        <w:spacing w:before="4"/>
        <w:ind w:left="0"/>
      </w:pPr>
    </w:p>
    <w:p>
      <w:pPr>
        <w:pStyle w:val="13"/>
        <w:numPr>
          <w:ilvl w:val="0"/>
          <w:numId w:val="90"/>
        </w:numPr>
        <w:tabs>
          <w:tab w:val="left" w:pos="925"/>
        </w:tabs>
        <w:spacing w:before="0" w:after="0" w:line="240" w:lineRule="auto"/>
        <w:ind w:left="924" w:right="0" w:hanging="202"/>
        <w:jc w:val="left"/>
        <w:rPr>
          <w:sz w:val="20"/>
        </w:rPr>
      </w:pPr>
      <w:r>
        <w:rPr>
          <w:b/>
          <w:sz w:val="20"/>
        </w:rPr>
        <w:t>征收方法</w:t>
      </w:r>
      <w:r>
        <w:rPr>
          <w:sz w:val="20"/>
        </w:rPr>
        <w:t>：</w:t>
      </w:r>
      <w:r>
        <w:rPr>
          <w:color w:val="FF0000"/>
          <w:sz w:val="20"/>
          <w:u w:val="double" w:color="FF0000"/>
        </w:rPr>
        <w:t>从价定率、从量定额、从价定率和从量定额复合计税（简称复合计税）</w:t>
      </w:r>
    </w:p>
    <w:p>
      <w:pPr>
        <w:pStyle w:val="13"/>
        <w:numPr>
          <w:ilvl w:val="0"/>
          <w:numId w:val="90"/>
        </w:numPr>
        <w:tabs>
          <w:tab w:val="left" w:pos="925"/>
        </w:tabs>
        <w:spacing w:before="70" w:after="0" w:line="240" w:lineRule="auto"/>
        <w:ind w:left="924" w:right="0" w:hanging="202"/>
        <w:jc w:val="left"/>
        <w:rPr>
          <w:sz w:val="20"/>
        </w:rPr>
      </w:pPr>
      <w:r>
        <w:rPr>
          <w:b/>
          <w:sz w:val="20"/>
        </w:rPr>
        <w:t>销售额</w:t>
      </w:r>
      <w:r>
        <w:rPr>
          <w:sz w:val="20"/>
        </w:rPr>
        <w:t>：</w:t>
      </w:r>
      <w:r>
        <w:rPr>
          <w:color w:val="FF0000"/>
          <w:sz w:val="20"/>
          <w:u w:val="double" w:color="FF0000"/>
        </w:rPr>
        <w:t>含消费税，不含增值税的销售额</w:t>
      </w:r>
    </w:p>
    <w:p>
      <w:pPr>
        <w:pStyle w:val="5"/>
        <w:spacing w:line="304" w:lineRule="auto"/>
        <w:ind w:right="7853"/>
      </w:pPr>
      <w:r>
        <w:t>（二）消费税的账务处理1.销售应税消费品</w:t>
      </w:r>
    </w:p>
    <w:p>
      <w:pPr>
        <w:pStyle w:val="6"/>
        <w:spacing w:before="0" w:line="256" w:lineRule="exact"/>
      </w:pPr>
      <w:r>
        <w:t>借：税金及附加</w:t>
      </w:r>
    </w:p>
    <w:p>
      <w:pPr>
        <w:spacing w:before="70" w:line="304" w:lineRule="auto"/>
        <w:ind w:left="723" w:right="7262" w:firstLine="400"/>
        <w:jc w:val="left"/>
        <w:rPr>
          <w:b/>
          <w:sz w:val="20"/>
        </w:rPr>
      </w:pPr>
      <w:r>
        <mc:AlternateContent>
          <mc:Choice Requires="wpg">
            <w:drawing>
              <wp:anchor distT="0" distB="0" distL="114300" distR="114300" simplePos="0" relativeHeight="482478080" behindDoc="1" locked="0" layoutInCell="1" allowOverlap="1">
                <wp:simplePos x="0" y="0"/>
                <wp:positionH relativeFrom="page">
                  <wp:posOffset>852805</wp:posOffset>
                </wp:positionH>
                <wp:positionV relativeFrom="paragraph">
                  <wp:posOffset>414655</wp:posOffset>
                </wp:positionV>
                <wp:extent cx="5854700" cy="633730"/>
                <wp:effectExtent l="1270" t="1905" r="11430" b="12065"/>
                <wp:wrapNone/>
                <wp:docPr id="305" name="组合 223"/>
                <wp:cNvGraphicFramePr/>
                <a:graphic xmlns:a="http://schemas.openxmlformats.org/drawingml/2006/main">
                  <a:graphicData uri="http://schemas.microsoft.com/office/word/2010/wordprocessingGroup">
                    <wpg:wgp>
                      <wpg:cNvGrpSpPr/>
                      <wpg:grpSpPr>
                        <a:xfrm>
                          <a:off x="0" y="0"/>
                          <a:ext cx="5854700" cy="633730"/>
                          <a:chOff x="1343" y="654"/>
                          <a:chExt cx="9220" cy="998"/>
                        </a:xfrm>
                      </wpg:grpSpPr>
                      <wps:wsp>
                        <wps:cNvPr id="303" name="文本框 224"/>
                        <wps:cNvSpPr txBox="1"/>
                        <wps:spPr>
                          <a:xfrm>
                            <a:off x="6445" y="658"/>
                            <a:ext cx="4113" cy="988"/>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102" w:right="2300" w:firstLine="0"/>
                                <w:jc w:val="left"/>
                                <w:rPr>
                                  <w:sz w:val="20"/>
                                </w:rPr>
                              </w:pPr>
                              <w:r>
                                <w:rPr>
                                  <w:sz w:val="20"/>
                                </w:rPr>
                                <w:t>（2）用于职工福利借：税金及附加</w:t>
                              </w:r>
                            </w:p>
                            <w:p>
                              <w:pPr>
                                <w:spacing w:before="2"/>
                                <w:ind w:left="503" w:right="0" w:firstLine="0"/>
                                <w:jc w:val="left"/>
                                <w:rPr>
                                  <w:sz w:val="20"/>
                                </w:rPr>
                              </w:pPr>
                              <w:r>
                                <w:rPr>
                                  <w:sz w:val="20"/>
                                </w:rPr>
                                <w:t>贷：应交税费—应交消费税</w:t>
                              </w:r>
                            </w:p>
                          </w:txbxContent>
                        </wps:txbx>
                        <wps:bodyPr lIns="0" tIns="0" rIns="0" bIns="0" upright="1"/>
                      </wps:wsp>
                      <wps:wsp>
                        <wps:cNvPr id="304" name="文本框 225"/>
                        <wps:cNvSpPr txBox="1"/>
                        <wps:spPr>
                          <a:xfrm>
                            <a:off x="1348" y="658"/>
                            <a:ext cx="5097" cy="988"/>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103" w:right="3282" w:firstLine="0"/>
                                <w:jc w:val="left"/>
                                <w:rPr>
                                  <w:sz w:val="20"/>
                                </w:rPr>
                              </w:pPr>
                              <w:r>
                                <w:rPr>
                                  <w:sz w:val="20"/>
                                </w:rPr>
                                <w:t>（1）用于在建工程借：在建工程</w:t>
                              </w:r>
                            </w:p>
                            <w:p>
                              <w:pPr>
                                <w:spacing w:before="2"/>
                                <w:ind w:left="502" w:right="0" w:firstLine="0"/>
                                <w:jc w:val="left"/>
                                <w:rPr>
                                  <w:sz w:val="20"/>
                                </w:rPr>
                              </w:pPr>
                              <w:r>
                                <w:rPr>
                                  <w:sz w:val="20"/>
                                </w:rPr>
                                <w:t>贷：应交税费—应交消费税</w:t>
                              </w:r>
                            </w:p>
                          </w:txbxContent>
                        </wps:txbx>
                        <wps:bodyPr lIns="0" tIns="0" rIns="0" bIns="0" upright="1"/>
                      </wps:wsp>
                    </wpg:wgp>
                  </a:graphicData>
                </a:graphic>
              </wp:anchor>
            </w:drawing>
          </mc:Choice>
          <mc:Fallback>
            <w:pict>
              <v:group id="组合 223" o:spid="_x0000_s1026" o:spt="203" style="position:absolute;left:0pt;margin-left:67.15pt;margin-top:32.65pt;height:49.9pt;width:461pt;mso-position-horizontal-relative:page;z-index:-20838400;mso-width-relative:page;mso-height-relative:page;" coordorigin="1343,654" coordsize="9220,998" o:gfxdata="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AMV9p9kAAAALAQAADwAAAAAAAAABACAAAAAiAAAAZHJzL2Rvd25yZXYueG1sUEsB&#10;AhQAFAAAAAgAh07iQCM69lifAgAAbgcAAA4AAAAAAAAAAQAgAAAAKAEAAGRycy9lMm9Eb2MueG1s&#10;UEsFBgAAAAAGAAYAWQEAADkGAAAAAA==&#10;">
                <o:lock v:ext="edit" aspectratio="f"/>
                <v:shape id="文本框 224" o:spid="_x0000_s1026" o:spt="202" type="#_x0000_t202" style="position:absolute;left:6445;top:658;height:988;width:4113;" filled="f" stroked="t" coordsize="21600,21600" o:gfxdata="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tHry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spacing w:before="69" w:line="304" w:lineRule="auto"/>
                          <w:ind w:left="102" w:right="2300" w:firstLine="0"/>
                          <w:jc w:val="left"/>
                          <w:rPr>
                            <w:sz w:val="20"/>
                          </w:rPr>
                        </w:pPr>
                        <w:r>
                          <w:rPr>
                            <w:sz w:val="20"/>
                          </w:rPr>
                          <w:t>（2）用于职工福利借：税金及附加</w:t>
                        </w:r>
                      </w:p>
                      <w:p>
                        <w:pPr>
                          <w:spacing w:before="2"/>
                          <w:ind w:left="503" w:right="0" w:firstLine="0"/>
                          <w:jc w:val="left"/>
                          <w:rPr>
                            <w:sz w:val="20"/>
                          </w:rPr>
                        </w:pPr>
                        <w:r>
                          <w:rPr>
                            <w:sz w:val="20"/>
                          </w:rPr>
                          <w:t>贷：应交税费—应交消费税</w:t>
                        </w:r>
                      </w:p>
                    </w:txbxContent>
                  </v:textbox>
                </v:shape>
                <v:shape id="文本框 225" o:spid="_x0000_s1026" o:spt="202" type="#_x0000_t202" style="position:absolute;left:1348;top:658;height:988;width:5097;" filled="f" stroked="t" coordsize="21600,21600" o:gfxdata="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13ihrsAAADc&#10;AAAADwAAAAAAAAABACAAAAAiAAAAZHJzL2Rvd25yZXYueG1sUEsBAhQAFAAAAAgAh07iQDMvBZ47&#10;AAAAOQAAABAAAAAAAAAAAQAgAAAACgEAAGRycy9zaGFwZXhtbC54bWxQSwUGAAAAAAYABgBbAQAA&#10;tAMAAAAA&#10;">
                  <v:fill on="f" focussize="0,0"/>
                  <v:stroke weight="0.48pt" color="#000000" joinstyle="miter"/>
                  <v:imagedata o:title=""/>
                  <o:lock v:ext="edit" aspectratio="f"/>
                  <v:textbox inset="0mm,0mm,0mm,0mm">
                    <w:txbxContent>
                      <w:p>
                        <w:pPr>
                          <w:spacing w:before="69" w:line="304" w:lineRule="auto"/>
                          <w:ind w:left="103" w:right="3282" w:firstLine="0"/>
                          <w:jc w:val="left"/>
                          <w:rPr>
                            <w:sz w:val="20"/>
                          </w:rPr>
                        </w:pPr>
                        <w:r>
                          <w:rPr>
                            <w:sz w:val="20"/>
                          </w:rPr>
                          <w:t>（1）用于在建工程借：在建工程</w:t>
                        </w:r>
                      </w:p>
                      <w:p>
                        <w:pPr>
                          <w:spacing w:before="2"/>
                          <w:ind w:left="502" w:right="0" w:firstLine="0"/>
                          <w:jc w:val="left"/>
                          <w:rPr>
                            <w:sz w:val="20"/>
                          </w:rPr>
                        </w:pPr>
                        <w:r>
                          <w:rPr>
                            <w:sz w:val="20"/>
                          </w:rPr>
                          <w:t>贷：应交税费—应交消费税</w:t>
                        </w:r>
                      </w:p>
                    </w:txbxContent>
                  </v:textbox>
                </v:shape>
              </v:group>
            </w:pict>
          </mc:Fallback>
        </mc:AlternateContent>
      </w:r>
      <w:r>
        <w:rPr>
          <w:sz w:val="20"/>
        </w:rPr>
        <w:t>贷：应交税费—应交消费税</w:t>
      </w:r>
      <w:r>
        <w:rPr>
          <w:b/>
          <w:sz w:val="20"/>
        </w:rPr>
        <w:t>2.自产自用的应税消费品</w:t>
      </w:r>
    </w:p>
    <w:p>
      <w:pPr>
        <w:pStyle w:val="6"/>
        <w:spacing w:before="0"/>
        <w:ind w:left="0"/>
        <w:rPr>
          <w:b/>
        </w:rPr>
      </w:pPr>
    </w:p>
    <w:p>
      <w:pPr>
        <w:pStyle w:val="6"/>
        <w:spacing w:before="0"/>
        <w:ind w:left="0"/>
        <w:rPr>
          <w:b/>
        </w:rPr>
      </w:pPr>
    </w:p>
    <w:p>
      <w:pPr>
        <w:pStyle w:val="6"/>
        <w:spacing w:before="0"/>
        <w:ind w:left="0"/>
        <w:rPr>
          <w:b/>
        </w:rPr>
      </w:pPr>
    </w:p>
    <w:p>
      <w:pPr>
        <w:pStyle w:val="6"/>
        <w:spacing w:before="1"/>
        <w:ind w:left="0"/>
        <w:rPr>
          <w:b/>
          <w:sz w:val="18"/>
        </w:rPr>
      </w:pPr>
    </w:p>
    <w:p>
      <w:pPr>
        <w:pStyle w:val="6"/>
        <w:spacing w:before="0"/>
      </w:pPr>
      <w:r>
        <mc:AlternateContent>
          <mc:Choice Requires="wps">
            <w:drawing>
              <wp:anchor distT="0" distB="0" distL="114300" distR="114300" simplePos="0" relativeHeight="15842304" behindDoc="0" locked="0" layoutInCell="1" allowOverlap="1">
                <wp:simplePos x="0" y="0"/>
                <wp:positionH relativeFrom="page">
                  <wp:posOffset>1068705</wp:posOffset>
                </wp:positionH>
                <wp:positionV relativeFrom="paragraph">
                  <wp:posOffset>138430</wp:posOffset>
                </wp:positionV>
                <wp:extent cx="251460" cy="5715"/>
                <wp:effectExtent l="0" t="0" r="0" b="0"/>
                <wp:wrapNone/>
                <wp:docPr id="151" name="任意多边形 22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26" o:spid="_x0000_s1026" o:spt="100" style="position:absolute;left:0pt;margin-left:84.15pt;margin-top:10.9pt;height:0.45pt;width:19.8pt;mso-position-horizontal-relative:page;z-index:15842304;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PWTjySU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aG&#10;EJ3ZAAAACQEAAA8AAAAAAAAAAQAgAAAAIgAAAGRycy9kb3ducmV2LnhtbFBLAQIUABQAAAAIAIdO&#10;4kD1k48k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】形成资产的，计入资产成本，视同销售的，计入税金及附加，并确认收入、结转成本。</w:t>
      </w:r>
    </w:p>
    <w:p>
      <w:pPr>
        <w:pStyle w:val="6"/>
      </w:pPr>
      <w:r>
        <w:t>（1）确认收入</w:t>
      </w:r>
    </w:p>
    <w:p>
      <w:pPr>
        <w:pStyle w:val="6"/>
        <w:tabs>
          <w:tab w:val="left" w:pos="3523"/>
          <w:tab w:val="left" w:pos="6223"/>
        </w:tabs>
        <w:spacing w:before="68"/>
      </w:pPr>
      <w:r>
        <w:t>借：应付职工薪酬—职工福利</w:t>
      </w:r>
      <w:r>
        <w:tab/>
      </w:r>
      <w:r>
        <w:t>3390</w:t>
      </w:r>
      <w:r>
        <w:tab/>
      </w:r>
      <w:r>
        <w:t>（2）结转成本</w:t>
      </w:r>
    </w:p>
    <w:p>
      <w:pPr>
        <w:pStyle w:val="6"/>
        <w:tabs>
          <w:tab w:val="left" w:pos="1799"/>
          <w:tab w:val="left" w:pos="5399"/>
          <w:tab w:val="left" w:pos="7199"/>
        </w:tabs>
        <w:ind w:left="0" w:right="1959"/>
        <w:jc w:val="right"/>
      </w:pPr>
      <w:r>
        <w:t>贷：主营业务收入</w:t>
      </w:r>
      <w:r>
        <w:tab/>
      </w:r>
      <w:r>
        <w:t>30000</w:t>
      </w:r>
      <w:r>
        <w:tab/>
      </w:r>
      <w:r>
        <w:t>借：主营业务成本</w:t>
      </w:r>
      <w:r>
        <w:tab/>
      </w:r>
      <w:r>
        <w:rPr>
          <w:w w:val="95"/>
        </w:rPr>
        <w:t>20000</w:t>
      </w:r>
    </w:p>
    <w:p>
      <w:pPr>
        <w:pStyle w:val="6"/>
        <w:tabs>
          <w:tab w:val="left" w:pos="3400"/>
          <w:tab w:val="left" w:pos="5399"/>
          <w:tab w:val="left" w:pos="6801"/>
        </w:tabs>
        <w:spacing w:before="71"/>
        <w:ind w:left="0" w:right="1959"/>
        <w:jc w:val="right"/>
      </w:pPr>
      <w:r>
        <w:t>应交税费—应交增值税（销项税额）</w:t>
      </w:r>
      <w:r>
        <w:tab/>
      </w:r>
      <w:r>
        <w:t>3900</w:t>
      </w:r>
      <w:r>
        <w:tab/>
      </w:r>
      <w:r>
        <w:t>贷：库存商品</w:t>
      </w:r>
      <w:r>
        <w:tab/>
      </w:r>
      <w:r>
        <w:rPr>
          <w:w w:val="95"/>
        </w:rPr>
        <w:t>20000</w:t>
      </w:r>
    </w:p>
    <w:p>
      <w:pPr>
        <w:pStyle w:val="6"/>
      </w:pPr>
      <w:r>
        <w:t>（3）计算消费税</w:t>
      </w:r>
    </w:p>
    <w:p>
      <w:pPr>
        <w:tabs>
          <w:tab w:val="left" w:pos="2923"/>
          <w:tab w:val="left" w:pos="4023"/>
          <w:tab w:val="left" w:pos="6622"/>
        </w:tabs>
        <w:spacing w:before="70" w:line="304" w:lineRule="auto"/>
        <w:ind w:left="723" w:right="3762" w:firstLine="600"/>
        <w:jc w:val="left"/>
        <w:rPr>
          <w:b/>
          <w:sz w:val="20"/>
        </w:rPr>
      </w:pPr>
      <w:r>
        <w:rPr>
          <w:sz w:val="20"/>
        </w:rPr>
        <w:t>借：税金及附加</w:t>
      </w:r>
      <w:r>
        <w:rPr>
          <w:sz w:val="20"/>
        </w:rPr>
        <w:tab/>
      </w:r>
      <w:r>
        <w:rPr>
          <w:sz w:val="20"/>
        </w:rPr>
        <w:t>3000</w:t>
      </w:r>
      <w:r>
        <w:rPr>
          <w:sz w:val="20"/>
        </w:rPr>
        <w:tab/>
      </w:r>
      <w:r>
        <w:rPr>
          <w:sz w:val="20"/>
        </w:rPr>
        <w:t>贷：应交税费—应交消费税</w:t>
      </w:r>
      <w:r>
        <w:rPr>
          <w:sz w:val="20"/>
        </w:rPr>
        <w:tab/>
      </w:r>
      <w:r>
        <w:rPr>
          <w:spacing w:val="-4"/>
          <w:sz w:val="20"/>
        </w:rPr>
        <w:t xml:space="preserve">3000 </w:t>
      </w:r>
      <w:r>
        <w:rPr>
          <w:b/>
          <w:sz w:val="20"/>
        </w:rPr>
        <w:t>3.委托加工应税消费品</w:t>
      </w:r>
    </w:p>
    <w:p>
      <w:pPr>
        <w:spacing w:after="0" w:line="304" w:lineRule="auto"/>
        <w:jc w:val="left"/>
        <w:rPr>
          <w:sz w:val="20"/>
        </w:rPr>
        <w:sectPr>
          <w:pgSz w:w="11910" w:h="16160"/>
          <w:pgMar w:top="1680" w:right="360" w:bottom="860" w:left="760" w:header="0" w:footer="548" w:gutter="0"/>
        </w:sectPr>
      </w:pPr>
    </w:p>
    <w:p>
      <w:pPr>
        <w:pStyle w:val="6"/>
        <w:spacing w:before="11"/>
        <w:ind w:left="0"/>
        <w:rPr>
          <w:b/>
          <w:sz w:val="13"/>
        </w:rPr>
      </w:pPr>
    </w:p>
    <w:p>
      <w:pPr>
        <w:pStyle w:val="13"/>
        <w:numPr>
          <w:ilvl w:val="0"/>
          <w:numId w:val="91"/>
        </w:numPr>
        <w:tabs>
          <w:tab w:val="left" w:pos="1224"/>
        </w:tabs>
        <w:spacing w:before="71" w:after="0" w:line="240" w:lineRule="auto"/>
        <w:ind w:left="1223" w:right="0" w:hanging="501"/>
        <w:jc w:val="left"/>
        <w:rPr>
          <w:sz w:val="20"/>
        </w:rPr>
      </w:pPr>
      <w:r>
        <w:rPr>
          <w:sz w:val="20"/>
        </w:rPr>
        <w:t>委托加工收回后</w:t>
      </w:r>
      <w:r>
        <w:rPr>
          <w:color w:val="FF0000"/>
          <w:sz w:val="20"/>
          <w:u w:val="double" w:color="FF0000"/>
        </w:rPr>
        <w:t>直接用于销售</w:t>
      </w:r>
      <w:r>
        <w:rPr>
          <w:sz w:val="20"/>
        </w:rPr>
        <w:t>的，应将受托方代收代缴的消费税</w:t>
      </w:r>
      <w:r>
        <w:rPr>
          <w:color w:val="FF0000"/>
          <w:sz w:val="20"/>
          <w:u w:val="double" w:color="FF0000"/>
        </w:rPr>
        <w:t>计入委托加工物资的成本</w:t>
      </w:r>
      <w:r>
        <w:rPr>
          <w:sz w:val="20"/>
        </w:rPr>
        <w:t>。</w:t>
      </w:r>
    </w:p>
    <w:p>
      <w:pPr>
        <w:pStyle w:val="6"/>
        <w:spacing w:before="0"/>
        <w:ind w:left="0"/>
        <w:rPr>
          <w:sz w:val="14"/>
        </w:rPr>
      </w:pPr>
      <w:r>
        <w:drawing>
          <wp:anchor distT="0" distB="0" distL="0" distR="0" simplePos="0" relativeHeight="1024" behindDoc="0" locked="0" layoutInCell="1" allowOverlap="1">
            <wp:simplePos x="0" y="0"/>
            <wp:positionH relativeFrom="page">
              <wp:posOffset>2696210</wp:posOffset>
            </wp:positionH>
            <wp:positionV relativeFrom="paragraph">
              <wp:posOffset>138430</wp:posOffset>
            </wp:positionV>
            <wp:extent cx="2402205" cy="927100"/>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5.png"/>
                    <pic:cNvPicPr>
                      <a:picLocks noChangeAspect="1"/>
                    </pic:cNvPicPr>
                  </pic:nvPicPr>
                  <pic:blipFill>
                    <a:blip r:embed="rId53" cstate="print"/>
                    <a:stretch>
                      <a:fillRect/>
                    </a:stretch>
                  </pic:blipFill>
                  <pic:spPr>
                    <a:xfrm>
                      <a:off x="0" y="0"/>
                      <a:ext cx="2402385" cy="927163"/>
                    </a:xfrm>
                    <a:prstGeom prst="rect">
                      <a:avLst/>
                    </a:prstGeom>
                  </pic:spPr>
                </pic:pic>
              </a:graphicData>
            </a:graphic>
          </wp:anchor>
        </w:drawing>
      </w:r>
    </w:p>
    <w:p>
      <w:pPr>
        <w:pStyle w:val="6"/>
        <w:spacing w:before="3"/>
        <w:ind w:left="0"/>
        <w:rPr>
          <w:sz w:val="18"/>
        </w:rPr>
      </w:pPr>
    </w:p>
    <w:p>
      <w:pPr>
        <w:pStyle w:val="13"/>
        <w:numPr>
          <w:ilvl w:val="0"/>
          <w:numId w:val="91"/>
        </w:numPr>
        <w:tabs>
          <w:tab w:val="left" w:pos="1224"/>
        </w:tabs>
        <w:spacing w:before="1" w:after="0" w:line="304" w:lineRule="auto"/>
        <w:ind w:left="322" w:right="761" w:firstLine="400"/>
        <w:jc w:val="left"/>
        <w:rPr>
          <w:sz w:val="20"/>
        </w:rPr>
      </w:pPr>
      <w:r>
        <w:rPr>
          <w:w w:val="95"/>
          <w:sz w:val="20"/>
        </w:rPr>
        <w:t>委托加工收回后用于</w:t>
      </w:r>
      <w:r>
        <w:rPr>
          <w:color w:val="FF0000"/>
          <w:w w:val="95"/>
          <w:sz w:val="20"/>
          <w:u w:val="double" w:color="FF0000"/>
        </w:rPr>
        <w:t>连续生产应税消费品</w:t>
      </w:r>
      <w:r>
        <w:rPr>
          <w:w w:val="95"/>
          <w:sz w:val="20"/>
        </w:rPr>
        <w:t>，</w:t>
      </w:r>
      <w:r>
        <w:rPr>
          <w:color w:val="FF0000"/>
          <w:w w:val="95"/>
          <w:sz w:val="20"/>
          <w:u w:val="double" w:color="FF0000"/>
        </w:rPr>
        <w:t>计入应交消费税，待用委托加工的应税消费品生产出应税</w:t>
      </w:r>
      <w:r>
        <w:rPr>
          <w:color w:val="FF0000"/>
          <w:spacing w:val="-199"/>
          <w:w w:val="95"/>
          <w:sz w:val="20"/>
          <w:u w:val="double" w:color="FF0000"/>
        </w:rPr>
        <w:t>消</w:t>
      </w:r>
      <w:r>
        <w:rPr>
          <w:color w:val="FF0000"/>
          <w:spacing w:val="161"/>
          <w:w w:val="95"/>
          <w:sz w:val="20"/>
          <w:u w:val="double" w:color="FF0000"/>
        </w:rPr>
        <w:t xml:space="preserve"> </w:t>
      </w:r>
      <w:r>
        <w:rPr>
          <w:color w:val="FF0000"/>
          <w:sz w:val="20"/>
          <w:u w:val="double" w:color="FF0000"/>
        </w:rPr>
        <w:t>费品销售时再缴纳消费税</w:t>
      </w:r>
      <w:r>
        <w:rPr>
          <w:sz w:val="20"/>
        </w:rPr>
        <w:t>。</w:t>
      </w:r>
    </w:p>
    <w:p>
      <w:pPr>
        <w:spacing w:after="0" w:line="304" w:lineRule="auto"/>
        <w:jc w:val="left"/>
        <w:rPr>
          <w:sz w:val="20"/>
        </w:rPr>
        <w:sectPr>
          <w:pgSz w:w="11910" w:h="16160"/>
          <w:pgMar w:top="1680" w:right="360" w:bottom="860" w:left="760" w:header="0" w:footer="548" w:gutter="0"/>
        </w:sectPr>
      </w:pPr>
    </w:p>
    <w:p>
      <w:pPr>
        <w:pStyle w:val="6"/>
        <w:spacing w:before="11"/>
        <w:ind w:left="0"/>
        <w:rPr>
          <w:sz w:val="13"/>
        </w:rPr>
      </w:pPr>
    </w:p>
    <w:p>
      <w:pPr>
        <w:pStyle w:val="5"/>
        <w:spacing w:before="71"/>
      </w:pPr>
      <w:r>
        <w:t>4.进口应税消费品</w:t>
      </w:r>
    </w:p>
    <w:p>
      <w:pPr>
        <w:pStyle w:val="5"/>
        <w:ind w:left="322"/>
        <w:rPr>
          <w:b w:val="0"/>
        </w:rPr>
      </w:pPr>
      <w:r>
        <w:rPr>
          <w:b w:val="0"/>
        </w:rPr>
        <w:t>企</w:t>
      </w:r>
      <w:r>
        <w:rPr>
          <w:color w:val="00AFEF"/>
          <w:u w:val="single" w:color="00AFEF"/>
        </w:rPr>
        <w:t>业进口应税物资在进口环节应交的消费税，计入该项物资的成本</w:t>
      </w:r>
      <w:r>
        <w:rPr>
          <w:b w:val="0"/>
        </w:rPr>
        <w:t>。</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11"/>
        <w:gridCol w:w="2790"/>
        <w:gridCol w:w="2775"/>
        <w:gridCol w:w="22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5" w:hRule="atLeast"/>
        </w:trPr>
        <w:tc>
          <w:tcPr>
            <w:tcW w:w="5101" w:type="dxa"/>
            <w:gridSpan w:val="2"/>
          </w:tcPr>
          <w:p>
            <w:pPr>
              <w:pStyle w:val="14"/>
              <w:spacing w:before="69" w:line="237" w:lineRule="exact"/>
              <w:ind w:left="2126" w:right="2122"/>
              <w:jc w:val="center"/>
              <w:rPr>
                <w:sz w:val="20"/>
              </w:rPr>
            </w:pPr>
            <w:r>
              <w:rPr>
                <w:sz w:val="20"/>
              </w:rPr>
              <w:t>项目</w:t>
            </w:r>
          </w:p>
        </w:tc>
        <w:tc>
          <w:tcPr>
            <w:tcW w:w="2775" w:type="dxa"/>
          </w:tcPr>
          <w:p>
            <w:pPr>
              <w:pStyle w:val="14"/>
              <w:spacing w:before="69" w:line="237" w:lineRule="exact"/>
              <w:ind w:left="364" w:right="359"/>
              <w:jc w:val="center"/>
              <w:rPr>
                <w:sz w:val="20"/>
              </w:rPr>
            </w:pPr>
            <w:r>
              <w:rPr>
                <w:sz w:val="20"/>
              </w:rPr>
              <w:t>消费税处理</w:t>
            </w:r>
          </w:p>
        </w:tc>
        <w:tc>
          <w:tcPr>
            <w:tcW w:w="2205" w:type="dxa"/>
          </w:tcPr>
          <w:p>
            <w:pPr>
              <w:pStyle w:val="14"/>
              <w:spacing w:before="69" w:line="237" w:lineRule="exact"/>
              <w:ind w:left="581" w:right="574"/>
              <w:jc w:val="center"/>
              <w:rPr>
                <w:sz w:val="20"/>
              </w:rPr>
            </w:pPr>
            <w:r>
              <w:rPr>
                <w:sz w:val="20"/>
              </w:rPr>
              <w:t>增值税处理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5101" w:type="dxa"/>
            <w:gridSpan w:val="2"/>
          </w:tcPr>
          <w:p>
            <w:pPr>
              <w:pStyle w:val="14"/>
              <w:spacing w:before="69" w:line="237" w:lineRule="exact"/>
              <w:ind w:left="2129" w:right="2122"/>
              <w:jc w:val="center"/>
              <w:rPr>
                <w:sz w:val="20"/>
              </w:rPr>
            </w:pPr>
            <w:r>
              <w:rPr>
                <w:sz w:val="20"/>
              </w:rPr>
              <w:t>销售产品</w:t>
            </w:r>
          </w:p>
        </w:tc>
        <w:tc>
          <w:tcPr>
            <w:tcW w:w="2775" w:type="dxa"/>
          </w:tcPr>
          <w:p>
            <w:pPr>
              <w:pStyle w:val="14"/>
              <w:spacing w:before="69" w:line="237" w:lineRule="exact"/>
              <w:ind w:left="364" w:right="359"/>
              <w:jc w:val="center"/>
              <w:rPr>
                <w:sz w:val="20"/>
              </w:rPr>
            </w:pPr>
            <w:r>
              <w:rPr>
                <w:sz w:val="20"/>
              </w:rPr>
              <w:t>税金及附加</w:t>
            </w:r>
          </w:p>
        </w:tc>
        <w:tc>
          <w:tcPr>
            <w:tcW w:w="2205" w:type="dxa"/>
          </w:tcPr>
          <w:p>
            <w:pPr>
              <w:pStyle w:val="14"/>
              <w:spacing w:before="69" w:line="237" w:lineRule="exact"/>
              <w:ind w:left="579" w:right="574"/>
              <w:jc w:val="center"/>
              <w:rPr>
                <w:sz w:val="20"/>
              </w:rPr>
            </w:pPr>
            <w:r>
              <w:rPr>
                <w:sz w:val="20"/>
              </w:rPr>
              <w:t>销项税额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311" w:type="dxa"/>
            <w:vMerge w:val="restart"/>
          </w:tcPr>
          <w:p>
            <w:pPr>
              <w:pStyle w:val="14"/>
              <w:spacing w:before="6"/>
              <w:rPr>
                <w:sz w:val="18"/>
              </w:rPr>
            </w:pPr>
          </w:p>
          <w:p>
            <w:pPr>
              <w:pStyle w:val="14"/>
              <w:ind w:left="755"/>
              <w:rPr>
                <w:sz w:val="20"/>
              </w:rPr>
            </w:pPr>
            <w:r>
              <w:rPr>
                <w:sz w:val="20"/>
              </w:rPr>
              <w:t>自产自用</w:t>
            </w:r>
          </w:p>
        </w:tc>
        <w:tc>
          <w:tcPr>
            <w:tcW w:w="2790" w:type="dxa"/>
          </w:tcPr>
          <w:p>
            <w:pPr>
              <w:pStyle w:val="14"/>
              <w:spacing w:before="69" w:line="237" w:lineRule="exact"/>
              <w:ind w:left="273" w:right="266"/>
              <w:jc w:val="center"/>
              <w:rPr>
                <w:sz w:val="20"/>
              </w:rPr>
            </w:pPr>
            <w:r>
              <w:rPr>
                <w:sz w:val="20"/>
              </w:rPr>
              <w:t>用于固定资产</w:t>
            </w:r>
          </w:p>
        </w:tc>
        <w:tc>
          <w:tcPr>
            <w:tcW w:w="2775" w:type="dxa"/>
          </w:tcPr>
          <w:p>
            <w:pPr>
              <w:pStyle w:val="14"/>
              <w:spacing w:before="69" w:line="237" w:lineRule="exact"/>
              <w:ind w:left="366" w:right="359"/>
              <w:jc w:val="center"/>
              <w:rPr>
                <w:sz w:val="20"/>
              </w:rPr>
            </w:pPr>
            <w:r>
              <w:rPr>
                <w:sz w:val="20"/>
              </w:rPr>
              <w:t>在建工程</w:t>
            </w:r>
          </w:p>
        </w:tc>
        <w:tc>
          <w:tcPr>
            <w:tcW w:w="2205" w:type="dxa"/>
          </w:tcPr>
          <w:p>
            <w:pPr>
              <w:pStyle w:val="14"/>
              <w:spacing w:before="69" w:line="237" w:lineRule="exact"/>
              <w:ind w:left="581" w:right="574"/>
              <w:jc w:val="center"/>
              <w:rPr>
                <w:sz w:val="20"/>
              </w:rPr>
            </w:pPr>
            <w:r>
              <w:rPr>
                <w:sz w:val="20"/>
              </w:rPr>
              <w:t>不处理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311" w:type="dxa"/>
            <w:vMerge w:val="continue"/>
            <w:tcBorders>
              <w:top w:val="nil"/>
            </w:tcBorders>
          </w:tcPr>
          <w:p>
            <w:pPr>
              <w:rPr>
                <w:sz w:val="2"/>
                <w:szCs w:val="2"/>
              </w:rPr>
            </w:pPr>
          </w:p>
        </w:tc>
        <w:tc>
          <w:tcPr>
            <w:tcW w:w="2790" w:type="dxa"/>
          </w:tcPr>
          <w:p>
            <w:pPr>
              <w:pStyle w:val="14"/>
              <w:spacing w:before="69" w:line="237" w:lineRule="exact"/>
              <w:ind w:left="273" w:right="266"/>
              <w:jc w:val="center"/>
              <w:rPr>
                <w:sz w:val="20"/>
              </w:rPr>
            </w:pPr>
            <w:r>
              <w:rPr>
                <w:sz w:val="20"/>
              </w:rPr>
              <w:t>用于职工福利、个人消费</w:t>
            </w:r>
          </w:p>
        </w:tc>
        <w:tc>
          <w:tcPr>
            <w:tcW w:w="2775" w:type="dxa"/>
          </w:tcPr>
          <w:p>
            <w:pPr>
              <w:pStyle w:val="14"/>
              <w:spacing w:before="69" w:line="237" w:lineRule="exact"/>
              <w:ind w:left="364" w:right="359"/>
              <w:jc w:val="center"/>
              <w:rPr>
                <w:sz w:val="20"/>
              </w:rPr>
            </w:pPr>
            <w:r>
              <w:rPr>
                <w:sz w:val="20"/>
              </w:rPr>
              <w:t>税金及附加</w:t>
            </w:r>
          </w:p>
        </w:tc>
        <w:tc>
          <w:tcPr>
            <w:tcW w:w="2205" w:type="dxa"/>
          </w:tcPr>
          <w:p>
            <w:pPr>
              <w:pStyle w:val="14"/>
              <w:spacing w:before="69" w:line="237" w:lineRule="exact"/>
              <w:ind w:left="579" w:right="574"/>
              <w:jc w:val="center"/>
              <w:rPr>
                <w:sz w:val="20"/>
              </w:rPr>
            </w:pPr>
            <w:r>
              <w:rPr>
                <w:sz w:val="20"/>
              </w:rPr>
              <w:t>销项税额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311" w:type="dxa"/>
            <w:vMerge w:val="restart"/>
          </w:tcPr>
          <w:p>
            <w:pPr>
              <w:pStyle w:val="14"/>
              <w:spacing w:before="6"/>
              <w:rPr>
                <w:sz w:val="18"/>
              </w:rPr>
            </w:pPr>
          </w:p>
          <w:p>
            <w:pPr>
              <w:pStyle w:val="14"/>
              <w:ind w:left="755"/>
              <w:rPr>
                <w:sz w:val="20"/>
              </w:rPr>
            </w:pPr>
            <w:r>
              <w:rPr>
                <w:sz w:val="20"/>
              </w:rPr>
              <w:t>委托加工</w:t>
            </w:r>
          </w:p>
        </w:tc>
        <w:tc>
          <w:tcPr>
            <w:tcW w:w="2790" w:type="dxa"/>
          </w:tcPr>
          <w:p>
            <w:pPr>
              <w:pStyle w:val="14"/>
              <w:spacing w:before="69" w:line="237" w:lineRule="exact"/>
              <w:ind w:left="273" w:right="266"/>
              <w:jc w:val="center"/>
              <w:rPr>
                <w:sz w:val="20"/>
              </w:rPr>
            </w:pPr>
            <w:r>
              <w:rPr>
                <w:sz w:val="20"/>
              </w:rPr>
              <w:t>收回直接出售</w:t>
            </w:r>
          </w:p>
        </w:tc>
        <w:tc>
          <w:tcPr>
            <w:tcW w:w="2775" w:type="dxa"/>
          </w:tcPr>
          <w:p>
            <w:pPr>
              <w:pStyle w:val="14"/>
              <w:spacing w:before="69" w:line="237" w:lineRule="exact"/>
              <w:ind w:left="366" w:right="356"/>
              <w:jc w:val="center"/>
              <w:rPr>
                <w:sz w:val="20"/>
              </w:rPr>
            </w:pPr>
            <w:r>
              <w:rPr>
                <w:sz w:val="20"/>
              </w:rPr>
              <w:t>委托加工物资</w:t>
            </w:r>
          </w:p>
        </w:tc>
        <w:tc>
          <w:tcPr>
            <w:tcW w:w="2205" w:type="dxa"/>
            <w:vMerge w:val="restart"/>
          </w:tcPr>
          <w:p>
            <w:pPr>
              <w:pStyle w:val="14"/>
              <w:rPr>
                <w:sz w:val="20"/>
              </w:rPr>
            </w:pPr>
          </w:p>
          <w:p>
            <w:pPr>
              <w:pStyle w:val="14"/>
              <w:spacing w:before="148"/>
              <w:ind w:left="700"/>
              <w:rPr>
                <w:sz w:val="20"/>
              </w:rPr>
            </w:pPr>
            <w:r>
              <w:rPr>
                <w:sz w:val="20"/>
              </w:rPr>
              <w:t>进项税额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311" w:type="dxa"/>
            <w:vMerge w:val="continue"/>
            <w:tcBorders>
              <w:top w:val="nil"/>
            </w:tcBorders>
          </w:tcPr>
          <w:p>
            <w:pPr>
              <w:rPr>
                <w:sz w:val="2"/>
                <w:szCs w:val="2"/>
              </w:rPr>
            </w:pPr>
          </w:p>
        </w:tc>
        <w:tc>
          <w:tcPr>
            <w:tcW w:w="2790" w:type="dxa"/>
          </w:tcPr>
          <w:p>
            <w:pPr>
              <w:pStyle w:val="14"/>
              <w:spacing w:before="69" w:line="237" w:lineRule="exact"/>
              <w:ind w:left="273" w:right="266"/>
              <w:jc w:val="center"/>
              <w:rPr>
                <w:sz w:val="20"/>
              </w:rPr>
            </w:pPr>
            <w:r>
              <w:rPr>
                <w:sz w:val="20"/>
              </w:rPr>
              <w:t>收回连续加工</w:t>
            </w:r>
          </w:p>
        </w:tc>
        <w:tc>
          <w:tcPr>
            <w:tcW w:w="2775" w:type="dxa"/>
          </w:tcPr>
          <w:p>
            <w:pPr>
              <w:pStyle w:val="14"/>
              <w:spacing w:before="69" w:line="237" w:lineRule="exact"/>
              <w:ind w:left="366" w:right="359"/>
              <w:jc w:val="center"/>
              <w:rPr>
                <w:sz w:val="20"/>
              </w:rPr>
            </w:pPr>
            <w:r>
              <w:rPr>
                <w:sz w:val="20"/>
              </w:rPr>
              <w:t>应交税费—应交消费税</w:t>
            </w:r>
          </w:p>
        </w:tc>
        <w:tc>
          <w:tcPr>
            <w:tcW w:w="220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5101" w:type="dxa"/>
            <w:gridSpan w:val="2"/>
          </w:tcPr>
          <w:p>
            <w:pPr>
              <w:pStyle w:val="14"/>
              <w:spacing w:before="69" w:line="237" w:lineRule="exact"/>
              <w:ind w:left="2126" w:right="2122"/>
              <w:jc w:val="center"/>
              <w:rPr>
                <w:sz w:val="20"/>
              </w:rPr>
            </w:pPr>
            <w:r>
              <w:rPr>
                <w:sz w:val="20"/>
              </w:rPr>
              <w:t>进口</w:t>
            </w:r>
          </w:p>
        </w:tc>
        <w:tc>
          <w:tcPr>
            <w:tcW w:w="2775" w:type="dxa"/>
          </w:tcPr>
          <w:p>
            <w:pPr>
              <w:pStyle w:val="14"/>
              <w:spacing w:before="69" w:line="237" w:lineRule="exact"/>
              <w:ind w:left="366" w:right="359"/>
              <w:jc w:val="center"/>
              <w:rPr>
                <w:sz w:val="20"/>
              </w:rPr>
            </w:pPr>
            <w:r>
              <w:rPr>
                <w:sz w:val="20"/>
              </w:rPr>
              <w:t>采购成本</w:t>
            </w:r>
          </w:p>
        </w:tc>
        <w:tc>
          <w:tcPr>
            <w:tcW w:w="2205" w:type="dxa"/>
            <w:vMerge w:val="continue"/>
            <w:tcBorders>
              <w:top w:val="nil"/>
            </w:tcBorders>
          </w:tcPr>
          <w:p>
            <w:pPr>
              <w:rPr>
                <w:sz w:val="2"/>
                <w:szCs w:val="2"/>
              </w:rPr>
            </w:pPr>
          </w:p>
        </w:tc>
      </w:tr>
    </w:tbl>
    <w:p>
      <w:pPr>
        <w:pStyle w:val="6"/>
        <w:spacing w:before="0"/>
        <w:ind w:left="743"/>
      </w:pPr>
      <w:r>
        <mc:AlternateContent>
          <mc:Choice Requires="wps">
            <w:drawing>
              <wp:inline distT="0" distB="0" distL="114300" distR="114300">
                <wp:extent cx="1070610" cy="185420"/>
                <wp:effectExtent l="0" t="0" r="15240" b="5080"/>
                <wp:docPr id="196" name="文本框 227"/>
                <wp:cNvGraphicFramePr/>
                <a:graphic xmlns:a="http://schemas.openxmlformats.org/drawingml/2006/main">
                  <a:graphicData uri="http://schemas.microsoft.com/office/word/2010/wordprocessingShape">
                    <wps:wsp>
                      <wps:cNvSpPr txBox="1"/>
                      <wps:spPr>
                        <a:xfrm>
                          <a:off x="0" y="0"/>
                          <a:ext cx="1070610" cy="185420"/>
                        </a:xfrm>
                        <a:prstGeom prst="rect">
                          <a:avLst/>
                        </a:prstGeom>
                        <a:solidFill>
                          <a:srgbClr val="C0C0C0"/>
                        </a:solidFill>
                        <a:ln>
                          <a:noFill/>
                        </a:ln>
                      </wps:spPr>
                      <wps:txbx>
                        <w:txbxContent>
                          <w:p>
                            <w:pPr>
                              <w:spacing w:before="20"/>
                              <w:ind w:left="-1" w:right="0" w:firstLine="0"/>
                              <w:jc w:val="left"/>
                              <w:rPr>
                                <w:b/>
                                <w:sz w:val="21"/>
                              </w:rPr>
                            </w:pPr>
                            <w:bookmarkStart w:id="183" w:name="四、其他应交税费"/>
                            <w:bookmarkEnd w:id="183"/>
                            <w:r>
                              <w:rPr>
                                <w:b/>
                                <w:sz w:val="21"/>
                              </w:rPr>
                              <w:t>四、其他应交税费</w:t>
                            </w:r>
                          </w:p>
                        </w:txbxContent>
                      </wps:txbx>
                      <wps:bodyPr lIns="0" tIns="0" rIns="0" bIns="0" upright="1"/>
                    </wps:wsp>
                  </a:graphicData>
                </a:graphic>
              </wp:inline>
            </w:drawing>
          </mc:Choice>
          <mc:Fallback>
            <w:pict>
              <v:shape id="文本框 227" o:spid="_x0000_s1026" o:spt="202" type="#_x0000_t202" style="height:14.6pt;width:84.3pt;" fillcolor="#C0C0C0" filled="t" stroked="f" coordsize="21600,21600" o:gfxdata="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hv38XUAAAABAEAAA8AAAAAAAAAAQAgAAAAIgAAAGRycy9kb3ducmV2LnhtbFBLAQIUABQAAAAI&#10;AIdO4kByGw94uAEAAFEDAAAOAAAAAAAAAAEAIAAAACMBAABkcnMvZTJvRG9jLnhtbFBLBQYAAAAA&#10;BgAGAFkBAABNBQAAAAA=&#10;">
                <v:fill on="t" focussize="0,0"/>
                <v:stroke on="f"/>
                <v:imagedata o:title=""/>
                <o:lock v:ext="edit" aspectratio="f"/>
                <v:textbox inset="0mm,0mm,0mm,0mm">
                  <w:txbxContent>
                    <w:p>
                      <w:pPr>
                        <w:spacing w:before="20"/>
                        <w:ind w:left="-1" w:right="0" w:firstLine="0"/>
                        <w:jc w:val="left"/>
                        <w:rPr>
                          <w:b/>
                          <w:sz w:val="21"/>
                        </w:rPr>
                      </w:pPr>
                      <w:bookmarkStart w:id="183" w:name="四、其他应交税费"/>
                      <w:bookmarkEnd w:id="183"/>
                      <w:r>
                        <w:rPr>
                          <w:b/>
                          <w:sz w:val="21"/>
                        </w:rPr>
                        <w:t>四、其他应交税费</w:t>
                      </w:r>
                    </w:p>
                  </w:txbxContent>
                </v:textbox>
                <w10:wrap type="none"/>
                <w10:anchorlock/>
              </v:shape>
            </w:pict>
          </mc:Fallback>
        </mc:AlternateContent>
      </w:r>
    </w:p>
    <w:p>
      <w:pPr>
        <w:pStyle w:val="5"/>
        <w:spacing w:before="66" w:line="304" w:lineRule="auto"/>
        <w:ind w:left="322" w:right="722" w:firstLine="400"/>
        <w:rPr>
          <w:b w:val="0"/>
        </w:rPr>
      </w:pPr>
      <w:r>
        <w:rPr>
          <w:b w:val="0"/>
          <w:w w:val="95"/>
        </w:rPr>
        <w:t>其他应交税费</w:t>
      </w:r>
      <w:r>
        <w:rPr>
          <w:color w:val="00AFEF"/>
          <w:spacing w:val="-7"/>
          <w:w w:val="95"/>
          <w:u w:val="single" w:color="00AFEF"/>
        </w:rPr>
        <w:t xml:space="preserve">包括应交资源税、应交城市维护建设税、应交土地增值税、应交房产税、应交土地使用税、应   </w:t>
      </w:r>
      <w:r>
        <w:rPr>
          <w:color w:val="00AFEF"/>
          <w:spacing w:val="-7"/>
          <w:u w:val="single" w:color="00AFEF"/>
        </w:rPr>
        <w:t>交车船税、应交教育费附加、应交矿产资源补偿费、应交个人所得税</w:t>
      </w:r>
      <w:r>
        <w:rPr>
          <w:b w:val="0"/>
          <w:spacing w:val="-7"/>
        </w:rPr>
        <w:t>等。</w:t>
      </w:r>
    </w:p>
    <w:p>
      <w:pPr>
        <w:pStyle w:val="5"/>
        <w:spacing w:before="1"/>
      </w:pPr>
      <w:r>
        <w:t>（一）应交资源税</w:t>
      </w:r>
    </w:p>
    <w:p>
      <w:pPr>
        <w:tabs>
          <w:tab w:val="left" w:pos="5943"/>
          <w:tab w:val="left" w:pos="6123"/>
        </w:tabs>
        <w:spacing w:before="71" w:line="302" w:lineRule="auto"/>
        <w:ind w:left="723" w:right="1629" w:firstLine="0"/>
        <w:jc w:val="left"/>
        <w:rPr>
          <w:sz w:val="20"/>
        </w:rPr>
      </w:pPr>
      <w:r>
        <w:rPr>
          <w:b/>
          <w:sz w:val="20"/>
        </w:rPr>
        <w:t>1.企业对外销售应税产品应交纳的资源税</w:t>
      </w:r>
      <w:r>
        <w:rPr>
          <w:b/>
          <w:sz w:val="20"/>
        </w:rPr>
        <w:tab/>
      </w:r>
      <w:r>
        <w:rPr>
          <w:b/>
          <w:sz w:val="20"/>
        </w:rPr>
        <w:t>2.自产自用应税产品应交纳的资源</w:t>
      </w:r>
      <w:r>
        <w:rPr>
          <w:b/>
          <w:spacing w:val="-10"/>
          <w:sz w:val="20"/>
        </w:rPr>
        <w:t>税</w:t>
      </w:r>
      <w:r>
        <w:rPr>
          <w:sz w:val="20"/>
        </w:rPr>
        <w:t>借：税金及附加</w:t>
      </w:r>
      <w:r>
        <w:rPr>
          <w:sz w:val="20"/>
        </w:rPr>
        <w:tab/>
      </w:r>
      <w:r>
        <w:rPr>
          <w:sz w:val="20"/>
        </w:rPr>
        <w:tab/>
      </w:r>
      <w:r>
        <w:rPr>
          <w:sz w:val="20"/>
        </w:rPr>
        <w:t>借：生产成本</w:t>
      </w:r>
    </w:p>
    <w:p>
      <w:pPr>
        <w:pStyle w:val="6"/>
        <w:tabs>
          <w:tab w:val="left" w:pos="6523"/>
        </w:tabs>
        <w:spacing w:before="4"/>
        <w:ind w:left="1123"/>
      </w:pPr>
      <w:r>
        <w:t>贷：应交税费—应交资源税</w:t>
      </w:r>
      <w:r>
        <w:tab/>
      </w:r>
      <w:r>
        <w:t>制造费用等</w:t>
      </w:r>
    </w:p>
    <w:p>
      <w:pPr>
        <w:pStyle w:val="6"/>
        <w:ind w:left="6523"/>
      </w:pPr>
      <w:r>
        <w:t>贷：应交税费—应交资源税</w:t>
      </w:r>
    </w:p>
    <w:p>
      <w:pPr>
        <w:pStyle w:val="5"/>
        <w:spacing w:before="71"/>
      </w:pPr>
      <w:r>
        <w:t>（二）应交城市维护建设税与应交教育费附加</w:t>
      </w:r>
    </w:p>
    <w:p>
      <w:pPr>
        <w:pStyle w:val="6"/>
        <w:spacing w:line="304" w:lineRule="auto"/>
        <w:ind w:right="2261"/>
      </w:pPr>
      <w:r>
        <w:rPr>
          <w:w w:val="95"/>
        </w:rPr>
        <w:t>城市维护建设税与教育费附加是以</w:t>
      </w:r>
      <w:r>
        <w:rPr>
          <w:color w:val="FF0000"/>
          <w:w w:val="95"/>
          <w:u w:val="double" w:color="FF0000"/>
        </w:rPr>
        <w:t>实际缴纳的增值税、消费税</w:t>
      </w:r>
      <w:r>
        <w:rPr>
          <w:w w:val="95"/>
        </w:rPr>
        <w:t xml:space="preserve">为计税依据征收的一种税。   </w:t>
      </w:r>
      <w:r>
        <w:t>应纳税额=（实交增值税+实交消费税）×适用税率</w:t>
      </w:r>
    </w:p>
    <w:p>
      <w:pPr>
        <w:tabs>
          <w:tab w:val="left" w:pos="5743"/>
          <w:tab w:val="left" w:pos="5923"/>
        </w:tabs>
        <w:spacing w:before="0" w:line="304" w:lineRule="auto"/>
        <w:ind w:left="723" w:right="1629" w:firstLine="0"/>
        <w:jc w:val="left"/>
        <w:rPr>
          <w:sz w:val="20"/>
        </w:rPr>
      </w:pPr>
      <w:r>
        <w:rPr>
          <w:b/>
          <w:sz w:val="20"/>
        </w:rPr>
        <w:t>1.计算应交的城市维护建设税和教育费附加：</w:t>
      </w:r>
      <w:r>
        <w:rPr>
          <w:b/>
          <w:sz w:val="20"/>
        </w:rPr>
        <w:tab/>
      </w:r>
      <w:r>
        <w:rPr>
          <w:b/>
          <w:w w:val="95"/>
          <w:sz w:val="20"/>
        </w:rPr>
        <w:t>2.缴纳城市维护建设税和教育费附加</w:t>
      </w:r>
      <w:r>
        <w:rPr>
          <w:w w:val="95"/>
          <w:sz w:val="20"/>
        </w:rPr>
        <w:t xml:space="preserve">： </w:t>
      </w:r>
      <w:r>
        <w:rPr>
          <w:sz w:val="20"/>
        </w:rPr>
        <w:t>借：税金及附加</w:t>
      </w:r>
      <w:r>
        <w:rPr>
          <w:sz w:val="20"/>
        </w:rPr>
        <w:tab/>
      </w:r>
      <w:r>
        <w:rPr>
          <w:sz w:val="20"/>
        </w:rPr>
        <w:tab/>
      </w:r>
      <w:r>
        <w:rPr>
          <w:sz w:val="20"/>
        </w:rPr>
        <w:t>借：应交税费—应交城市维护建设税</w:t>
      </w:r>
    </w:p>
    <w:p>
      <w:pPr>
        <w:pStyle w:val="6"/>
        <w:tabs>
          <w:tab w:val="left" w:pos="7123"/>
        </w:tabs>
        <w:spacing w:before="1"/>
        <w:ind w:left="1123"/>
      </w:pPr>
      <w:r>
        <w:t>贷：应交税费—应交城市维护建设税</w:t>
      </w:r>
      <w:r>
        <w:tab/>
      </w:r>
      <w:r>
        <w:t>—教育费附加</w:t>
      </w:r>
    </w:p>
    <w:p>
      <w:pPr>
        <w:pStyle w:val="6"/>
        <w:tabs>
          <w:tab w:val="left" w:pos="6322"/>
        </w:tabs>
        <w:ind w:left="2323"/>
      </w:pPr>
      <w:r>
        <w:t>—教育费附加</w:t>
      </w:r>
      <w:r>
        <w:tab/>
      </w:r>
      <w:r>
        <w:t>贷：银行存款</w:t>
      </w:r>
    </w:p>
    <w:p>
      <w:pPr>
        <w:pStyle w:val="5"/>
      </w:pPr>
      <w:r>
        <w:t>（三）应交土地增值税</w:t>
      </w:r>
    </w:p>
    <w:p>
      <w:pPr>
        <w:pStyle w:val="6"/>
        <w:spacing w:before="71" w:line="302" w:lineRule="auto"/>
        <w:ind w:left="322" w:right="720" w:firstLine="400"/>
      </w:pPr>
      <w:r>
        <w:rPr>
          <w:w w:val="95"/>
        </w:rPr>
        <w:t>土地增值税是指在我国境内</w:t>
      </w:r>
      <w:r>
        <w:rPr>
          <w:color w:val="FF0000"/>
          <w:w w:val="95"/>
          <w:u w:val="double" w:color="FF0000"/>
        </w:rPr>
        <w:t>有偿转让土地使用权及地上建筑物和其他附着物产权</w:t>
      </w:r>
      <w:r>
        <w:rPr>
          <w:spacing w:val="-8"/>
          <w:w w:val="95"/>
        </w:rPr>
        <w:t>的单位和个人，就其</w:t>
      </w:r>
      <w:r>
        <w:rPr>
          <w:color w:val="FF0000"/>
          <w:w w:val="95"/>
          <w:u w:val="double" w:color="FF0000"/>
        </w:rPr>
        <w:t>土地增</w:t>
      </w:r>
      <w:r>
        <w:rPr>
          <w:color w:val="FF0000"/>
          <w:spacing w:val="-199"/>
          <w:w w:val="95"/>
          <w:u w:val="double" w:color="FF0000"/>
        </w:rPr>
        <w:t>值</w:t>
      </w:r>
      <w:r>
        <w:rPr>
          <w:color w:val="FF0000"/>
          <w:spacing w:val="193"/>
          <w:w w:val="95"/>
          <w:u w:val="double" w:color="FF0000"/>
        </w:rPr>
        <w:t xml:space="preserve"> </w:t>
      </w:r>
      <w:r>
        <w:rPr>
          <w:color w:val="FF0000"/>
          <w:u w:val="double" w:color="FF0000"/>
        </w:rPr>
        <w:t>额</w:t>
      </w:r>
      <w:r>
        <w:t>征收的一种税。</w:t>
      </w:r>
    </w:p>
    <w:p>
      <w:pPr>
        <w:pStyle w:val="5"/>
        <w:spacing w:before="4"/>
      </w:pPr>
      <w:r>
        <w:rPr>
          <w:b w:val="0"/>
        </w:rPr>
        <w:t>1.</w:t>
      </w:r>
      <w:r>
        <w:t>企业转让的土地使用权连同地上建筑物及其附着物一并在</w:t>
      </w:r>
      <w:r>
        <w:rPr>
          <w:color w:val="FF0000"/>
          <w:u w:val="double" w:color="FF0000"/>
        </w:rPr>
        <w:t>固定资产</w:t>
      </w:r>
      <w:r>
        <w:t>科目核算的，转让时应交的土地增值</w:t>
      </w:r>
    </w:p>
    <w:p>
      <w:pPr>
        <w:pStyle w:val="5"/>
        <w:ind w:left="322"/>
      </w:pPr>
      <w:r>
        <w:t>税；</w:t>
      </w:r>
    </w:p>
    <w:p>
      <w:pPr>
        <w:pStyle w:val="6"/>
        <w:spacing w:before="71"/>
      </w:pPr>
      <w:r>
        <w:t>借：固定资产清理</w:t>
      </w:r>
    </w:p>
    <w:p>
      <w:pPr>
        <w:spacing w:before="70" w:line="304" w:lineRule="auto"/>
        <w:ind w:left="723" w:right="6650" w:firstLine="400"/>
        <w:jc w:val="left"/>
        <w:rPr>
          <w:sz w:val="20"/>
        </w:rPr>
      </w:pPr>
      <w:r>
        <w:rPr>
          <w:sz w:val="20"/>
        </w:rPr>
        <w:t xml:space="preserve">贷：应交税费—应交土地增值税 </w:t>
      </w:r>
      <w:r>
        <w:rPr>
          <w:b/>
          <w:sz w:val="20"/>
        </w:rPr>
        <w:t>2.土地使用权在</w:t>
      </w:r>
      <w:r>
        <w:rPr>
          <w:b/>
          <w:color w:val="FF0000"/>
          <w:sz w:val="20"/>
          <w:u w:val="double" w:color="FF0000"/>
        </w:rPr>
        <w:t>无形资产</w:t>
      </w:r>
      <w:r>
        <w:rPr>
          <w:b/>
          <w:spacing w:val="-2"/>
          <w:sz w:val="20"/>
        </w:rPr>
        <w:t xml:space="preserve">科目核算的： </w:t>
      </w:r>
      <w:r>
        <w:rPr>
          <w:sz w:val="20"/>
        </w:rPr>
        <w:t>借：银行存款</w:t>
      </w:r>
    </w:p>
    <w:p>
      <w:pPr>
        <w:pStyle w:val="6"/>
        <w:spacing w:before="0"/>
        <w:ind w:left="1123"/>
      </w:pPr>
      <w:r>
        <w:rPr>
          <w:w w:val="95"/>
        </w:rPr>
        <w:t>累计摊销</w:t>
      </w:r>
    </w:p>
    <w:p>
      <w:pPr>
        <w:pStyle w:val="6"/>
        <w:ind w:left="1123"/>
      </w:pPr>
      <w:r>
        <w:t>无形资产减值准备</w:t>
      </w:r>
    </w:p>
    <w:p>
      <w:pPr>
        <w:pStyle w:val="6"/>
        <w:spacing w:line="304" w:lineRule="auto"/>
        <w:ind w:left="1123" w:right="7461"/>
      </w:pPr>
      <w:r>
        <w:t>资产处置损益（或贷方） 营业外支出</w:t>
      </w:r>
    </w:p>
    <w:p>
      <w:pPr>
        <w:pStyle w:val="6"/>
        <w:spacing w:before="2"/>
        <w:ind w:left="1123"/>
      </w:pPr>
      <w:r>
        <w:t>贷：应交税费—应交土地增值税</w:t>
      </w:r>
    </w:p>
    <w:p>
      <w:pPr>
        <w:spacing w:after="0"/>
        <w:sectPr>
          <w:pgSz w:w="11910" w:h="16160"/>
          <w:pgMar w:top="1680" w:right="360" w:bottom="860" w:left="760" w:header="0" w:footer="548" w:gutter="0"/>
        </w:sectPr>
      </w:pPr>
    </w:p>
    <w:p>
      <w:pPr>
        <w:pStyle w:val="6"/>
        <w:spacing w:before="11"/>
        <w:ind w:left="0"/>
        <w:rPr>
          <w:sz w:val="13"/>
        </w:rPr>
      </w:pPr>
    </w:p>
    <w:p>
      <w:pPr>
        <w:pStyle w:val="6"/>
        <w:spacing w:before="71"/>
        <w:ind w:left="2323"/>
      </w:pPr>
      <w:r>
        <w:t>—应交增值税（销项税额）</w:t>
      </w:r>
    </w:p>
    <w:p>
      <w:pPr>
        <w:pStyle w:val="6"/>
        <w:ind w:left="1522"/>
      </w:pPr>
      <w:r>
        <w:t>无形资产</w:t>
      </w:r>
    </w:p>
    <w:p>
      <w:pPr>
        <w:pStyle w:val="6"/>
        <w:ind w:left="1522"/>
      </w:pPr>
      <w:r>
        <w:t>营业外收入</w:t>
      </w:r>
    </w:p>
    <w:p>
      <w:pPr>
        <w:spacing w:before="70" w:line="304" w:lineRule="auto"/>
        <w:ind w:left="723" w:right="5042" w:firstLine="0"/>
        <w:jc w:val="left"/>
        <w:rPr>
          <w:sz w:val="20"/>
        </w:rPr>
      </w:pPr>
      <w:r>
        <w:rPr>
          <w:b/>
          <w:w w:val="95"/>
          <w:sz w:val="20"/>
        </w:rPr>
        <w:t xml:space="preserve">3.房地产开发经营企业销售房地产应交纳的土地增值税： </w:t>
      </w:r>
      <w:r>
        <w:rPr>
          <w:sz w:val="20"/>
        </w:rPr>
        <w:t>借：税金及附加</w:t>
      </w:r>
    </w:p>
    <w:p>
      <w:pPr>
        <w:spacing w:before="0" w:line="304" w:lineRule="auto"/>
        <w:ind w:left="723" w:right="6861" w:firstLine="400"/>
        <w:jc w:val="left"/>
        <w:rPr>
          <w:b/>
          <w:sz w:val="20"/>
        </w:rPr>
      </w:pPr>
      <w:r>
        <w:rPr>
          <w:sz w:val="20"/>
        </w:rPr>
        <w:t>贷：应交税费—应交土地增值税</w:t>
      </w:r>
      <w:r>
        <w:rPr>
          <w:b/>
          <w:sz w:val="20"/>
        </w:rPr>
        <w:t>4.交纳土地增值税：</w:t>
      </w:r>
    </w:p>
    <w:p>
      <w:pPr>
        <w:pStyle w:val="6"/>
        <w:spacing w:before="2" w:line="304" w:lineRule="auto"/>
        <w:ind w:left="1123" w:right="7262" w:hanging="401"/>
      </w:pPr>
      <w:r>
        <w:t>借：应交税费—应交土地增值税贷：银行存款</w:t>
      </w:r>
    </w:p>
    <w:p>
      <w:pPr>
        <w:pStyle w:val="5"/>
        <w:spacing w:before="2" w:line="304" w:lineRule="auto"/>
        <w:ind w:right="4440"/>
        <w:rPr>
          <w:b w:val="0"/>
        </w:rPr>
      </w:pPr>
      <w:r>
        <w:rPr>
          <w:w w:val="95"/>
        </w:rPr>
        <w:t xml:space="preserve">（四）应交房产税、城镇土地使用税、车船税和矿产资源补偿费 </w:t>
      </w:r>
      <w:r>
        <w:rPr>
          <w:b w:val="0"/>
        </w:rPr>
        <w:t>借：税金及附加</w:t>
      </w:r>
    </w:p>
    <w:p>
      <w:pPr>
        <w:pStyle w:val="6"/>
        <w:spacing w:before="0" w:line="256" w:lineRule="exact"/>
        <w:ind w:left="1123"/>
      </w:pPr>
      <w:r>
        <w:t>贷：应交税费—应交房产税</w:t>
      </w:r>
    </w:p>
    <w:p>
      <w:pPr>
        <w:pStyle w:val="6"/>
        <w:ind w:left="2323"/>
      </w:pPr>
      <w:r>
        <w:t>—应交城镇土地使用税</w:t>
      </w:r>
    </w:p>
    <w:p>
      <w:pPr>
        <w:pStyle w:val="6"/>
        <w:ind w:left="2323"/>
      </w:pPr>
      <w:r>
        <w:t>—应交车船税</w:t>
      </w:r>
    </w:p>
    <w:p>
      <w:pPr>
        <w:pStyle w:val="6"/>
        <w:ind w:left="2323"/>
      </w:pPr>
      <w:r>
        <w:t>—应交矿产资源补偿费</w:t>
      </w:r>
    </w:p>
    <w:p>
      <w:pPr>
        <w:pStyle w:val="5"/>
      </w:pPr>
      <w:r>
        <w:t>（五）应交个人所得税</w:t>
      </w:r>
    </w:p>
    <w:p>
      <w:pPr>
        <w:pStyle w:val="6"/>
        <w:spacing w:before="71"/>
      </w:pPr>
      <w:r>
        <w:t>【例题</w:t>
      </w:r>
      <w:r>
        <w:rPr>
          <w:rFonts w:ascii="Arial" w:hAnsi="Arial" w:eastAsia="Arial"/>
        </w:rPr>
        <w:t>▪</w:t>
      </w:r>
      <w:r>
        <w:t>计算题】某企业结算本月应付职工工资总额 300000 元，按税法规定应代扣代缴的职工个人所得税共</w:t>
      </w:r>
    </w:p>
    <w:p>
      <w:pPr>
        <w:pStyle w:val="6"/>
        <w:spacing w:before="67"/>
        <w:ind w:left="322"/>
      </w:pPr>
      <w:r>
        <w:t>计 3000 元，实发工资 297000 元。</w:t>
      </w:r>
    </w:p>
    <w:p>
      <w:pPr>
        <w:pStyle w:val="6"/>
        <w:spacing w:before="10"/>
        <w:ind w:left="0"/>
        <w:rPr>
          <w:sz w:val="7"/>
        </w:rPr>
      </w:pPr>
    </w:p>
    <w:tbl>
      <w:tblPr>
        <w:tblStyle w:val="10"/>
        <w:tblW w:w="0" w:type="auto"/>
        <w:tblInd w:w="6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149"/>
        <w:gridCol w:w="850"/>
        <w:gridCol w:w="3450"/>
        <w:gridCol w:w="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2" w:hRule="atLeast"/>
        </w:trPr>
        <w:tc>
          <w:tcPr>
            <w:tcW w:w="4149" w:type="dxa"/>
          </w:tcPr>
          <w:p>
            <w:pPr>
              <w:pStyle w:val="14"/>
              <w:spacing w:line="227" w:lineRule="exact"/>
              <w:ind w:left="50"/>
              <w:rPr>
                <w:sz w:val="20"/>
              </w:rPr>
            </w:pPr>
            <w:r>
              <w:rPr>
                <w:sz w:val="20"/>
              </w:rPr>
              <w:t>（1）代扣个人所得税：</w:t>
            </w:r>
          </w:p>
        </w:tc>
        <w:tc>
          <w:tcPr>
            <w:tcW w:w="850" w:type="dxa"/>
          </w:tcPr>
          <w:p>
            <w:pPr>
              <w:pStyle w:val="14"/>
              <w:rPr>
                <w:rFonts w:ascii="Times New Roman"/>
                <w:sz w:val="18"/>
              </w:rPr>
            </w:pPr>
          </w:p>
        </w:tc>
        <w:tc>
          <w:tcPr>
            <w:tcW w:w="3450" w:type="dxa"/>
          </w:tcPr>
          <w:p>
            <w:pPr>
              <w:pStyle w:val="14"/>
              <w:spacing w:line="227" w:lineRule="exact"/>
              <w:ind w:left="350"/>
              <w:rPr>
                <w:sz w:val="20"/>
              </w:rPr>
            </w:pPr>
            <w:r>
              <w:rPr>
                <w:sz w:val="20"/>
              </w:rPr>
              <w:t>（2）交纳个人所得税：</w:t>
            </w:r>
          </w:p>
        </w:tc>
        <w:tc>
          <w:tcPr>
            <w:tcW w:w="550" w:type="dxa"/>
          </w:tcPr>
          <w:p>
            <w:pPr>
              <w:pStyle w:val="14"/>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6" w:hRule="atLeast"/>
        </w:trPr>
        <w:tc>
          <w:tcPr>
            <w:tcW w:w="4149" w:type="dxa"/>
          </w:tcPr>
          <w:p>
            <w:pPr>
              <w:pStyle w:val="14"/>
              <w:spacing w:before="34"/>
              <w:ind w:left="50"/>
              <w:rPr>
                <w:sz w:val="20"/>
              </w:rPr>
            </w:pPr>
            <w:r>
              <w:rPr>
                <w:sz w:val="20"/>
              </w:rPr>
              <w:t>借：应付职工薪酬—工资、奖金、津贴和补贴</w:t>
            </w:r>
          </w:p>
        </w:tc>
        <w:tc>
          <w:tcPr>
            <w:tcW w:w="850" w:type="dxa"/>
          </w:tcPr>
          <w:p>
            <w:pPr>
              <w:pStyle w:val="14"/>
              <w:spacing w:before="34"/>
              <w:ind w:left="101"/>
              <w:rPr>
                <w:sz w:val="20"/>
              </w:rPr>
            </w:pPr>
            <w:r>
              <w:rPr>
                <w:sz w:val="20"/>
              </w:rPr>
              <w:t>3000</w:t>
            </w:r>
          </w:p>
        </w:tc>
        <w:tc>
          <w:tcPr>
            <w:tcW w:w="3450" w:type="dxa"/>
          </w:tcPr>
          <w:p>
            <w:pPr>
              <w:pStyle w:val="14"/>
              <w:spacing w:before="34"/>
              <w:ind w:left="551"/>
              <w:rPr>
                <w:sz w:val="20"/>
              </w:rPr>
            </w:pPr>
            <w:r>
              <w:rPr>
                <w:sz w:val="20"/>
              </w:rPr>
              <w:t>借：应交税费—应交个人所得税</w:t>
            </w:r>
          </w:p>
        </w:tc>
        <w:tc>
          <w:tcPr>
            <w:tcW w:w="550" w:type="dxa"/>
          </w:tcPr>
          <w:p>
            <w:pPr>
              <w:pStyle w:val="14"/>
              <w:spacing w:before="34"/>
              <w:ind w:left="101"/>
              <w:rPr>
                <w:sz w:val="20"/>
              </w:rPr>
            </w:pPr>
            <w:r>
              <w:rPr>
                <w:sz w:val="20"/>
              </w:rPr>
              <w:t>3000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2" w:hRule="atLeast"/>
        </w:trPr>
        <w:tc>
          <w:tcPr>
            <w:tcW w:w="4149" w:type="dxa"/>
          </w:tcPr>
          <w:p>
            <w:pPr>
              <w:pStyle w:val="14"/>
              <w:tabs>
                <w:tab w:val="left" w:pos="3450"/>
              </w:tabs>
              <w:spacing w:before="34" w:line="208" w:lineRule="exact"/>
              <w:ind w:left="450"/>
              <w:rPr>
                <w:sz w:val="20"/>
              </w:rPr>
            </w:pPr>
            <w:r>
              <w:rPr>
                <w:sz w:val="20"/>
              </w:rPr>
              <w:t>贷：应交税费—应交个人所得税</w:t>
            </w:r>
            <w:r>
              <w:rPr>
                <w:sz w:val="20"/>
              </w:rPr>
              <w:tab/>
            </w:r>
            <w:r>
              <w:rPr>
                <w:sz w:val="20"/>
              </w:rPr>
              <w:t>3000</w:t>
            </w:r>
          </w:p>
        </w:tc>
        <w:tc>
          <w:tcPr>
            <w:tcW w:w="850" w:type="dxa"/>
          </w:tcPr>
          <w:p>
            <w:pPr>
              <w:pStyle w:val="14"/>
              <w:rPr>
                <w:rFonts w:ascii="Times New Roman"/>
                <w:sz w:val="18"/>
              </w:rPr>
            </w:pPr>
          </w:p>
        </w:tc>
        <w:tc>
          <w:tcPr>
            <w:tcW w:w="3450" w:type="dxa"/>
          </w:tcPr>
          <w:p>
            <w:pPr>
              <w:pStyle w:val="14"/>
              <w:spacing w:before="34" w:line="208" w:lineRule="exact"/>
              <w:ind w:left="1351"/>
              <w:rPr>
                <w:sz w:val="20"/>
              </w:rPr>
            </w:pPr>
            <w:r>
              <w:rPr>
                <w:sz w:val="20"/>
              </w:rPr>
              <w:t>贷：银行存款 3000</w:t>
            </w:r>
          </w:p>
        </w:tc>
        <w:tc>
          <w:tcPr>
            <w:tcW w:w="550" w:type="dxa"/>
          </w:tcPr>
          <w:p>
            <w:pPr>
              <w:pStyle w:val="14"/>
              <w:rPr>
                <w:rFonts w:ascii="Times New Roman"/>
                <w:sz w:val="18"/>
              </w:rPr>
            </w:pPr>
          </w:p>
        </w:tc>
      </w:tr>
    </w:tbl>
    <w:p>
      <w:pPr>
        <w:pStyle w:val="6"/>
        <w:spacing w:before="3"/>
        <w:ind w:left="0"/>
        <w:rPr>
          <w:sz w:val="2"/>
        </w:rPr>
      </w:pPr>
    </w:p>
    <w:p>
      <w:pPr>
        <w:pStyle w:val="6"/>
        <w:spacing w:before="4"/>
        <w:ind w:left="0"/>
        <w:rPr>
          <w:sz w:val="2"/>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97"/>
        <w:gridCol w:w="3638"/>
        <w:gridCol w:w="2250"/>
        <w:gridCol w:w="30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97" w:type="dxa"/>
          </w:tcPr>
          <w:p>
            <w:pPr>
              <w:pStyle w:val="14"/>
              <w:spacing w:before="69" w:line="237" w:lineRule="exact"/>
              <w:ind w:left="347"/>
              <w:rPr>
                <w:sz w:val="20"/>
              </w:rPr>
            </w:pPr>
            <w:r>
              <w:rPr>
                <w:sz w:val="20"/>
              </w:rPr>
              <w:t>税种</w:t>
            </w:r>
          </w:p>
        </w:tc>
        <w:tc>
          <w:tcPr>
            <w:tcW w:w="5888" w:type="dxa"/>
            <w:gridSpan w:val="2"/>
          </w:tcPr>
          <w:p>
            <w:pPr>
              <w:pStyle w:val="14"/>
              <w:spacing w:before="69" w:line="237" w:lineRule="exact"/>
              <w:ind w:left="2522" w:right="2516"/>
              <w:jc w:val="center"/>
              <w:rPr>
                <w:sz w:val="20"/>
              </w:rPr>
            </w:pPr>
            <w:r>
              <w:rPr>
                <w:sz w:val="20"/>
              </w:rPr>
              <w:t>处理原则</w:t>
            </w:r>
          </w:p>
        </w:tc>
        <w:tc>
          <w:tcPr>
            <w:tcW w:w="3036" w:type="dxa"/>
          </w:tcPr>
          <w:p>
            <w:pPr>
              <w:pStyle w:val="14"/>
              <w:spacing w:before="69" w:line="237" w:lineRule="exact"/>
              <w:ind w:left="1096" w:right="1090"/>
              <w:jc w:val="center"/>
              <w:rPr>
                <w:sz w:val="20"/>
              </w:rPr>
            </w:pPr>
            <w:r>
              <w:rPr>
                <w:sz w:val="20"/>
              </w:rPr>
              <w:t>交税分录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97" w:type="dxa"/>
            <w:vMerge w:val="restart"/>
          </w:tcPr>
          <w:p>
            <w:pPr>
              <w:pStyle w:val="14"/>
              <w:rPr>
                <w:sz w:val="20"/>
              </w:rPr>
            </w:pPr>
          </w:p>
          <w:p>
            <w:pPr>
              <w:pStyle w:val="14"/>
              <w:spacing w:before="149"/>
              <w:ind w:left="248"/>
              <w:rPr>
                <w:sz w:val="20"/>
              </w:rPr>
            </w:pPr>
            <w:r>
              <w:rPr>
                <w:sz w:val="20"/>
              </w:rPr>
              <w:t>消费税</w:t>
            </w:r>
          </w:p>
        </w:tc>
        <w:tc>
          <w:tcPr>
            <w:tcW w:w="3638" w:type="dxa"/>
          </w:tcPr>
          <w:p>
            <w:pPr>
              <w:pStyle w:val="14"/>
              <w:spacing w:before="69" w:line="237" w:lineRule="exact"/>
              <w:ind w:left="106"/>
              <w:rPr>
                <w:sz w:val="20"/>
              </w:rPr>
            </w:pPr>
            <w:r>
              <w:rPr>
                <w:sz w:val="20"/>
              </w:rPr>
              <w:t>①销售、职工福利、个人消费</w:t>
            </w:r>
          </w:p>
        </w:tc>
        <w:tc>
          <w:tcPr>
            <w:tcW w:w="2250" w:type="dxa"/>
          </w:tcPr>
          <w:p>
            <w:pPr>
              <w:pStyle w:val="14"/>
              <w:spacing w:before="69" w:line="237" w:lineRule="exact"/>
              <w:ind w:left="103" w:right="94"/>
              <w:jc w:val="center"/>
              <w:rPr>
                <w:sz w:val="20"/>
              </w:rPr>
            </w:pPr>
            <w:r>
              <w:rPr>
                <w:sz w:val="20"/>
              </w:rPr>
              <w:t>税金及附加</w:t>
            </w:r>
          </w:p>
        </w:tc>
        <w:tc>
          <w:tcPr>
            <w:tcW w:w="3036" w:type="dxa"/>
            <w:vMerge w:val="restart"/>
          </w:tcPr>
          <w:p>
            <w:pPr>
              <w:pStyle w:val="14"/>
              <w:rPr>
                <w:sz w:val="20"/>
              </w:rPr>
            </w:pPr>
          </w:p>
          <w:p>
            <w:pPr>
              <w:pStyle w:val="14"/>
              <w:spacing w:before="1"/>
              <w:rPr>
                <w:sz w:val="25"/>
              </w:rPr>
            </w:pPr>
          </w:p>
          <w:p>
            <w:pPr>
              <w:pStyle w:val="14"/>
              <w:ind w:left="108"/>
              <w:rPr>
                <w:sz w:val="20"/>
              </w:rPr>
            </w:pPr>
            <w:r>
              <w:rPr>
                <w:sz w:val="20"/>
              </w:rPr>
              <w:t>借：应交税费</w:t>
            </w:r>
          </w:p>
          <w:p>
            <w:pPr>
              <w:pStyle w:val="14"/>
              <w:spacing w:before="70"/>
              <w:ind w:left="506"/>
              <w:rPr>
                <w:sz w:val="20"/>
              </w:rPr>
            </w:pP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97" w:type="dxa"/>
            <w:vMerge w:val="continue"/>
            <w:tcBorders>
              <w:top w:val="nil"/>
            </w:tcBorders>
          </w:tcPr>
          <w:p>
            <w:pPr>
              <w:rPr>
                <w:sz w:val="2"/>
                <w:szCs w:val="2"/>
              </w:rPr>
            </w:pPr>
          </w:p>
        </w:tc>
        <w:tc>
          <w:tcPr>
            <w:tcW w:w="3638" w:type="dxa"/>
          </w:tcPr>
          <w:p>
            <w:pPr>
              <w:pStyle w:val="14"/>
              <w:spacing w:before="69" w:line="237" w:lineRule="exact"/>
              <w:ind w:left="106"/>
              <w:rPr>
                <w:sz w:val="20"/>
              </w:rPr>
            </w:pPr>
            <w:r>
              <w:rPr>
                <w:sz w:val="20"/>
              </w:rPr>
              <w:t>②固定资产、委托加工直接销售、进口</w:t>
            </w:r>
          </w:p>
        </w:tc>
        <w:tc>
          <w:tcPr>
            <w:tcW w:w="2250" w:type="dxa"/>
          </w:tcPr>
          <w:p>
            <w:pPr>
              <w:pStyle w:val="14"/>
              <w:spacing w:before="69" w:line="237" w:lineRule="exact"/>
              <w:ind w:left="103" w:right="94"/>
              <w:jc w:val="center"/>
              <w:rPr>
                <w:sz w:val="20"/>
              </w:rPr>
            </w:pPr>
            <w:r>
              <w:rPr>
                <w:sz w:val="20"/>
              </w:rPr>
              <w:t>成本</w:t>
            </w:r>
          </w:p>
        </w:tc>
        <w:tc>
          <w:tcPr>
            <w:tcW w:w="30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97" w:type="dxa"/>
            <w:vMerge w:val="continue"/>
            <w:tcBorders>
              <w:top w:val="nil"/>
            </w:tcBorders>
          </w:tcPr>
          <w:p>
            <w:pPr>
              <w:rPr>
                <w:sz w:val="2"/>
                <w:szCs w:val="2"/>
              </w:rPr>
            </w:pPr>
          </w:p>
        </w:tc>
        <w:tc>
          <w:tcPr>
            <w:tcW w:w="3638" w:type="dxa"/>
          </w:tcPr>
          <w:p>
            <w:pPr>
              <w:pStyle w:val="14"/>
              <w:spacing w:before="69" w:line="237" w:lineRule="exact"/>
              <w:ind w:left="106"/>
              <w:rPr>
                <w:sz w:val="20"/>
              </w:rPr>
            </w:pPr>
            <w:r>
              <w:rPr>
                <w:sz w:val="20"/>
              </w:rPr>
              <w:t>③委托加工收回连续加工</w:t>
            </w:r>
          </w:p>
        </w:tc>
        <w:tc>
          <w:tcPr>
            <w:tcW w:w="2250" w:type="dxa"/>
          </w:tcPr>
          <w:p>
            <w:pPr>
              <w:pStyle w:val="14"/>
              <w:spacing w:before="69" w:line="237" w:lineRule="exact"/>
              <w:ind w:left="103" w:right="94"/>
              <w:jc w:val="center"/>
              <w:rPr>
                <w:sz w:val="20"/>
              </w:rPr>
            </w:pPr>
            <w:r>
              <w:rPr>
                <w:sz w:val="20"/>
              </w:rPr>
              <w:t>应交消费税</w:t>
            </w:r>
          </w:p>
        </w:tc>
        <w:tc>
          <w:tcPr>
            <w:tcW w:w="30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97" w:type="dxa"/>
            <w:vMerge w:val="restart"/>
          </w:tcPr>
          <w:p>
            <w:pPr>
              <w:pStyle w:val="14"/>
              <w:spacing w:before="6"/>
              <w:rPr>
                <w:sz w:val="18"/>
              </w:rPr>
            </w:pPr>
          </w:p>
          <w:p>
            <w:pPr>
              <w:pStyle w:val="14"/>
              <w:ind w:left="248"/>
              <w:rPr>
                <w:sz w:val="20"/>
              </w:rPr>
            </w:pPr>
            <w:r>
              <w:rPr>
                <w:sz w:val="20"/>
              </w:rPr>
              <w:t>资源税</w:t>
            </w:r>
          </w:p>
        </w:tc>
        <w:tc>
          <w:tcPr>
            <w:tcW w:w="3638" w:type="dxa"/>
          </w:tcPr>
          <w:p>
            <w:pPr>
              <w:pStyle w:val="14"/>
              <w:spacing w:before="69" w:line="237" w:lineRule="exact"/>
              <w:ind w:left="106"/>
              <w:rPr>
                <w:sz w:val="20"/>
              </w:rPr>
            </w:pPr>
            <w:r>
              <w:rPr>
                <w:sz w:val="20"/>
              </w:rPr>
              <w:t>①销售</w:t>
            </w:r>
          </w:p>
        </w:tc>
        <w:tc>
          <w:tcPr>
            <w:tcW w:w="2250" w:type="dxa"/>
          </w:tcPr>
          <w:p>
            <w:pPr>
              <w:pStyle w:val="14"/>
              <w:spacing w:before="69" w:line="237" w:lineRule="exact"/>
              <w:ind w:left="103" w:right="94"/>
              <w:jc w:val="center"/>
              <w:rPr>
                <w:sz w:val="20"/>
              </w:rPr>
            </w:pPr>
            <w:r>
              <w:rPr>
                <w:sz w:val="20"/>
              </w:rPr>
              <w:t>税金及附加</w:t>
            </w:r>
          </w:p>
        </w:tc>
        <w:tc>
          <w:tcPr>
            <w:tcW w:w="303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97" w:type="dxa"/>
            <w:vMerge w:val="continue"/>
            <w:tcBorders>
              <w:top w:val="nil"/>
            </w:tcBorders>
          </w:tcPr>
          <w:p>
            <w:pPr>
              <w:rPr>
                <w:sz w:val="2"/>
                <w:szCs w:val="2"/>
              </w:rPr>
            </w:pPr>
          </w:p>
        </w:tc>
        <w:tc>
          <w:tcPr>
            <w:tcW w:w="3638" w:type="dxa"/>
          </w:tcPr>
          <w:p>
            <w:pPr>
              <w:pStyle w:val="14"/>
              <w:spacing w:before="69" w:line="237" w:lineRule="exact"/>
              <w:ind w:left="106"/>
              <w:rPr>
                <w:sz w:val="20"/>
              </w:rPr>
            </w:pPr>
            <w:r>
              <w:rPr>
                <w:sz w:val="20"/>
              </w:rPr>
              <w:t>②自产自用</w:t>
            </w:r>
          </w:p>
        </w:tc>
        <w:tc>
          <w:tcPr>
            <w:tcW w:w="2250" w:type="dxa"/>
          </w:tcPr>
          <w:p>
            <w:pPr>
              <w:pStyle w:val="14"/>
              <w:spacing w:before="69" w:line="237" w:lineRule="exact"/>
              <w:ind w:left="103" w:right="96"/>
              <w:jc w:val="center"/>
              <w:rPr>
                <w:sz w:val="20"/>
              </w:rPr>
            </w:pPr>
            <w:r>
              <w:rPr>
                <w:sz w:val="20"/>
              </w:rPr>
              <w:t>生产成本、制造费用等</w:t>
            </w:r>
          </w:p>
        </w:tc>
        <w:tc>
          <w:tcPr>
            <w:tcW w:w="3036" w:type="dxa"/>
            <w:vMerge w:val="continue"/>
            <w:tcBorders>
              <w:top w:val="nil"/>
            </w:tcBorders>
          </w:tcPr>
          <w:p>
            <w:pPr>
              <w:rPr>
                <w:sz w:val="2"/>
                <w:szCs w:val="2"/>
              </w:rPr>
            </w:pPr>
          </w:p>
        </w:tc>
      </w:tr>
    </w:tbl>
    <w:p>
      <w:pPr>
        <w:pStyle w:val="6"/>
        <w:spacing w:before="6"/>
        <w:ind w:left="0"/>
        <w:rPr>
          <w:sz w:val="25"/>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2490"/>
        <w:gridCol w:w="2265"/>
        <w:gridCol w:w="28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831" w:type="dxa"/>
            <w:gridSpan w:val="2"/>
          </w:tcPr>
          <w:p>
            <w:pPr>
              <w:pStyle w:val="14"/>
              <w:spacing w:before="69" w:line="237" w:lineRule="exact"/>
              <w:ind w:left="2093" w:right="2088"/>
              <w:jc w:val="center"/>
              <w:rPr>
                <w:sz w:val="20"/>
              </w:rPr>
            </w:pPr>
            <w:r>
              <w:rPr>
                <w:sz w:val="20"/>
              </w:rPr>
              <w:t>税种</w:t>
            </w:r>
          </w:p>
        </w:tc>
        <w:tc>
          <w:tcPr>
            <w:tcW w:w="2265" w:type="dxa"/>
          </w:tcPr>
          <w:p>
            <w:pPr>
              <w:pStyle w:val="14"/>
              <w:spacing w:before="69" w:line="237" w:lineRule="exact"/>
              <w:ind w:left="509" w:right="503"/>
              <w:jc w:val="center"/>
              <w:rPr>
                <w:sz w:val="20"/>
              </w:rPr>
            </w:pPr>
            <w:r>
              <w:rPr>
                <w:sz w:val="20"/>
              </w:rPr>
              <w:t>处理原则</w:t>
            </w:r>
          </w:p>
        </w:tc>
        <w:tc>
          <w:tcPr>
            <w:tcW w:w="2895" w:type="dxa"/>
          </w:tcPr>
          <w:p>
            <w:pPr>
              <w:pStyle w:val="14"/>
              <w:spacing w:before="69" w:line="237" w:lineRule="exact"/>
              <w:ind w:left="1025" w:right="1019"/>
              <w:jc w:val="center"/>
              <w:rPr>
                <w:sz w:val="20"/>
              </w:rPr>
            </w:pPr>
            <w:r>
              <w:rPr>
                <w:sz w:val="20"/>
              </w:rPr>
              <w:t>交税分录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831" w:type="dxa"/>
            <w:gridSpan w:val="2"/>
          </w:tcPr>
          <w:p>
            <w:pPr>
              <w:pStyle w:val="14"/>
              <w:spacing w:before="8" w:line="326" w:lineRule="exact"/>
              <w:ind w:left="107" w:right="113"/>
              <w:rPr>
                <w:sz w:val="20"/>
              </w:rPr>
            </w:pPr>
            <w:r>
              <w:rPr>
                <w:w w:val="95"/>
                <w:sz w:val="20"/>
              </w:rPr>
              <w:t xml:space="preserve">城市维护建设税、教育费附加、房产税、车船税、城 </w:t>
            </w:r>
            <w:r>
              <w:rPr>
                <w:sz w:val="20"/>
              </w:rPr>
              <w:t>镇土地使用税、矿产资源补偿费</w:t>
            </w:r>
          </w:p>
        </w:tc>
        <w:tc>
          <w:tcPr>
            <w:tcW w:w="2265" w:type="dxa"/>
          </w:tcPr>
          <w:p>
            <w:pPr>
              <w:pStyle w:val="14"/>
              <w:spacing w:before="1"/>
              <w:rPr>
                <w:sz w:val="18"/>
              </w:rPr>
            </w:pPr>
          </w:p>
          <w:p>
            <w:pPr>
              <w:pStyle w:val="14"/>
              <w:spacing w:before="1"/>
              <w:ind w:left="507" w:right="503"/>
              <w:jc w:val="center"/>
              <w:rPr>
                <w:sz w:val="20"/>
              </w:rPr>
            </w:pPr>
            <w:r>
              <w:rPr>
                <w:sz w:val="20"/>
              </w:rPr>
              <w:t>税金及附加</w:t>
            </w:r>
          </w:p>
        </w:tc>
        <w:tc>
          <w:tcPr>
            <w:tcW w:w="2895" w:type="dxa"/>
          </w:tcPr>
          <w:p>
            <w:pPr>
              <w:pStyle w:val="14"/>
              <w:spacing w:before="69"/>
              <w:ind w:left="107"/>
              <w:rPr>
                <w:sz w:val="20"/>
              </w:rPr>
            </w:pPr>
            <w:r>
              <w:rPr>
                <w:sz w:val="20"/>
              </w:rPr>
              <w:t>借：应交税费</w:t>
            </w:r>
          </w:p>
          <w:p>
            <w:pPr>
              <w:pStyle w:val="14"/>
              <w:spacing w:before="70" w:line="236" w:lineRule="exact"/>
              <w:ind w:left="508"/>
              <w:rPr>
                <w:sz w:val="20"/>
              </w:rPr>
            </w:pP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2341" w:type="dxa"/>
            <w:vMerge w:val="restart"/>
          </w:tcPr>
          <w:p>
            <w:pPr>
              <w:pStyle w:val="14"/>
              <w:spacing w:before="11"/>
              <w:rPr>
                <w:sz w:val="17"/>
              </w:rPr>
            </w:pPr>
          </w:p>
          <w:p>
            <w:pPr>
              <w:pStyle w:val="14"/>
              <w:spacing w:before="1"/>
              <w:ind w:left="668"/>
              <w:rPr>
                <w:sz w:val="20"/>
              </w:rPr>
            </w:pPr>
            <w:r>
              <w:rPr>
                <w:sz w:val="20"/>
              </w:rPr>
              <w:t>土地增值税</w:t>
            </w:r>
          </w:p>
        </w:tc>
        <w:tc>
          <w:tcPr>
            <w:tcW w:w="2490" w:type="dxa"/>
          </w:tcPr>
          <w:p>
            <w:pPr>
              <w:pStyle w:val="14"/>
              <w:spacing w:before="61" w:line="236" w:lineRule="exact"/>
              <w:ind w:left="108"/>
              <w:rPr>
                <w:sz w:val="20"/>
              </w:rPr>
            </w:pPr>
            <w:r>
              <w:rPr>
                <w:sz w:val="20"/>
              </w:rPr>
              <w:t>①固定资产</w:t>
            </w:r>
          </w:p>
        </w:tc>
        <w:tc>
          <w:tcPr>
            <w:tcW w:w="2265" w:type="dxa"/>
          </w:tcPr>
          <w:p>
            <w:pPr>
              <w:pStyle w:val="14"/>
              <w:spacing w:before="61" w:line="236" w:lineRule="exact"/>
              <w:ind w:left="512" w:right="503"/>
              <w:jc w:val="center"/>
              <w:rPr>
                <w:sz w:val="20"/>
              </w:rPr>
            </w:pPr>
            <w:r>
              <w:rPr>
                <w:sz w:val="20"/>
              </w:rPr>
              <w:t>固定资产清理</w:t>
            </w:r>
          </w:p>
        </w:tc>
        <w:tc>
          <w:tcPr>
            <w:tcW w:w="289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341" w:type="dxa"/>
            <w:vMerge w:val="continue"/>
            <w:tcBorders>
              <w:top w:val="nil"/>
            </w:tcBorders>
          </w:tcPr>
          <w:p>
            <w:pPr>
              <w:rPr>
                <w:sz w:val="2"/>
                <w:szCs w:val="2"/>
              </w:rPr>
            </w:pPr>
          </w:p>
        </w:tc>
        <w:tc>
          <w:tcPr>
            <w:tcW w:w="2490" w:type="dxa"/>
          </w:tcPr>
          <w:p>
            <w:pPr>
              <w:pStyle w:val="14"/>
              <w:spacing w:before="69" w:line="236" w:lineRule="exact"/>
              <w:ind w:left="108"/>
              <w:rPr>
                <w:sz w:val="20"/>
              </w:rPr>
            </w:pPr>
            <w:r>
              <w:rPr>
                <w:sz w:val="20"/>
              </w:rPr>
              <w:t>②无形资产</w:t>
            </w:r>
          </w:p>
        </w:tc>
        <w:tc>
          <w:tcPr>
            <w:tcW w:w="2265" w:type="dxa"/>
          </w:tcPr>
          <w:p>
            <w:pPr>
              <w:pStyle w:val="14"/>
              <w:spacing w:before="69" w:line="236" w:lineRule="exact"/>
              <w:ind w:left="512" w:right="503"/>
              <w:jc w:val="center"/>
              <w:rPr>
                <w:sz w:val="20"/>
              </w:rPr>
            </w:pPr>
            <w:r>
              <w:rPr>
                <w:sz w:val="20"/>
              </w:rPr>
              <w:t>资产处置损益</w:t>
            </w:r>
          </w:p>
        </w:tc>
        <w:tc>
          <w:tcPr>
            <w:tcW w:w="289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341" w:type="dxa"/>
          </w:tcPr>
          <w:p>
            <w:pPr>
              <w:pStyle w:val="14"/>
              <w:spacing w:before="70" w:line="236" w:lineRule="exact"/>
              <w:ind w:left="668"/>
              <w:rPr>
                <w:b/>
                <w:sz w:val="20"/>
              </w:rPr>
            </w:pPr>
            <w:r>
              <w:rPr>
                <w:b/>
                <w:color w:val="00AFEF"/>
                <w:sz w:val="20"/>
                <w:u w:val="single" w:color="00AFEF"/>
              </w:rPr>
              <w:t>个人所得税</w:t>
            </w:r>
          </w:p>
        </w:tc>
        <w:tc>
          <w:tcPr>
            <w:tcW w:w="4755" w:type="dxa"/>
            <w:gridSpan w:val="2"/>
          </w:tcPr>
          <w:p>
            <w:pPr>
              <w:pStyle w:val="14"/>
              <w:spacing w:before="70" w:line="236" w:lineRule="exact"/>
              <w:ind w:left="108"/>
              <w:rPr>
                <w:sz w:val="20"/>
              </w:rPr>
            </w:pPr>
            <w:r>
              <w:rPr>
                <w:sz w:val="20"/>
              </w:rPr>
              <w:t>应付职工薪酬</w:t>
            </w:r>
          </w:p>
        </w:tc>
        <w:tc>
          <w:tcPr>
            <w:tcW w:w="289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4831" w:type="dxa"/>
            <w:gridSpan w:val="2"/>
          </w:tcPr>
          <w:p>
            <w:pPr>
              <w:pStyle w:val="14"/>
              <w:spacing w:before="2"/>
              <w:rPr>
                <w:sz w:val="18"/>
              </w:rPr>
            </w:pPr>
          </w:p>
          <w:p>
            <w:pPr>
              <w:pStyle w:val="14"/>
              <w:ind w:left="2093" w:right="2088"/>
              <w:jc w:val="center"/>
              <w:rPr>
                <w:sz w:val="20"/>
              </w:rPr>
            </w:pPr>
            <w:r>
              <w:rPr>
                <w:sz w:val="20"/>
              </w:rPr>
              <w:t>印花税</w:t>
            </w:r>
          </w:p>
        </w:tc>
        <w:tc>
          <w:tcPr>
            <w:tcW w:w="2265" w:type="dxa"/>
          </w:tcPr>
          <w:p>
            <w:pPr>
              <w:pStyle w:val="14"/>
              <w:spacing w:before="2"/>
              <w:rPr>
                <w:sz w:val="18"/>
              </w:rPr>
            </w:pPr>
          </w:p>
          <w:p>
            <w:pPr>
              <w:pStyle w:val="14"/>
              <w:ind w:left="507" w:right="503"/>
              <w:jc w:val="center"/>
              <w:rPr>
                <w:sz w:val="20"/>
              </w:rPr>
            </w:pPr>
            <w:r>
              <w:rPr>
                <w:sz w:val="20"/>
              </w:rPr>
              <w:t>税金及附加</w:t>
            </w:r>
          </w:p>
        </w:tc>
        <w:tc>
          <w:tcPr>
            <w:tcW w:w="2895" w:type="dxa"/>
          </w:tcPr>
          <w:p>
            <w:pPr>
              <w:pStyle w:val="14"/>
              <w:spacing w:before="9" w:line="326" w:lineRule="exact"/>
              <w:ind w:left="508" w:right="1174" w:hanging="401"/>
              <w:rPr>
                <w:sz w:val="20"/>
              </w:rPr>
            </w:pPr>
            <w:r>
              <w:rPr>
                <w:sz w:val="20"/>
              </w:rPr>
              <w:t xml:space="preserve">借：税金及附加 </w:t>
            </w:r>
            <w:r>
              <w:rPr>
                <w:spacing w:val="-3"/>
                <w:sz w:val="20"/>
              </w:rPr>
              <w:t>贷：银行存款</w:t>
            </w:r>
          </w:p>
        </w:tc>
      </w:tr>
    </w:tbl>
    <w:p>
      <w:pPr>
        <w:pStyle w:val="6"/>
        <w:spacing w:line="302" w:lineRule="auto"/>
        <w:ind w:right="4860" w:firstLine="4269"/>
      </w:pPr>
      <w:r>
        <w:rPr>
          <w:color w:val="FF0000"/>
          <w:u w:val="double" w:color="FF0000"/>
        </w:rPr>
        <w:t>本章总结</w:t>
      </w:r>
      <w:r>
        <w:t>1.掌握短期借款、 应付票据、 应付账款和预收账款的核算</w:t>
      </w:r>
    </w:p>
    <w:p>
      <w:pPr>
        <w:spacing w:after="0" w:line="302" w:lineRule="auto"/>
        <w:sectPr>
          <w:pgSz w:w="11910" w:h="16160"/>
          <w:pgMar w:top="1680" w:right="360" w:bottom="860" w:left="760" w:header="0" w:footer="548" w:gutter="0"/>
        </w:sectPr>
      </w:pPr>
    </w:p>
    <w:p>
      <w:pPr>
        <w:pStyle w:val="6"/>
        <w:spacing w:before="11"/>
        <w:ind w:left="0"/>
        <w:rPr>
          <w:sz w:val="13"/>
        </w:rPr>
      </w:pPr>
    </w:p>
    <w:p>
      <w:pPr>
        <w:pStyle w:val="13"/>
        <w:numPr>
          <w:ilvl w:val="0"/>
          <w:numId w:val="92"/>
        </w:numPr>
        <w:tabs>
          <w:tab w:val="left" w:pos="925"/>
        </w:tabs>
        <w:spacing w:before="71" w:after="0" w:line="240" w:lineRule="auto"/>
        <w:ind w:left="924" w:right="0" w:hanging="202"/>
        <w:jc w:val="left"/>
        <w:rPr>
          <w:sz w:val="20"/>
        </w:rPr>
      </w:pPr>
      <w:r>
        <w:rPr>
          <w:sz w:val="20"/>
        </w:rPr>
        <w:t>掌握职工薪酬的内容及短期薪酬和设定提存计划的核算</w:t>
      </w:r>
    </w:p>
    <w:p>
      <w:pPr>
        <w:pStyle w:val="13"/>
        <w:numPr>
          <w:ilvl w:val="0"/>
          <w:numId w:val="92"/>
        </w:numPr>
        <w:tabs>
          <w:tab w:val="left" w:pos="925"/>
        </w:tabs>
        <w:spacing w:before="70" w:after="0" w:line="240" w:lineRule="auto"/>
        <w:ind w:left="924" w:right="0" w:hanging="202"/>
        <w:jc w:val="left"/>
        <w:rPr>
          <w:sz w:val="20"/>
        </w:rPr>
      </w:pPr>
      <w:r>
        <w:rPr>
          <w:sz w:val="20"/>
        </w:rPr>
        <w:t>掌握应交增值税、 应交消费税的核算</w:t>
      </w:r>
    </w:p>
    <w:p>
      <w:pPr>
        <w:pStyle w:val="13"/>
        <w:numPr>
          <w:ilvl w:val="0"/>
          <w:numId w:val="92"/>
        </w:numPr>
        <w:tabs>
          <w:tab w:val="left" w:pos="925"/>
        </w:tabs>
        <w:spacing w:before="70" w:after="0" w:line="240" w:lineRule="auto"/>
        <w:ind w:left="924" w:right="0" w:hanging="202"/>
        <w:jc w:val="left"/>
        <w:rPr>
          <w:sz w:val="20"/>
        </w:rPr>
      </w:pPr>
      <w:r>
        <w:rPr>
          <w:sz w:val="20"/>
        </w:rPr>
        <w:t>熟悉应付利息、 应付股利和其他应付款的核算</w:t>
      </w:r>
    </w:p>
    <w:p>
      <w:pPr>
        <w:pStyle w:val="13"/>
        <w:numPr>
          <w:ilvl w:val="0"/>
          <w:numId w:val="92"/>
        </w:numPr>
        <w:tabs>
          <w:tab w:val="left" w:pos="925"/>
        </w:tabs>
        <w:spacing w:before="70" w:after="0" w:line="240" w:lineRule="auto"/>
        <w:ind w:left="924" w:right="0" w:hanging="202"/>
        <w:jc w:val="left"/>
        <w:rPr>
          <w:sz w:val="20"/>
        </w:rPr>
      </w:pPr>
      <w:r>
        <w:rPr>
          <w:sz w:val="20"/>
        </w:rPr>
        <w:t>熟悉其他应交税费的核算</w:t>
      </w:r>
    </w:p>
    <w:p>
      <w:pPr>
        <w:pStyle w:val="2"/>
        <w:tabs>
          <w:tab w:val="left" w:pos="1120"/>
        </w:tabs>
      </w:pPr>
      <w:bookmarkStart w:id="97" w:name="_bookmark20"/>
      <w:bookmarkEnd w:id="97"/>
      <w:bookmarkStart w:id="98" w:name="第四章　所有者权益"/>
      <w:bookmarkEnd w:id="98"/>
      <w:r>
        <w:rPr>
          <w:color w:val="FF0000"/>
        </w:rPr>
        <w:t>第</w:t>
      </w:r>
      <w:r>
        <w:rPr>
          <w:color w:val="FF0000"/>
          <w:spacing w:val="-3"/>
        </w:rPr>
        <w:t>四</w:t>
      </w:r>
      <w:r>
        <w:rPr>
          <w:color w:val="FF0000"/>
        </w:rPr>
        <w:t>章</w:t>
      </w:r>
      <w:r>
        <w:rPr>
          <w:color w:val="FF0000"/>
        </w:rPr>
        <w:tab/>
      </w:r>
      <w:r>
        <w:rPr>
          <w:color w:val="FF0000"/>
        </w:rPr>
        <w:t>所</w:t>
      </w:r>
      <w:r>
        <w:rPr>
          <w:color w:val="FF0000"/>
          <w:spacing w:val="-3"/>
        </w:rPr>
        <w:t>有</w:t>
      </w:r>
      <w:r>
        <w:rPr>
          <w:color w:val="FF0000"/>
        </w:rPr>
        <w:t>者权益</w:t>
      </w:r>
    </w:p>
    <w:p>
      <w:pPr>
        <w:pStyle w:val="5"/>
        <w:spacing w:before="184"/>
        <w:ind w:left="4592"/>
      </w:pPr>
      <w:bookmarkStart w:id="99" w:name="【本章考情分析】"/>
      <w:bookmarkEnd w:id="99"/>
      <w:r>
        <w:rPr>
          <w:color w:val="00AFEF"/>
          <w:u w:val="single" w:color="00AFEF"/>
        </w:rPr>
        <w:t>【本章考情分析】</w:t>
      </w:r>
    </w:p>
    <w:p>
      <w:pPr>
        <w:pStyle w:val="6"/>
        <w:spacing w:line="304" w:lineRule="auto"/>
        <w:ind w:left="322" w:right="722" w:firstLine="400"/>
      </w:pPr>
      <w:r>
        <w:rPr>
          <w:spacing w:val="-5"/>
          <w:w w:val="95"/>
        </w:rPr>
        <w:t xml:space="preserve">本章是不太重要的一章，学习时应注意将本章内容与有关资产的结合，以及与收入、费用、利润的结合，考   </w:t>
      </w:r>
      <w:r>
        <w:rPr>
          <w:spacing w:val="-8"/>
        </w:rPr>
        <w:t xml:space="preserve">试题型覆盖了单选、多选、判断等题型。预计 </w:t>
      </w:r>
      <w:r>
        <w:t>2020</w:t>
      </w:r>
      <w:r>
        <w:rPr>
          <w:spacing w:val="-15"/>
        </w:rPr>
        <w:t xml:space="preserve"> 年考试分值在 </w:t>
      </w:r>
      <w:r>
        <w:rPr>
          <w:color w:val="FF0000"/>
          <w:u w:val="double" w:color="FF0000"/>
        </w:rPr>
        <w:t>5</w:t>
      </w:r>
      <w:r>
        <w:rPr>
          <w:color w:val="FF0000"/>
          <w:spacing w:val="-25"/>
          <w:u w:val="double" w:color="FF0000"/>
        </w:rPr>
        <w:t xml:space="preserve"> 分</w:t>
      </w:r>
      <w:r>
        <w:t>左右。</w:t>
      </w:r>
    </w:p>
    <w:p>
      <w:pPr>
        <w:pStyle w:val="6"/>
        <w:spacing w:before="11"/>
        <w:ind w:left="0"/>
        <w:rPr>
          <w:sz w:val="25"/>
        </w:rPr>
      </w:pPr>
    </w:p>
    <w:p>
      <w:pPr>
        <w:pStyle w:val="3"/>
        <w:tabs>
          <w:tab w:val="left" w:pos="839"/>
        </w:tabs>
        <w:spacing w:before="45"/>
        <w:ind w:left="0" w:right="399"/>
        <w:jc w:val="center"/>
        <w:rPr>
          <w:rFonts w:hint="eastAsia" w:ascii="微软雅黑" w:eastAsia="微软雅黑"/>
        </w:rPr>
      </w:pPr>
      <w:bookmarkStart w:id="100" w:name="第一节　实收资本或股本"/>
      <w:bookmarkEnd w:id="100"/>
      <w:bookmarkStart w:id="101" w:name="_bookmark21"/>
      <w:bookmarkEnd w:id="101"/>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实收资本或股本</w:t>
      </w:r>
    </w:p>
    <w:p>
      <w:pPr>
        <w:spacing w:before="141"/>
        <w:ind w:left="742" w:right="0" w:firstLine="0"/>
        <w:jc w:val="left"/>
        <w:rPr>
          <w:b/>
          <w:sz w:val="21"/>
        </w:rPr>
      </w:pPr>
      <w:bookmarkStart w:id="102" w:name="一、实收资本概述"/>
      <w:bookmarkEnd w:id="102"/>
      <w:r>
        <w:rPr>
          <w:b/>
          <w:sz w:val="21"/>
          <w:shd w:val="clear" w:color="auto" w:fill="C0C0C0"/>
        </w:rPr>
        <w:t>一、实收资本概述</w:t>
      </w:r>
    </w:p>
    <w:p>
      <w:pPr>
        <w:pStyle w:val="5"/>
        <w:spacing w:before="91" w:line="302" w:lineRule="auto"/>
        <w:ind w:left="322" w:right="737" w:firstLine="400"/>
        <w:rPr>
          <w:b w:val="0"/>
        </w:rPr>
      </w:pPr>
      <w:r>
        <w:rPr>
          <w:b w:val="0"/>
          <w:w w:val="95"/>
        </w:rPr>
        <w:t>所有者权益来源</w:t>
      </w:r>
      <w:r>
        <w:rPr>
          <w:color w:val="00AFEF"/>
          <w:w w:val="95"/>
          <w:u w:val="single" w:color="00AFEF"/>
        </w:rPr>
        <w:t>可分为所有者投入的资本、其他综合收益、留存收益</w:t>
      </w:r>
      <w:r>
        <w:rPr>
          <w:b w:val="0"/>
          <w:w w:val="95"/>
        </w:rPr>
        <w:t>等；通常由</w:t>
      </w:r>
      <w:r>
        <w:rPr>
          <w:color w:val="00AFEF"/>
          <w:w w:val="95"/>
          <w:u w:val="single" w:color="00AFEF"/>
        </w:rPr>
        <w:t>实收资本（或股本</w:t>
      </w:r>
      <w:r>
        <w:rPr>
          <w:color w:val="00AFEF"/>
          <w:spacing w:val="-99"/>
          <w:w w:val="95"/>
          <w:u w:val="single" w:color="00AFEF"/>
        </w:rPr>
        <w:t>）</w:t>
      </w:r>
      <w:r>
        <w:rPr>
          <w:color w:val="00AFEF"/>
          <w:w w:val="95"/>
          <w:u w:val="single" w:color="00AFEF"/>
        </w:rPr>
        <w:t xml:space="preserve">、其他   </w:t>
      </w:r>
      <w:r>
        <w:rPr>
          <w:color w:val="00AFEF"/>
          <w:u w:val="single" w:color="00AFEF"/>
        </w:rPr>
        <w:t>权益工具、资本公积、其他综合收益、专项储备、留存收益</w:t>
      </w:r>
      <w:r>
        <w:rPr>
          <w:b w:val="0"/>
        </w:rPr>
        <w:t>构成。</w:t>
      </w:r>
    </w:p>
    <w:p>
      <w:pPr>
        <w:pStyle w:val="6"/>
        <w:spacing w:before="4" w:line="304" w:lineRule="auto"/>
        <w:ind w:left="322" w:right="643" w:firstLine="400"/>
      </w:pPr>
      <w:r>
        <w:rPr>
          <w:w w:val="95"/>
        </w:rPr>
        <w:t>实收资本是指企业按照章程规定或合同、协议约定，</w:t>
      </w:r>
      <w:r>
        <w:rPr>
          <w:b/>
          <w:color w:val="00AFEF"/>
          <w:w w:val="95"/>
          <w:u w:val="single" w:color="00AFEF"/>
        </w:rPr>
        <w:t>接受投资者投入企业的资本</w:t>
      </w:r>
      <w:r>
        <w:rPr>
          <w:w w:val="95"/>
        </w:rPr>
        <w:t xml:space="preserve">。股份有限公司以外的企业   </w:t>
      </w:r>
      <w:r>
        <w:t>应通过“</w:t>
      </w:r>
      <w:r>
        <w:rPr>
          <w:color w:val="FF0000"/>
          <w:u w:val="double" w:color="FF0000"/>
        </w:rPr>
        <w:t>实收资本</w:t>
      </w:r>
      <w:r>
        <w:t>”科目，股份有限公司通过“</w:t>
      </w:r>
      <w:r>
        <w:rPr>
          <w:color w:val="FF0000"/>
          <w:u w:val="double" w:color="FF0000"/>
        </w:rPr>
        <w:t>股本</w:t>
      </w:r>
      <w:r>
        <w:t>”科目核算投资者投入资本的增减变动情况。</w:t>
      </w:r>
    </w:p>
    <w:p>
      <w:pPr>
        <w:pStyle w:val="6"/>
        <w:spacing w:before="2" w:line="304" w:lineRule="auto"/>
        <w:ind w:left="322" w:right="722" w:firstLine="400"/>
      </w:pPr>
      <w:r>
        <w:rPr>
          <w:w w:val="95"/>
        </w:rPr>
        <w:t>股东可以用</w:t>
      </w:r>
      <w:r>
        <w:rPr>
          <w:color w:val="FF0000"/>
          <w:w w:val="95"/>
          <w:u w:val="double" w:color="FF0000"/>
        </w:rPr>
        <w:t>货币</w:t>
      </w:r>
      <w:r>
        <w:rPr>
          <w:spacing w:val="-5"/>
          <w:w w:val="95"/>
        </w:rPr>
        <w:t>出资，也可以用</w:t>
      </w:r>
      <w:r>
        <w:rPr>
          <w:color w:val="FF0000"/>
          <w:spacing w:val="-7"/>
          <w:w w:val="95"/>
          <w:u w:val="double" w:color="FF0000"/>
        </w:rPr>
        <w:t>实物、知识产权、土地使用权</w:t>
      </w:r>
      <w:r>
        <w:rPr>
          <w:w w:val="95"/>
        </w:rPr>
        <w:t>等可以用货币估价并可以依法转让的</w:t>
      </w:r>
      <w:r>
        <w:rPr>
          <w:color w:val="FF0000"/>
          <w:w w:val="95"/>
          <w:u w:val="double" w:color="FF0000"/>
        </w:rPr>
        <w:t>非货币财</w:t>
      </w:r>
      <w:r>
        <w:rPr>
          <w:color w:val="FF0000"/>
          <w:spacing w:val="-199"/>
          <w:w w:val="95"/>
          <w:u w:val="double" w:color="FF0000"/>
        </w:rPr>
        <w:t>产</w:t>
      </w:r>
      <w:r>
        <w:rPr>
          <w:color w:val="FF0000"/>
          <w:spacing w:val="188"/>
          <w:w w:val="95"/>
          <w:u w:val="double" w:color="FF0000"/>
        </w:rPr>
        <w:t xml:space="preserve"> </w:t>
      </w:r>
      <w:r>
        <w:rPr>
          <w:color w:val="FF0000"/>
          <w:u w:val="double" w:color="FF0000"/>
        </w:rPr>
        <w:t>作价出资</w:t>
      </w:r>
      <w:r>
        <w:t>。</w:t>
      </w:r>
    </w:p>
    <w:p>
      <w:pPr>
        <w:spacing w:before="0" w:line="223" w:lineRule="exact"/>
        <w:ind w:left="742" w:right="0" w:firstLine="0"/>
        <w:jc w:val="left"/>
        <w:rPr>
          <w:b/>
          <w:sz w:val="21"/>
        </w:rPr>
      </w:pPr>
      <w:bookmarkStart w:id="103" w:name="二、实收资本的账务处理"/>
      <w:bookmarkEnd w:id="103"/>
      <w:r>
        <w:rPr>
          <w:b/>
          <w:sz w:val="21"/>
          <w:shd w:val="clear" w:color="auto" w:fill="C0C0C0"/>
        </w:rPr>
        <w:t>二、实收资本的账务处理</w:t>
      </w:r>
    </w:p>
    <w:p>
      <w:pPr>
        <w:spacing w:before="92" w:line="302" w:lineRule="auto"/>
        <w:ind w:left="723" w:right="7853" w:firstLine="0"/>
        <w:jc w:val="left"/>
        <w:rPr>
          <w:sz w:val="20"/>
        </w:rPr>
      </w:pPr>
      <w:r>
        <w:rPr>
          <w:b/>
          <w:sz w:val="20"/>
        </w:rPr>
        <w:t>（一）接受现金资产投资</w:t>
      </w:r>
      <w:r>
        <w:rPr>
          <w:sz w:val="20"/>
        </w:rPr>
        <w:t>借：银行存款</w:t>
      </w:r>
    </w:p>
    <w:p>
      <w:pPr>
        <w:pStyle w:val="6"/>
        <w:spacing w:before="4"/>
        <w:ind w:left="1124"/>
      </w:pPr>
      <w:r>
        <w:t>贷：实收资本/股本</w:t>
      </w:r>
    </w:p>
    <w:p>
      <w:pPr>
        <w:pStyle w:val="6"/>
        <w:spacing w:before="71"/>
        <w:ind w:left="1522"/>
      </w:pPr>
      <w:r>
        <w:t>资本公积—资本溢价/股本溢价</w:t>
      </w:r>
    </w:p>
    <w:p>
      <w:pPr>
        <w:pStyle w:val="6"/>
        <w:spacing w:line="304" w:lineRule="auto"/>
        <w:ind w:left="322" w:right="720" w:firstLine="400"/>
      </w:pPr>
      <w:r>
        <mc:AlternateContent>
          <mc:Choice Requires="wps">
            <w:drawing>
              <wp:anchor distT="0" distB="0" distL="114300" distR="114300" simplePos="0" relativeHeight="482481152" behindDoc="1" locked="0" layoutInCell="1" allowOverlap="1">
                <wp:simplePos x="0" y="0"/>
                <wp:positionH relativeFrom="page">
                  <wp:posOffset>1068705</wp:posOffset>
                </wp:positionH>
                <wp:positionV relativeFrom="paragraph">
                  <wp:posOffset>182245</wp:posOffset>
                </wp:positionV>
                <wp:extent cx="251460" cy="5715"/>
                <wp:effectExtent l="0" t="0" r="0" b="0"/>
                <wp:wrapNone/>
                <wp:docPr id="309" name="任意多边形 22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28" o:spid="_x0000_s1026" o:spt="100" style="position:absolute;left:0pt;margin-left:84.15pt;margin-top:14.35pt;height:0.45pt;width:19.8pt;mso-position-horizontal-relative:page;z-index:-20835328;mso-width-relative:page;mso-height-relative:page;" filled="f" stroked="t" coordsize="396,9" o:gfxdata="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C1&#10;xgjZAAAACQEAAA8AAAAAAAAAAQAgAAAAIgAAAGRycy9kb3ducmV2LnhtbFBLAQIUABQAAAAIAIdO&#10;4kBpqOBc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7"/>
          <w:w w:val="95"/>
        </w:rPr>
        <w:t>】股份有限公司发行股票发生的手续费、佣金等交易费用，应从溢价中抵扣，冲减资本公积</w:t>
      </w:r>
      <w:r>
        <w:rPr>
          <w:w w:val="95"/>
        </w:rPr>
        <w:t xml:space="preserve">（股本溢   </w:t>
      </w:r>
      <w:r>
        <w:t>价</w:t>
      </w:r>
      <w:r>
        <w:rPr>
          <w:spacing w:val="-101"/>
        </w:rPr>
        <w:t>）</w:t>
      </w:r>
      <w:r>
        <w:t>。</w:t>
      </w:r>
    </w:p>
    <w:p>
      <w:pPr>
        <w:pStyle w:val="5"/>
        <w:spacing w:before="2"/>
      </w:pPr>
      <w:r>
        <w:t>（二）接受非现金资产投资</w:t>
      </w:r>
    </w:p>
    <w:p>
      <w:pPr>
        <w:pStyle w:val="6"/>
        <w:spacing w:before="67" w:line="304" w:lineRule="auto"/>
        <w:ind w:left="322" w:right="722" w:firstLine="400"/>
        <w:jc w:val="both"/>
      </w:pPr>
      <w:r>
        <w:rPr>
          <w:w w:val="95"/>
        </w:rPr>
        <w:t>企业接受投资者作价投入的</w:t>
      </w:r>
      <w:r>
        <w:rPr>
          <w:b/>
          <w:color w:val="00AFEF"/>
          <w:spacing w:val="-7"/>
          <w:w w:val="95"/>
          <w:u w:val="single" w:color="00AFEF"/>
        </w:rPr>
        <w:t>房屋、建筑物、机器设备</w:t>
      </w:r>
      <w:r>
        <w:rPr>
          <w:w w:val="95"/>
        </w:rPr>
        <w:t>等固定资产/材料物资/</w:t>
      </w:r>
      <w:r>
        <w:rPr>
          <w:spacing w:val="-4"/>
          <w:w w:val="95"/>
        </w:rPr>
        <w:t>无形资产，应按</w:t>
      </w:r>
      <w:r>
        <w:rPr>
          <w:color w:val="FF0000"/>
          <w:w w:val="95"/>
          <w:u w:val="double" w:color="FF0000"/>
        </w:rPr>
        <w:t>投资合同或协议</w:t>
      </w:r>
      <w:r>
        <w:rPr>
          <w:color w:val="FF0000"/>
          <w:spacing w:val="-199"/>
          <w:w w:val="95"/>
          <w:u w:val="double" w:color="FF0000"/>
        </w:rPr>
        <w:t>约</w:t>
      </w:r>
      <w:r>
        <w:rPr>
          <w:color w:val="FF0000"/>
          <w:spacing w:val="185"/>
          <w:w w:val="95"/>
          <w:u w:val="double" w:color="FF0000"/>
        </w:rPr>
        <w:t xml:space="preserve"> </w:t>
      </w:r>
      <w:r>
        <w:rPr>
          <w:color w:val="FF0000"/>
          <w:spacing w:val="-4"/>
          <w:u w:val="double" w:color="FF0000"/>
        </w:rPr>
        <w:t>定价值确定其价值</w:t>
      </w:r>
      <w:r>
        <w:t>（但投资合同或</w:t>
      </w:r>
      <w:r>
        <w:rPr>
          <w:color w:val="FF0000"/>
          <w:u w:val="double" w:color="FF0000"/>
        </w:rPr>
        <w:t>协议约定价值不公允的除外</w:t>
      </w:r>
      <w:r>
        <w:rPr>
          <w:spacing w:val="-29"/>
        </w:rPr>
        <w:t>）</w:t>
      </w:r>
      <w:r>
        <w:t>和在注册资本中所占份额部分作为实收资本或 股本入账，</w:t>
      </w:r>
      <w:r>
        <w:rPr>
          <w:b/>
          <w:color w:val="00AFEF"/>
          <w:u w:val="single" w:color="00AFEF"/>
        </w:rPr>
        <w:t>超过所占份额部分计入资本公积</w:t>
      </w:r>
      <w:r>
        <w:t>（资本溢价或股本溢价</w:t>
      </w:r>
      <w:r>
        <w:rPr>
          <w:spacing w:val="-99"/>
        </w:rPr>
        <w:t>）</w:t>
      </w:r>
      <w:r>
        <w:t>。</w:t>
      </w:r>
    </w:p>
    <w:p>
      <w:pPr>
        <w:pStyle w:val="6"/>
        <w:spacing w:before="3"/>
      </w:pPr>
      <w:r>
        <w:t>借：固定资产/原材料/无形资产</w:t>
      </w:r>
    </w:p>
    <w:p>
      <w:pPr>
        <w:pStyle w:val="6"/>
        <w:spacing w:line="304" w:lineRule="auto"/>
        <w:ind w:left="1123" w:right="6463"/>
      </w:pPr>
      <w:r>
        <w:t>应交税费—应交增值税（进项税额） 贷：实收资本/股本</w:t>
      </w:r>
    </w:p>
    <w:p>
      <w:pPr>
        <w:pStyle w:val="6"/>
        <w:spacing w:before="0" w:line="256" w:lineRule="exact"/>
        <w:ind w:left="1522"/>
      </w:pPr>
      <w:r>
        <w:t>资本公积—资本溢价/股本溢价</w:t>
      </w:r>
    </w:p>
    <w:p>
      <w:pPr>
        <w:pStyle w:val="5"/>
        <w:spacing w:before="71" w:line="304" w:lineRule="auto"/>
        <w:ind w:right="6648"/>
      </w:pPr>
      <w:r>
        <w:t>（三）实收资本（或股本）的增减变动1.实收资本（或股本）的增加</w:t>
      </w:r>
    </w:p>
    <w:p>
      <w:pPr>
        <w:pStyle w:val="6"/>
        <w:spacing w:before="1"/>
      </w:pPr>
      <w:r>
        <w:t>企业增加资本主要有三个途径：</w:t>
      </w:r>
      <w:r>
        <w:rPr>
          <w:color w:val="FF0000"/>
          <w:u w:val="double" w:color="FF0000"/>
        </w:rPr>
        <w:t>接受投资者追加投资、资本公积转增资本、盈余公积转增资本</w:t>
      </w:r>
      <w:r>
        <w:t>。</w:t>
      </w:r>
    </w:p>
    <w:p>
      <w:pPr>
        <w:pStyle w:val="6"/>
        <w:spacing w:before="71"/>
      </w:pPr>
      <w:r>
        <mc:AlternateContent>
          <mc:Choice Requires="wps">
            <w:drawing>
              <wp:anchor distT="0" distB="0" distL="114300" distR="114300" simplePos="0" relativeHeight="15847424" behindDoc="0" locked="0" layoutInCell="1" allowOverlap="1">
                <wp:simplePos x="0" y="0"/>
                <wp:positionH relativeFrom="page">
                  <wp:posOffset>1068705</wp:posOffset>
                </wp:positionH>
                <wp:positionV relativeFrom="paragraph">
                  <wp:posOffset>183515</wp:posOffset>
                </wp:positionV>
                <wp:extent cx="251460" cy="5715"/>
                <wp:effectExtent l="0" t="0" r="0" b="0"/>
                <wp:wrapNone/>
                <wp:docPr id="152" name="任意多边形 22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29" o:spid="_x0000_s1026" o:spt="100" style="position:absolute;left:0pt;margin-left:84.15pt;margin-top:14.45pt;height:0.45pt;width:19.8pt;mso-position-horizontal-relative:page;z-index:15847424;mso-width-relative:page;mso-height-relative:page;" filled="f" stroked="t" coordsize="396,9" o:gfxdata="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k5dsl&#10;2AAAAAkBAAAPAAAAAAAAAAEAIAAAACIAAABkcnMvZG93bnJldi54bWxQSwECFAAUAAAACACHTuJA&#10;HRfB2JMCAABXBwAADgAAAAAAAAABACAAAAAn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】如果是股份有限公司或有限责任公司接受追加投资，应该按照原投资者各自出资比例相应增加各投</w:t>
      </w:r>
    </w:p>
    <w:p>
      <w:pPr>
        <w:spacing w:after="0"/>
        <w:sectPr>
          <w:pgSz w:w="11910" w:h="16160"/>
          <w:pgMar w:top="1680" w:right="360" w:bottom="860" w:left="760" w:header="0" w:footer="548" w:gutter="0"/>
        </w:sectPr>
      </w:pPr>
    </w:p>
    <w:p>
      <w:pPr>
        <w:pStyle w:val="6"/>
        <w:spacing w:before="11"/>
        <w:ind w:left="0"/>
        <w:rPr>
          <w:sz w:val="13"/>
        </w:rPr>
      </w:pPr>
      <w:r>
        <w:drawing>
          <wp:anchor distT="0" distB="0" distL="0" distR="0" simplePos="0" relativeHeight="15849472" behindDoc="0" locked="0" layoutInCell="1" allowOverlap="1">
            <wp:simplePos x="0" y="0"/>
            <wp:positionH relativeFrom="page">
              <wp:posOffset>4231640</wp:posOffset>
            </wp:positionH>
            <wp:positionV relativeFrom="page">
              <wp:posOffset>9125585</wp:posOffset>
            </wp:positionV>
            <wp:extent cx="1694815" cy="666750"/>
            <wp:effectExtent l="0" t="0" r="0" b="0"/>
            <wp:wrapNone/>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6.png"/>
                    <pic:cNvPicPr>
                      <a:picLocks noChangeAspect="1"/>
                    </pic:cNvPicPr>
                  </pic:nvPicPr>
                  <pic:blipFill>
                    <a:blip r:embed="rId54" cstate="print"/>
                    <a:stretch>
                      <a:fillRect/>
                    </a:stretch>
                  </pic:blipFill>
                  <pic:spPr>
                    <a:xfrm>
                      <a:off x="0" y="0"/>
                      <a:ext cx="1695115" cy="666855"/>
                    </a:xfrm>
                    <a:prstGeom prst="rect">
                      <a:avLst/>
                    </a:prstGeom>
                  </pic:spPr>
                </pic:pic>
              </a:graphicData>
            </a:graphic>
          </wp:anchor>
        </w:drawing>
      </w:r>
    </w:p>
    <w:p>
      <w:pPr>
        <w:pStyle w:val="6"/>
        <w:spacing w:before="71"/>
        <w:ind w:left="322"/>
      </w:pPr>
      <w:r>
        <w:t>资者的出资额。</w:t>
      </w:r>
    </w:p>
    <w:p>
      <w:pPr>
        <w:pStyle w:val="5"/>
      </w:pPr>
      <w:r>
        <w:t>2.实收资本（或股本）减少</w:t>
      </w:r>
    </w:p>
    <w:p>
      <w:pPr>
        <w:pStyle w:val="5"/>
      </w:pPr>
      <w:r>
        <w:t>（1）有限责任公司—直接撤资</w:t>
      </w:r>
    </w:p>
    <w:p>
      <w:pPr>
        <w:pStyle w:val="6"/>
        <w:tabs>
          <w:tab w:val="left" w:pos="2823"/>
        </w:tabs>
        <w:ind w:left="1123"/>
      </w:pPr>
      <w:r>
        <w:t>借：实收资本</w:t>
      </w:r>
      <w:r>
        <w:tab/>
      </w:r>
      <w:r>
        <w:t>贷：银行存款</w:t>
      </w:r>
    </w:p>
    <w:p>
      <w:pPr>
        <w:pStyle w:val="5"/>
        <w:spacing w:before="71"/>
      </w:pPr>
      <w:r>
        <w:t>（２）股份公司—回购股票</w:t>
      </w:r>
    </w:p>
    <w:p>
      <w:pPr>
        <w:pStyle w:val="6"/>
        <w:spacing w:before="67" w:after="2"/>
      </w:pPr>
      <w:r>
        <w:t>企业减少实收资本应按法定程序报经批准，股份有限公司采用收购本公司股票方式减资。</w:t>
      </w:r>
    </w:p>
    <w:p>
      <w:pPr>
        <w:pStyle w:val="6"/>
        <w:spacing w:before="0"/>
        <w:ind w:left="770"/>
      </w:pPr>
      <w:r>
        <mc:AlternateContent>
          <mc:Choice Requires="wpg">
            <w:drawing>
              <wp:inline distT="0" distB="0" distL="114300" distR="114300">
                <wp:extent cx="5768975" cy="1047750"/>
                <wp:effectExtent l="1905" t="1905" r="1270" b="17145"/>
                <wp:docPr id="184" name="组合 230"/>
                <wp:cNvGraphicFramePr/>
                <a:graphic xmlns:a="http://schemas.openxmlformats.org/drawingml/2006/main">
                  <a:graphicData uri="http://schemas.microsoft.com/office/word/2010/wordprocessingGroup">
                    <wpg:wgp>
                      <wpg:cNvGrpSpPr/>
                      <wpg:grpSpPr>
                        <a:xfrm>
                          <a:off x="0" y="0"/>
                          <a:ext cx="5768975" cy="1047750"/>
                          <a:chOff x="0" y="0"/>
                          <a:chExt cx="9085" cy="1650"/>
                        </a:xfrm>
                      </wpg:grpSpPr>
                      <wps:wsp>
                        <wps:cNvPr id="182" name="文本框 231"/>
                        <wps:cNvSpPr txBox="1"/>
                        <wps:spPr>
                          <a:xfrm>
                            <a:off x="3354" y="4"/>
                            <a:ext cx="5725" cy="1640"/>
                          </a:xfrm>
                          <a:prstGeom prst="rect">
                            <a:avLst/>
                          </a:prstGeom>
                          <a:noFill/>
                          <a:ln w="6096" cap="flat" cmpd="sng">
                            <a:solidFill>
                              <a:srgbClr val="000000"/>
                            </a:solidFill>
                            <a:prstDash val="solid"/>
                            <a:miter/>
                            <a:headEnd type="none" w="med" len="med"/>
                            <a:tailEnd type="none" w="med" len="med"/>
                          </a:ln>
                        </wps:spPr>
                        <wps:txbx>
                          <w:txbxContent>
                            <w:p>
                              <w:pPr>
                                <w:spacing w:before="68"/>
                                <w:ind w:left="102" w:right="0" w:firstLine="0"/>
                                <w:jc w:val="left"/>
                                <w:rPr>
                                  <w:sz w:val="20"/>
                                </w:rPr>
                              </w:pPr>
                              <w:r>
                                <w:rPr>
                                  <w:sz w:val="20"/>
                                </w:rPr>
                                <w:t>②注销股份</w:t>
                              </w:r>
                            </w:p>
                            <w:p>
                              <w:pPr>
                                <w:spacing w:before="70" w:line="304" w:lineRule="auto"/>
                                <w:ind w:left="102" w:right="2409" w:firstLine="0"/>
                                <w:jc w:val="left"/>
                                <w:rPr>
                                  <w:sz w:val="20"/>
                                </w:rPr>
                              </w:pPr>
                              <w:r>
                                <w:rPr>
                                  <w:sz w:val="20"/>
                                </w:rPr>
                                <w:t>a.购回股票支付的价款高于面值总额借：股本（面值）</w:t>
                              </w:r>
                            </w:p>
                            <w:p>
                              <w:pPr>
                                <w:spacing w:before="2"/>
                                <w:ind w:left="502" w:right="0" w:firstLine="0"/>
                                <w:jc w:val="left"/>
                                <w:rPr>
                                  <w:sz w:val="20"/>
                                </w:rPr>
                              </w:pPr>
                              <w:r>
                                <w:rPr>
                                  <w:sz w:val="20"/>
                                </w:rPr>
                                <w:t>资本公积—股本溢价/盈余公积/未分配利润</w:t>
                              </w:r>
                            </w:p>
                            <w:p>
                              <w:pPr>
                                <w:spacing w:before="70"/>
                                <w:ind w:left="502" w:right="0" w:firstLine="0"/>
                                <w:jc w:val="left"/>
                                <w:rPr>
                                  <w:sz w:val="20"/>
                                </w:rPr>
                              </w:pPr>
                              <w:r>
                                <w:rPr>
                                  <w:sz w:val="20"/>
                                </w:rPr>
                                <w:t>贷：库存股（市价）</w:t>
                              </w:r>
                            </w:p>
                          </w:txbxContent>
                        </wps:txbx>
                        <wps:bodyPr lIns="0" tIns="0" rIns="0" bIns="0" upright="1"/>
                      </wps:wsp>
                      <wps:wsp>
                        <wps:cNvPr id="183" name="文本框 232"/>
                        <wps:cNvSpPr txBox="1"/>
                        <wps:spPr>
                          <a:xfrm>
                            <a:off x="4" y="4"/>
                            <a:ext cx="3350" cy="1640"/>
                          </a:xfrm>
                          <a:prstGeom prst="rect">
                            <a:avLst/>
                          </a:prstGeom>
                          <a:noFill/>
                          <a:ln w="6096" cap="flat" cmpd="sng">
                            <a:solidFill>
                              <a:srgbClr val="000000"/>
                            </a:solidFill>
                            <a:prstDash val="solid"/>
                            <a:miter/>
                            <a:headEnd type="none" w="med" len="med"/>
                            <a:tailEnd type="none" w="med" len="med"/>
                          </a:ln>
                        </wps:spPr>
                        <wps:txbx>
                          <w:txbxContent>
                            <w:p>
                              <w:pPr>
                                <w:spacing w:before="68"/>
                                <w:ind w:left="104" w:right="0" w:firstLine="0"/>
                                <w:jc w:val="left"/>
                                <w:rPr>
                                  <w:sz w:val="20"/>
                                </w:rPr>
                              </w:pPr>
                              <w:r>
                                <w:rPr>
                                  <w:sz w:val="20"/>
                                </w:rPr>
                                <w:t>①回购股票</w:t>
                              </w:r>
                            </w:p>
                            <w:p>
                              <w:pPr>
                                <w:spacing w:before="70" w:line="304" w:lineRule="auto"/>
                                <w:ind w:left="502" w:right="1434" w:hanging="399"/>
                                <w:jc w:val="left"/>
                                <w:rPr>
                                  <w:sz w:val="20"/>
                                </w:rPr>
                              </w:pPr>
                              <w:r>
                                <w:rPr>
                                  <w:sz w:val="20"/>
                                </w:rPr>
                                <w:t>借：库存股（市价） 贷：银行存款</w:t>
                              </w:r>
                            </w:p>
                          </w:txbxContent>
                        </wps:txbx>
                        <wps:bodyPr lIns="0" tIns="0" rIns="0" bIns="0" upright="1"/>
                      </wps:wsp>
                    </wpg:wgp>
                  </a:graphicData>
                </a:graphic>
              </wp:inline>
            </w:drawing>
          </mc:Choice>
          <mc:Fallback>
            <w:pict>
              <v:group id="组合 230" o:spid="_x0000_s1026" o:spt="203" style="height:82.5pt;width:454.25pt;" coordsize="9085,1650" o:gfxdata="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gRJreNUAAAAFAQAA&#10;DwAAAAAAAAABACAAAAAiAAAAZHJzL2Rvd25yZXYueG1sUEsBAhQAFAAAAAgAh07iQDVNXeuOAgAA&#10;ZgcAAA4AAAAAAAAAAQAgAAAAJAEAAGRycy9lMm9Eb2MueG1sUEsFBgAAAAAGAAYAWQEAACQGAAAA&#10;AA==&#10;">
                <o:lock v:ext="edit" aspectratio="f"/>
                <v:shape id="文本框 231" o:spid="_x0000_s1026" o:spt="202" type="#_x0000_t202" style="position:absolute;left:3354;top:4;height:1640;width:5725;" filled="f" stroked="t" coordsize="21600,21600" o:gfxdata="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77LS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8"/>
                          <w:ind w:left="102" w:right="0" w:firstLine="0"/>
                          <w:jc w:val="left"/>
                          <w:rPr>
                            <w:sz w:val="20"/>
                          </w:rPr>
                        </w:pPr>
                        <w:r>
                          <w:rPr>
                            <w:sz w:val="20"/>
                          </w:rPr>
                          <w:t>②注销股份</w:t>
                        </w:r>
                      </w:p>
                      <w:p>
                        <w:pPr>
                          <w:spacing w:before="70" w:line="304" w:lineRule="auto"/>
                          <w:ind w:left="102" w:right="2409" w:firstLine="0"/>
                          <w:jc w:val="left"/>
                          <w:rPr>
                            <w:sz w:val="20"/>
                          </w:rPr>
                        </w:pPr>
                        <w:r>
                          <w:rPr>
                            <w:sz w:val="20"/>
                          </w:rPr>
                          <w:t>a.购回股票支付的价款高于面值总额借：股本（面值）</w:t>
                        </w:r>
                      </w:p>
                      <w:p>
                        <w:pPr>
                          <w:spacing w:before="2"/>
                          <w:ind w:left="502" w:right="0" w:firstLine="0"/>
                          <w:jc w:val="left"/>
                          <w:rPr>
                            <w:sz w:val="20"/>
                          </w:rPr>
                        </w:pPr>
                        <w:r>
                          <w:rPr>
                            <w:sz w:val="20"/>
                          </w:rPr>
                          <w:t>资本公积—股本溢价/盈余公积/未分配利润</w:t>
                        </w:r>
                      </w:p>
                      <w:p>
                        <w:pPr>
                          <w:spacing w:before="70"/>
                          <w:ind w:left="502" w:right="0" w:firstLine="0"/>
                          <w:jc w:val="left"/>
                          <w:rPr>
                            <w:sz w:val="20"/>
                          </w:rPr>
                        </w:pPr>
                        <w:r>
                          <w:rPr>
                            <w:sz w:val="20"/>
                          </w:rPr>
                          <w:t>贷：库存股（市价）</w:t>
                        </w:r>
                      </w:p>
                    </w:txbxContent>
                  </v:textbox>
                </v:shape>
                <v:shape id="文本框 232" o:spid="_x0000_s1026" o:spt="202" type="#_x0000_t202" style="position:absolute;left:4;top:4;height:1640;width:3350;" filled="f" stroked="t" coordsize="21600,21600" o:gfxdata="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4oxdJ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8"/>
                          <w:ind w:left="104" w:right="0" w:firstLine="0"/>
                          <w:jc w:val="left"/>
                          <w:rPr>
                            <w:sz w:val="20"/>
                          </w:rPr>
                        </w:pPr>
                        <w:r>
                          <w:rPr>
                            <w:sz w:val="20"/>
                          </w:rPr>
                          <w:t>①回购股票</w:t>
                        </w:r>
                      </w:p>
                      <w:p>
                        <w:pPr>
                          <w:spacing w:before="70" w:line="304" w:lineRule="auto"/>
                          <w:ind w:left="502" w:right="1434" w:hanging="399"/>
                          <w:jc w:val="left"/>
                          <w:rPr>
                            <w:sz w:val="20"/>
                          </w:rPr>
                        </w:pPr>
                        <w:r>
                          <w:rPr>
                            <w:sz w:val="20"/>
                          </w:rPr>
                          <w:t>借：库存股（市价） 贷：银行存款</w:t>
                        </w:r>
                      </w:p>
                    </w:txbxContent>
                  </v:textbox>
                </v:shape>
                <w10:wrap type="none"/>
                <w10:anchorlock/>
              </v:group>
            </w:pict>
          </mc:Fallback>
        </mc:AlternateContent>
      </w:r>
    </w:p>
    <w:p>
      <w:pPr>
        <w:pStyle w:val="6"/>
        <w:spacing w:before="59" w:line="304" w:lineRule="auto"/>
        <w:ind w:left="322" w:right="722" w:firstLine="400"/>
      </w:pPr>
      <w:r>
        <mc:AlternateContent>
          <mc:Choice Requires="wps">
            <w:drawing>
              <wp:anchor distT="0" distB="0" distL="114300" distR="114300" simplePos="0" relativeHeight="482484224" behindDoc="1" locked="0" layoutInCell="1" allowOverlap="1">
                <wp:simplePos x="0" y="0"/>
                <wp:positionH relativeFrom="page">
                  <wp:posOffset>1068705</wp:posOffset>
                </wp:positionH>
                <wp:positionV relativeFrom="paragraph">
                  <wp:posOffset>175895</wp:posOffset>
                </wp:positionV>
                <wp:extent cx="251460" cy="5715"/>
                <wp:effectExtent l="0" t="0" r="0" b="0"/>
                <wp:wrapNone/>
                <wp:docPr id="310" name="任意多边形 23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3" o:spid="_x0000_s1026" o:spt="100" style="position:absolute;left:0pt;margin-left:84.15pt;margin-top:13.85pt;height:0.45pt;width:19.8pt;mso-position-horizontal-relative:page;z-index:-20832256;mso-width-relative:page;mso-height-relative:page;" filled="f" stroked="t" coordsize="396,9" o:gfxdata="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dK&#10;NYXZAAAACQEAAA8AAAAAAAAAAQAgAAAAIgAAAGRycy9kb3ducmV2LnhtbFBLAQIUABQAAAAIAIdO&#10;4kCvQdsQ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15"/>
          <w:w w:val="95"/>
        </w:rPr>
        <w:t>】</w:t>
      </w:r>
      <w:r>
        <w:rPr>
          <w:color w:val="FF0000"/>
          <w:spacing w:val="-4"/>
          <w:w w:val="95"/>
          <w:u w:val="double" w:color="FF0000"/>
        </w:rPr>
        <w:t>回购价大于对应的股本面值时，先冲减股本溢价，溢价余额不够扣除的，再依次冲减盈余公积和未</w:t>
      </w:r>
      <w:r>
        <w:rPr>
          <w:color w:val="FF0000"/>
          <w:spacing w:val="-198"/>
          <w:w w:val="95"/>
          <w:u w:val="double" w:color="FF0000"/>
        </w:rPr>
        <w:t>分</w:t>
      </w:r>
      <w:r>
        <w:rPr>
          <w:color w:val="FF0000"/>
          <w:spacing w:val="190"/>
          <w:w w:val="95"/>
          <w:u w:val="double" w:color="FF0000"/>
        </w:rPr>
        <w:t xml:space="preserve"> </w:t>
      </w:r>
      <w:r>
        <w:rPr>
          <w:color w:val="FF0000"/>
          <w:u w:val="double" w:color="FF0000"/>
        </w:rPr>
        <w:t>配利润</w:t>
      </w:r>
    </w:p>
    <w:p>
      <w:pPr>
        <w:pStyle w:val="6"/>
        <w:spacing w:before="0" w:line="304" w:lineRule="auto"/>
        <w:ind w:right="7041" w:firstLine="19"/>
      </w:pPr>
      <w:r>
        <w:t>购回股票支付的价款低于面值总额借：股本</w:t>
      </w:r>
    </w:p>
    <w:p>
      <w:pPr>
        <w:pStyle w:val="6"/>
        <w:spacing w:before="2"/>
        <w:ind w:left="1124"/>
      </w:pPr>
      <w:r>
        <w:t>贷：库存股</w:t>
      </w:r>
    </w:p>
    <w:p>
      <w:pPr>
        <w:pStyle w:val="6"/>
        <w:ind w:left="1522"/>
      </w:pPr>
      <w:r>
        <w:t>资本公积—股本溢价</w:t>
      </w:r>
    </w:p>
    <w:p>
      <w:pPr>
        <w:pStyle w:val="3"/>
        <w:tabs>
          <w:tab w:val="left" w:pos="839"/>
        </w:tabs>
        <w:spacing w:before="120"/>
        <w:ind w:left="0" w:right="402"/>
        <w:jc w:val="center"/>
        <w:rPr>
          <w:rFonts w:hint="eastAsia" w:ascii="微软雅黑" w:eastAsia="微软雅黑"/>
        </w:rPr>
      </w:pPr>
      <w:bookmarkStart w:id="104" w:name="第二节　资本公积"/>
      <w:bookmarkEnd w:id="104"/>
      <w:bookmarkStart w:id="105" w:name="_bookmark22"/>
      <w:bookmarkEnd w:id="105"/>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资本公积</w:t>
      </w:r>
    </w:p>
    <w:p>
      <w:pPr>
        <w:spacing w:before="138"/>
        <w:ind w:left="742" w:right="0" w:firstLine="0"/>
        <w:jc w:val="left"/>
        <w:rPr>
          <w:b/>
          <w:sz w:val="21"/>
        </w:rPr>
      </w:pPr>
      <w:bookmarkStart w:id="106" w:name="一、资本公积概述"/>
      <w:bookmarkEnd w:id="106"/>
      <w:r>
        <w:rPr>
          <w:b/>
          <w:sz w:val="21"/>
          <w:shd w:val="clear" w:color="auto" w:fill="C0C0C0"/>
        </w:rPr>
        <w:t>一、资本公积概述</w:t>
      </w:r>
    </w:p>
    <w:p>
      <w:pPr>
        <w:pStyle w:val="5"/>
        <w:spacing w:before="92"/>
      </w:pPr>
      <w:r>
        <w:t>（一）资本公积的来源：</w:t>
      </w:r>
    </w:p>
    <w:p>
      <w:pPr>
        <w:pStyle w:val="6"/>
      </w:pPr>
      <w:r>
        <w:t>资本公积是企业收到投资者</w:t>
      </w:r>
      <w:r>
        <w:rPr>
          <w:color w:val="FF0000"/>
          <w:u w:val="double" w:color="FF0000"/>
        </w:rPr>
        <w:t>出资额超出其在注册资本（或股本）中所占份额</w:t>
      </w:r>
      <w:r>
        <w:t>的部分，以及</w:t>
      </w:r>
      <w:r>
        <w:rPr>
          <w:color w:val="FF0000"/>
          <w:u w:val="double" w:color="FF0000"/>
        </w:rPr>
        <w:t>其他资本公积</w:t>
      </w:r>
      <w:r>
        <w:t>等。</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86"/>
        <w:gridCol w:w="8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786" w:type="dxa"/>
          </w:tcPr>
          <w:p>
            <w:pPr>
              <w:pStyle w:val="14"/>
              <w:rPr>
                <w:sz w:val="18"/>
              </w:rPr>
            </w:pPr>
          </w:p>
          <w:p>
            <w:pPr>
              <w:pStyle w:val="14"/>
              <w:ind w:left="71" w:right="64"/>
              <w:jc w:val="center"/>
              <w:rPr>
                <w:sz w:val="20"/>
              </w:rPr>
            </w:pPr>
            <w:r>
              <w:rPr>
                <w:sz w:val="20"/>
              </w:rPr>
              <w:t>资本（股本）溢价</w:t>
            </w:r>
          </w:p>
        </w:tc>
        <w:tc>
          <w:tcPr>
            <w:tcW w:w="8280" w:type="dxa"/>
          </w:tcPr>
          <w:p>
            <w:pPr>
              <w:pStyle w:val="14"/>
              <w:spacing w:before="70"/>
              <w:ind w:left="507"/>
              <w:rPr>
                <w:sz w:val="20"/>
              </w:rPr>
            </w:pPr>
            <w:r>
              <w:rPr>
                <w:sz w:val="20"/>
              </w:rPr>
              <w:t>①溢价发行股票</w:t>
            </w:r>
          </w:p>
          <w:p>
            <w:pPr>
              <w:pStyle w:val="14"/>
              <w:spacing w:before="68" w:line="238" w:lineRule="exact"/>
              <w:ind w:left="507"/>
              <w:rPr>
                <w:sz w:val="20"/>
              </w:rPr>
            </w:pPr>
            <w:r>
              <w:rPr>
                <w:sz w:val="20"/>
              </w:rPr>
              <w:t>②投资者超额缴入资本等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4" w:hRule="atLeast"/>
        </w:trPr>
        <w:tc>
          <w:tcPr>
            <w:tcW w:w="1786" w:type="dxa"/>
          </w:tcPr>
          <w:p>
            <w:pPr>
              <w:pStyle w:val="14"/>
              <w:rPr>
                <w:sz w:val="20"/>
              </w:rPr>
            </w:pPr>
          </w:p>
          <w:p>
            <w:pPr>
              <w:pStyle w:val="14"/>
              <w:spacing w:before="6"/>
              <w:rPr>
                <w:sz w:val="23"/>
              </w:rPr>
            </w:pPr>
          </w:p>
          <w:p>
            <w:pPr>
              <w:pStyle w:val="14"/>
              <w:spacing w:before="1"/>
              <w:ind w:left="71" w:right="64"/>
              <w:jc w:val="center"/>
              <w:rPr>
                <w:sz w:val="20"/>
              </w:rPr>
            </w:pPr>
            <w:r>
              <w:rPr>
                <w:sz w:val="20"/>
              </w:rPr>
              <w:t>其他资本公积</w:t>
            </w:r>
          </w:p>
        </w:tc>
        <w:tc>
          <w:tcPr>
            <w:tcW w:w="8280" w:type="dxa"/>
          </w:tcPr>
          <w:p>
            <w:pPr>
              <w:pStyle w:val="14"/>
              <w:spacing w:before="68"/>
              <w:ind w:left="106"/>
              <w:rPr>
                <w:sz w:val="20"/>
              </w:rPr>
            </w:pPr>
            <w:r>
              <w:rPr>
                <w:sz w:val="20"/>
              </w:rPr>
              <w:t>①除资本溢价（股本溢价</w:t>
            </w:r>
            <w:r>
              <w:rPr>
                <w:spacing w:val="-99"/>
                <w:sz w:val="20"/>
              </w:rPr>
              <w:t>）</w:t>
            </w:r>
            <w:r>
              <w:rPr>
                <w:sz w:val="20"/>
              </w:rPr>
              <w:t>、净损益、其他综合收益和利润分配以外所有者权益的其他变动。</w:t>
            </w:r>
          </w:p>
          <w:p>
            <w:pPr>
              <w:pStyle w:val="14"/>
              <w:spacing w:before="70" w:line="304" w:lineRule="auto"/>
              <w:ind w:left="106" w:right="160"/>
              <w:rPr>
                <w:sz w:val="20"/>
              </w:rPr>
            </w:pPr>
            <w:r>
              <w:rPr>
                <w:w w:val="95"/>
                <w:sz w:val="20"/>
              </w:rPr>
              <w:t xml:space="preserve">②企业长期股权投资采用权益法核算时，因被投资单位除净损益、其他综合收益以及利润分   </w:t>
            </w:r>
            <w:r>
              <w:rPr>
                <w:sz w:val="20"/>
              </w:rPr>
              <w:t>配以外的所有者权益的其他变动，投资企业按应享有份额而增加或减少的资本公积。</w:t>
            </w:r>
          </w:p>
          <w:p>
            <w:pPr>
              <w:pStyle w:val="14"/>
              <w:spacing w:before="2" w:line="237" w:lineRule="exact"/>
              <w:ind w:left="507"/>
              <w:rPr>
                <w:sz w:val="20"/>
              </w:rPr>
            </w:pPr>
            <w:r>
              <w:rPr>
                <w:sz w:val="20"/>
              </w:rPr>
              <w:t>……</w:t>
            </w:r>
          </w:p>
        </w:tc>
      </w:tr>
    </w:tbl>
    <w:p>
      <w:pPr>
        <w:pStyle w:val="5"/>
        <w:spacing w:before="69"/>
      </w:pPr>
      <w:r>
        <w:t>（二）资本公积与实收资本（股本</w:t>
      </w:r>
      <w:r>
        <w:rPr>
          <w:spacing w:val="-96"/>
        </w:rPr>
        <w:t>）</w:t>
      </w:r>
      <w:r>
        <w:t>、留存收益、其他综合收益的区别</w:t>
      </w:r>
    </w:p>
    <w:p>
      <w:pPr>
        <w:pStyle w:val="6"/>
        <w:spacing w:before="10" w:after="1"/>
        <w:ind w:left="0"/>
        <w:rPr>
          <w:b/>
          <w:sz w:val="15"/>
        </w:rPr>
      </w:pPr>
    </w:p>
    <w:tbl>
      <w:tblPr>
        <w:tblStyle w:val="10"/>
        <w:tblW w:w="0" w:type="auto"/>
        <w:tblInd w:w="56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07"/>
        <w:gridCol w:w="1038"/>
        <w:gridCol w:w="2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107" w:type="dxa"/>
          </w:tcPr>
          <w:p>
            <w:pPr>
              <w:pStyle w:val="14"/>
              <w:spacing w:before="69" w:line="237" w:lineRule="exact"/>
              <w:ind w:left="107"/>
              <w:rPr>
                <w:sz w:val="20"/>
              </w:rPr>
            </w:pPr>
            <w:r>
              <w:rPr>
                <w:sz w:val="20"/>
              </w:rPr>
              <w:t>留存收益</w:t>
            </w:r>
          </w:p>
        </w:tc>
        <w:tc>
          <w:tcPr>
            <w:tcW w:w="1038" w:type="dxa"/>
          </w:tcPr>
          <w:p>
            <w:pPr>
              <w:pStyle w:val="14"/>
              <w:spacing w:before="69" w:line="237" w:lineRule="exact"/>
              <w:ind w:left="107"/>
              <w:rPr>
                <w:sz w:val="20"/>
              </w:rPr>
            </w:pPr>
            <w:r>
              <w:rPr>
                <w:sz w:val="20"/>
              </w:rPr>
              <w:t>资本公积</w:t>
            </w:r>
          </w:p>
        </w:tc>
        <w:tc>
          <w:tcPr>
            <w:tcW w:w="2600" w:type="dxa"/>
          </w:tcPr>
          <w:p>
            <w:pPr>
              <w:pStyle w:val="14"/>
              <w:spacing w:before="69" w:line="237" w:lineRule="exact"/>
              <w:ind w:left="108"/>
              <w:rPr>
                <w:sz w:val="20"/>
              </w:rPr>
            </w:pPr>
            <w:r>
              <w:rPr>
                <w:sz w:val="20"/>
              </w:rPr>
              <w:t>其他综合收益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107" w:type="dxa"/>
          </w:tcPr>
          <w:p>
            <w:pPr>
              <w:pStyle w:val="14"/>
              <w:spacing w:before="69" w:line="237" w:lineRule="exact"/>
              <w:ind w:left="107"/>
              <w:rPr>
                <w:sz w:val="20"/>
              </w:rPr>
            </w:pPr>
            <w:r>
              <w:rPr>
                <w:sz w:val="20"/>
              </w:rPr>
              <w:t>来自利润</w:t>
            </w:r>
          </w:p>
        </w:tc>
        <w:tc>
          <w:tcPr>
            <w:tcW w:w="1038" w:type="dxa"/>
          </w:tcPr>
          <w:p>
            <w:pPr>
              <w:pStyle w:val="14"/>
              <w:spacing w:before="69" w:line="237" w:lineRule="exact"/>
              <w:ind w:left="107"/>
              <w:rPr>
                <w:sz w:val="20"/>
              </w:rPr>
            </w:pPr>
            <w:r>
              <w:rPr>
                <w:sz w:val="20"/>
              </w:rPr>
              <w:t>来自溢价</w:t>
            </w:r>
          </w:p>
        </w:tc>
        <w:tc>
          <w:tcPr>
            <w:tcW w:w="2600"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107" w:type="dxa"/>
          </w:tcPr>
          <w:p>
            <w:pPr>
              <w:pStyle w:val="14"/>
              <w:rPr>
                <w:rFonts w:ascii="Times New Roman"/>
                <w:sz w:val="18"/>
              </w:rPr>
            </w:pPr>
          </w:p>
        </w:tc>
        <w:tc>
          <w:tcPr>
            <w:tcW w:w="1038" w:type="dxa"/>
          </w:tcPr>
          <w:p>
            <w:pPr>
              <w:pStyle w:val="14"/>
              <w:spacing w:before="8" w:line="326" w:lineRule="exact"/>
              <w:ind w:left="318" w:right="208" w:hanging="101"/>
              <w:rPr>
                <w:sz w:val="20"/>
              </w:rPr>
            </w:pPr>
            <w:r>
              <w:rPr>
                <w:sz w:val="20"/>
              </w:rPr>
              <w:t>不影响利润</w:t>
            </w:r>
          </w:p>
        </w:tc>
        <w:tc>
          <w:tcPr>
            <w:tcW w:w="2600" w:type="dxa"/>
          </w:tcPr>
          <w:p>
            <w:pPr>
              <w:pStyle w:val="14"/>
              <w:spacing w:before="8" w:line="326" w:lineRule="exact"/>
              <w:ind w:left="108" w:right="96"/>
              <w:rPr>
                <w:sz w:val="20"/>
              </w:rPr>
            </w:pPr>
            <w:r>
              <w:rPr>
                <w:sz w:val="20"/>
              </w:rPr>
              <w:t>满足条件的可以重分类进损益，成为利润的一部分</w:t>
            </w:r>
          </w:p>
        </w:tc>
      </w:tr>
    </w:tbl>
    <w:p>
      <w:pPr>
        <w:pStyle w:val="6"/>
        <w:spacing w:before="4"/>
        <w:ind w:left="0"/>
        <w:rPr>
          <w:b/>
          <w:sz w:val="2"/>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9"/>
        <w:gridCol w:w="3228"/>
        <w:gridCol w:w="14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619" w:type="dxa"/>
          </w:tcPr>
          <w:p>
            <w:pPr>
              <w:pStyle w:val="14"/>
              <w:rPr>
                <w:rFonts w:ascii="Times New Roman"/>
                <w:sz w:val="18"/>
              </w:rPr>
            </w:pPr>
          </w:p>
        </w:tc>
        <w:tc>
          <w:tcPr>
            <w:tcW w:w="3228" w:type="dxa"/>
          </w:tcPr>
          <w:p>
            <w:pPr>
              <w:pStyle w:val="14"/>
              <w:spacing w:before="69" w:line="237" w:lineRule="exact"/>
              <w:ind w:left="92" w:right="84"/>
              <w:jc w:val="center"/>
              <w:rPr>
                <w:sz w:val="20"/>
              </w:rPr>
            </w:pPr>
            <w:r>
              <w:rPr>
                <w:sz w:val="20"/>
              </w:rPr>
              <w:t>资本公积</w:t>
            </w:r>
          </w:p>
        </w:tc>
        <w:tc>
          <w:tcPr>
            <w:tcW w:w="1488" w:type="dxa"/>
          </w:tcPr>
          <w:p>
            <w:pPr>
              <w:pStyle w:val="14"/>
              <w:spacing w:before="69" w:line="237" w:lineRule="exact"/>
              <w:ind w:left="342"/>
              <w:rPr>
                <w:sz w:val="20"/>
              </w:rPr>
            </w:pPr>
            <w:r>
              <w:rPr>
                <w:sz w:val="20"/>
              </w:rPr>
              <w:t>实收资本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619" w:type="dxa"/>
          </w:tcPr>
          <w:p>
            <w:pPr>
              <w:pStyle w:val="14"/>
              <w:spacing w:before="69" w:line="237" w:lineRule="exact"/>
              <w:ind w:right="99"/>
              <w:jc w:val="right"/>
              <w:rPr>
                <w:sz w:val="20"/>
              </w:rPr>
            </w:pPr>
            <w:r>
              <w:rPr>
                <w:w w:val="95"/>
                <w:sz w:val="20"/>
              </w:rPr>
              <w:t>性质</w:t>
            </w:r>
          </w:p>
        </w:tc>
        <w:tc>
          <w:tcPr>
            <w:tcW w:w="3228" w:type="dxa"/>
          </w:tcPr>
          <w:p>
            <w:pPr>
              <w:pStyle w:val="14"/>
              <w:spacing w:before="69" w:line="237" w:lineRule="exact"/>
              <w:ind w:left="92" w:right="84"/>
              <w:jc w:val="center"/>
              <w:rPr>
                <w:sz w:val="20"/>
              </w:rPr>
            </w:pPr>
            <w:r>
              <w:rPr>
                <w:sz w:val="20"/>
              </w:rPr>
              <w:t>不体现产权关系</w:t>
            </w:r>
          </w:p>
        </w:tc>
        <w:tc>
          <w:tcPr>
            <w:tcW w:w="1488" w:type="dxa"/>
          </w:tcPr>
          <w:p>
            <w:pPr>
              <w:pStyle w:val="14"/>
              <w:spacing w:before="69" w:line="237" w:lineRule="exact"/>
              <w:ind w:left="143"/>
              <w:rPr>
                <w:sz w:val="20"/>
              </w:rPr>
            </w:pPr>
            <w:r>
              <w:rPr>
                <w:sz w:val="20"/>
              </w:rPr>
              <w:t>体现产权关系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619" w:type="dxa"/>
          </w:tcPr>
          <w:p>
            <w:pPr>
              <w:pStyle w:val="14"/>
              <w:spacing w:before="69" w:line="237" w:lineRule="exact"/>
              <w:ind w:right="99"/>
              <w:jc w:val="right"/>
              <w:rPr>
                <w:sz w:val="20"/>
              </w:rPr>
            </w:pPr>
            <w:r>
              <w:rPr>
                <w:w w:val="95"/>
                <w:sz w:val="20"/>
              </w:rPr>
              <w:t>用途</w:t>
            </w:r>
          </w:p>
        </w:tc>
        <w:tc>
          <w:tcPr>
            <w:tcW w:w="3228" w:type="dxa"/>
          </w:tcPr>
          <w:p>
            <w:pPr>
              <w:pStyle w:val="14"/>
              <w:spacing w:before="69" w:line="237" w:lineRule="exact"/>
              <w:ind w:left="94" w:right="84"/>
              <w:jc w:val="center"/>
              <w:rPr>
                <w:sz w:val="20"/>
              </w:rPr>
            </w:pPr>
            <w:r>
              <w:rPr>
                <w:sz w:val="20"/>
              </w:rPr>
              <w:t>转增资本，不能作为利润分配依据</w:t>
            </w:r>
          </w:p>
        </w:tc>
        <w:tc>
          <w:tcPr>
            <w:tcW w:w="1488" w:type="dxa"/>
          </w:tcPr>
          <w:p>
            <w:pPr>
              <w:pStyle w:val="14"/>
              <w:spacing w:before="69" w:line="237" w:lineRule="exact"/>
              <w:ind w:left="143"/>
              <w:rPr>
                <w:sz w:val="20"/>
              </w:rPr>
            </w:pPr>
            <w:r>
              <w:rPr>
                <w:sz w:val="20"/>
              </w:rPr>
              <w:t>利润分配依据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619" w:type="dxa"/>
          </w:tcPr>
          <w:p>
            <w:pPr>
              <w:pStyle w:val="14"/>
              <w:spacing w:before="69" w:line="237" w:lineRule="exact"/>
              <w:ind w:right="99"/>
              <w:jc w:val="right"/>
              <w:rPr>
                <w:sz w:val="20"/>
              </w:rPr>
            </w:pPr>
            <w:r>
              <w:rPr>
                <w:w w:val="95"/>
                <w:sz w:val="20"/>
              </w:rPr>
              <w:t>来源</w:t>
            </w:r>
          </w:p>
        </w:tc>
        <w:tc>
          <w:tcPr>
            <w:tcW w:w="3228" w:type="dxa"/>
          </w:tcPr>
          <w:p>
            <w:pPr>
              <w:pStyle w:val="14"/>
              <w:spacing w:before="69" w:line="237" w:lineRule="exact"/>
              <w:ind w:left="92" w:right="84"/>
              <w:jc w:val="center"/>
              <w:rPr>
                <w:sz w:val="20"/>
              </w:rPr>
            </w:pPr>
            <w:r>
              <w:rPr>
                <w:sz w:val="20"/>
              </w:rPr>
              <w:t>溢价（主要</w:t>
            </w:r>
            <w:r>
              <w:rPr>
                <w:spacing w:val="-99"/>
                <w:sz w:val="20"/>
              </w:rPr>
              <w:t>）</w:t>
            </w:r>
            <w:r>
              <w:rPr>
                <w:sz w:val="20"/>
              </w:rPr>
              <w:t>、其他</w:t>
            </w:r>
          </w:p>
        </w:tc>
        <w:tc>
          <w:tcPr>
            <w:tcW w:w="1488" w:type="dxa"/>
          </w:tcPr>
          <w:p>
            <w:pPr>
              <w:pStyle w:val="14"/>
              <w:spacing w:before="69" w:line="237" w:lineRule="exact"/>
              <w:ind w:left="743"/>
              <w:rPr>
                <w:sz w:val="20"/>
              </w:rPr>
            </w:pPr>
            <w:r>
              <w:rPr>
                <w:sz w:val="20"/>
              </w:rPr>
              <w:t>投资</w:t>
            </w:r>
          </w:p>
        </w:tc>
      </w:tr>
    </w:tbl>
    <w:p>
      <w:pPr>
        <w:spacing w:after="0" w:line="237" w:lineRule="exact"/>
        <w:rPr>
          <w:sz w:val="20"/>
        </w:rPr>
        <w:sectPr>
          <w:pgSz w:w="11910" w:h="16160"/>
          <w:pgMar w:top="1680" w:right="360" w:bottom="860" w:left="760" w:header="0" w:footer="548" w:gutter="0"/>
        </w:sectPr>
      </w:pPr>
    </w:p>
    <w:p>
      <w:pPr>
        <w:pStyle w:val="6"/>
        <w:spacing w:before="2"/>
        <w:ind w:left="0"/>
        <w:rPr>
          <w:b/>
          <w:sz w:val="10"/>
        </w:rPr>
      </w:pPr>
    </w:p>
    <w:p>
      <w:pPr>
        <w:spacing w:before="70"/>
        <w:ind w:left="742" w:right="0" w:firstLine="0"/>
        <w:jc w:val="left"/>
        <w:rPr>
          <w:b/>
          <w:sz w:val="21"/>
        </w:rPr>
      </w:pPr>
      <w:bookmarkStart w:id="107" w:name="二、资本公积的账务处理"/>
      <w:bookmarkEnd w:id="107"/>
      <w:r>
        <w:rPr>
          <w:b/>
          <w:sz w:val="21"/>
          <w:shd w:val="clear" w:color="auto" w:fill="C0C0C0"/>
        </w:rPr>
        <w:t>二、资本公积的账务处理</w:t>
      </w:r>
    </w:p>
    <w:p>
      <w:pPr>
        <w:pStyle w:val="5"/>
        <w:spacing w:before="91"/>
      </w:pPr>
      <w:r>
        <w:t>（一）资本溢价</w:t>
      </w:r>
    </w:p>
    <w:p>
      <w:pPr>
        <w:pStyle w:val="6"/>
        <w:spacing w:line="304" w:lineRule="auto"/>
        <w:ind w:left="322" w:right="792" w:firstLine="400"/>
        <w:jc w:val="both"/>
      </w:pPr>
      <w:r>
        <w:t>【例题</w:t>
      </w:r>
      <w:r>
        <w:rPr>
          <w:rFonts w:ascii="Arial" w:hAnsi="Arial" w:eastAsia="Arial"/>
        </w:rPr>
        <w:t>▪</w:t>
      </w:r>
      <w:r>
        <w:t>计算题】A</w:t>
      </w:r>
      <w:r>
        <w:rPr>
          <w:spacing w:val="-8"/>
        </w:rPr>
        <w:t xml:space="preserve"> 有限责任公司为扩大经营规模，经批准</w:t>
      </w:r>
      <w:r>
        <w:t>，A</w:t>
      </w:r>
      <w:r>
        <w:rPr>
          <w:spacing w:val="-11"/>
        </w:rPr>
        <w:t xml:space="preserve"> 有限责任公司注册资本增加到 </w:t>
      </w:r>
      <w:r>
        <w:t>300000</w:t>
      </w:r>
      <w:r>
        <w:rPr>
          <w:spacing w:val="-15"/>
        </w:rPr>
        <w:t xml:space="preserve"> 元，并</w:t>
      </w:r>
      <w:r>
        <w:rPr>
          <w:spacing w:val="-17"/>
        </w:rPr>
        <w:t xml:space="preserve">引入其他投资者加入。按照投资协议，新投资者需缴入现金 </w:t>
      </w:r>
      <w:r>
        <w:t>110000</w:t>
      </w:r>
      <w:r>
        <w:rPr>
          <w:spacing w:val="-8"/>
        </w:rPr>
        <w:t xml:space="preserve"> 元，同时享有该公司三分之一的股份。</w:t>
      </w:r>
      <w:r>
        <w:t>A</w:t>
      </w:r>
      <w:r>
        <w:rPr>
          <w:spacing w:val="-27"/>
        </w:rPr>
        <w:t xml:space="preserve"> 有限责任公司已收到该现金投资。</w:t>
      </w:r>
    </w:p>
    <w:p>
      <w:pPr>
        <w:pStyle w:val="6"/>
        <w:spacing w:before="3"/>
        <w:jc w:val="both"/>
      </w:pPr>
      <w:r>
        <w:t>借：银行存款 110000</w:t>
      </w:r>
    </w:p>
    <w:p>
      <w:pPr>
        <w:pStyle w:val="6"/>
        <w:spacing w:before="68"/>
        <w:ind w:left="1123"/>
        <w:jc w:val="both"/>
      </w:pPr>
      <w:r>
        <w:t>贷：实收资本 100000</w:t>
      </w:r>
    </w:p>
    <w:p>
      <w:pPr>
        <w:pStyle w:val="6"/>
        <w:ind w:left="1522"/>
        <w:jc w:val="both"/>
      </w:pPr>
      <w:r>
        <w:t>资本公积—资本溢价 10000</w:t>
      </w:r>
    </w:p>
    <w:p>
      <w:pPr>
        <w:pStyle w:val="5"/>
      </w:pPr>
      <w:r>
        <w:t>（二）股本溢价</w:t>
      </w:r>
    </w:p>
    <w:p>
      <w:pPr>
        <w:pStyle w:val="6"/>
        <w:spacing w:before="71" w:line="304" w:lineRule="auto"/>
        <w:ind w:left="322" w:right="722" w:firstLine="400"/>
      </w:pPr>
      <w:r>
        <w:rPr>
          <w:spacing w:val="-3"/>
          <w:w w:val="95"/>
        </w:rPr>
        <w:t>股份有限公司是以发行股票的方式筹集股本的，股票可以按面值发行，也可以按溢价发行，</w:t>
      </w:r>
      <w:r>
        <w:rPr>
          <w:color w:val="FF0000"/>
          <w:w w:val="95"/>
          <w:u w:val="double" w:color="FF0000"/>
        </w:rPr>
        <w:t>我国目前不允许</w:t>
      </w:r>
      <w:r>
        <w:rPr>
          <w:color w:val="FF0000"/>
          <w:spacing w:val="-199"/>
          <w:w w:val="95"/>
          <w:u w:val="double" w:color="FF0000"/>
        </w:rPr>
        <w:t>折</w:t>
      </w:r>
      <w:r>
        <w:rPr>
          <w:color w:val="FF0000"/>
          <w:spacing w:val="188"/>
          <w:w w:val="95"/>
          <w:u w:val="double" w:color="FF0000"/>
        </w:rPr>
        <w:t xml:space="preserve"> </w:t>
      </w:r>
      <w:r>
        <w:rPr>
          <w:color w:val="FF0000"/>
          <w:u w:val="double" w:color="FF0000"/>
        </w:rPr>
        <w:t>价发行</w:t>
      </w:r>
      <w:r>
        <w:t>。</w:t>
      </w:r>
    </w:p>
    <w:p>
      <w:pPr>
        <w:pStyle w:val="13"/>
        <w:numPr>
          <w:ilvl w:val="0"/>
          <w:numId w:val="93"/>
        </w:numPr>
        <w:tabs>
          <w:tab w:val="left" w:pos="925"/>
        </w:tabs>
        <w:spacing w:before="1" w:after="0" w:line="240" w:lineRule="auto"/>
        <w:ind w:left="924" w:right="0" w:hanging="202"/>
        <w:jc w:val="left"/>
        <w:rPr>
          <w:sz w:val="20"/>
        </w:rPr>
      </w:pPr>
      <w:r>
        <w:rPr>
          <w:sz w:val="20"/>
        </w:rPr>
        <w:t>企业发行股票的收入，</w:t>
      </w:r>
      <w:r>
        <w:rPr>
          <w:color w:val="FF0000"/>
          <w:sz w:val="20"/>
          <w:u w:val="double" w:color="FF0000"/>
        </w:rPr>
        <w:t>面值部分作为股本处理</w:t>
      </w:r>
      <w:r>
        <w:rPr>
          <w:sz w:val="20"/>
        </w:rPr>
        <w:t>，超过面值的</w:t>
      </w:r>
      <w:r>
        <w:rPr>
          <w:color w:val="FF0000"/>
          <w:sz w:val="20"/>
          <w:u w:val="double" w:color="FF0000"/>
        </w:rPr>
        <w:t>溢价收入作为股本溢价处理</w:t>
      </w:r>
      <w:r>
        <w:rPr>
          <w:sz w:val="20"/>
        </w:rPr>
        <w:t>。</w:t>
      </w:r>
    </w:p>
    <w:p>
      <w:pPr>
        <w:pStyle w:val="13"/>
        <w:numPr>
          <w:ilvl w:val="0"/>
          <w:numId w:val="93"/>
        </w:numPr>
        <w:tabs>
          <w:tab w:val="left" w:pos="925"/>
        </w:tabs>
        <w:spacing w:before="68" w:after="0" w:line="304" w:lineRule="auto"/>
        <w:ind w:left="322" w:right="722" w:firstLine="400"/>
        <w:jc w:val="left"/>
        <w:rPr>
          <w:sz w:val="20"/>
        </w:rPr>
      </w:pPr>
      <w:r>
        <w:rPr>
          <w:spacing w:val="-4"/>
          <w:w w:val="95"/>
          <w:sz w:val="20"/>
        </w:rPr>
        <w:t>发行股票相关的手续费、佣金等交易费用，如果是溢价发行股票的，应</w:t>
      </w:r>
      <w:r>
        <w:rPr>
          <w:color w:val="FF0000"/>
          <w:w w:val="95"/>
          <w:sz w:val="20"/>
          <w:u w:val="double" w:color="FF0000"/>
        </w:rPr>
        <w:t>冲减股本溢价</w:t>
      </w:r>
      <w:r>
        <w:rPr>
          <w:spacing w:val="-4"/>
          <w:w w:val="95"/>
          <w:sz w:val="20"/>
        </w:rPr>
        <w:t xml:space="preserve">，无溢价发行或溢价   </w:t>
      </w:r>
      <w:r>
        <w:rPr>
          <w:spacing w:val="-8"/>
          <w:sz w:val="20"/>
        </w:rPr>
        <w:t>金额不足抵扣的，应将不足抵扣部分依次冲减盈余公积和未分配利润。</w:t>
      </w:r>
      <w:r>
        <w:rPr>
          <w:sz w:val="20"/>
        </w:rPr>
        <w:t>（同注销股票冲减顺序）</w:t>
      </w:r>
    </w:p>
    <w:p>
      <w:pPr>
        <w:pStyle w:val="5"/>
        <w:spacing w:before="2"/>
      </w:pPr>
      <w:r>
        <w:t>（</w:t>
      </w:r>
      <w:r>
        <w:rPr>
          <w:b w:val="0"/>
        </w:rPr>
        <w:t>三</w:t>
      </w:r>
      <w:r>
        <w:t>）其他资本公积</w:t>
      </w:r>
    </w:p>
    <w:p>
      <w:pPr>
        <w:spacing w:before="70" w:line="304" w:lineRule="auto"/>
        <w:ind w:left="322" w:right="720" w:firstLine="400"/>
        <w:jc w:val="both"/>
        <w:rPr>
          <w:sz w:val="20"/>
        </w:rPr>
      </w:pPr>
      <w:r>
        <mc:AlternateContent>
          <mc:Choice Requires="wps">
            <w:drawing>
              <wp:anchor distT="0" distB="0" distL="114300" distR="114300" simplePos="0" relativeHeight="482485248" behindDoc="1" locked="0" layoutInCell="1" allowOverlap="1">
                <wp:simplePos x="0" y="0"/>
                <wp:positionH relativeFrom="page">
                  <wp:posOffset>6489700</wp:posOffset>
                </wp:positionH>
                <wp:positionV relativeFrom="paragraph">
                  <wp:posOffset>182245</wp:posOffset>
                </wp:positionV>
                <wp:extent cx="377190" cy="5715"/>
                <wp:effectExtent l="0" t="0" r="0" b="0"/>
                <wp:wrapNone/>
                <wp:docPr id="312" name="任意多边形 234"/>
                <wp:cNvGraphicFramePr/>
                <a:graphic xmlns:a="http://schemas.openxmlformats.org/drawingml/2006/main">
                  <a:graphicData uri="http://schemas.microsoft.com/office/word/2010/wordprocessingShape">
                    <wps:wsp>
                      <wps:cNvSpPr/>
                      <wps:spPr>
                        <a:xfrm>
                          <a:off x="0" y="0"/>
                          <a:ext cx="377190" cy="5715"/>
                        </a:xfrm>
                        <a:custGeom>
                          <a:avLst/>
                          <a:gdLst/>
                          <a:ahLst/>
                          <a:cxnLst/>
                          <a:pathLst>
                            <a:path w="594"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4" o:spid="_x0000_s1026" o:spt="100" style="position:absolute;left:0pt;margin-left:511pt;margin-top:14.35pt;height:0.45pt;width:29.7pt;mso-position-horizontal-relative:page;z-index:-20831232;mso-width-relative:page;mso-height-relative:page;" filled="f" stroked="t" coordsize="594,9" o:gfxdata="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XeSZx9YAAAALAQAADwAA&#10;AAAAAAABACAAAAAiAAAAZHJzL2Rvd25yZXYueG1sUEsBAhQAFAAAAAgAh07iQCS8AUbDAgAA+QgA&#10;AA4AAAAAAAAAAQAgAAAAJQEAAGRycy9lMm9Eb2MueG1sUEsFBgAAAAAGAAYAWQEAAFoGAAAAAA==&#10;" path="m0,0l18,9,36,0,54,9,72,0,90,9,108,0,126,9,144,0,162,9,180,0,198,9,216,0,234,9,252,0,270,9,288,0,306,9,324,0,342,9,360,0,378,9,396,0,414,9,432,0,450,9,468,0,486,9,504,0,522,9,540,0,558,9,576,0,594,9e">
                <v:fill on="f" focussize="0,0"/>
                <v:stroke weight="0.28496062992126pt" color="#00AFEF" joinstyle="round"/>
                <v:imagedata o:title=""/>
                <o:lock v:ext="edit" aspectratio="f"/>
              </v:shape>
            </w:pict>
          </mc:Fallback>
        </mc:AlternateContent>
      </w:r>
      <w:r>
        <w:rPr>
          <w:sz w:val="20"/>
        </w:rPr>
        <w:t>企业对被投资单位的长期股权投资采用</w:t>
      </w:r>
      <w:r>
        <w:rPr>
          <w:b/>
          <w:color w:val="00AFEF"/>
          <w:spacing w:val="-1"/>
          <w:sz w:val="20"/>
          <w:u w:val="single" w:color="00AFEF"/>
        </w:rPr>
        <w:t>权益法核算</w:t>
      </w:r>
      <w:r>
        <w:rPr>
          <w:spacing w:val="-8"/>
          <w:sz w:val="20"/>
        </w:rPr>
        <w:t>的，在持股比例不变的情况下，对因被投资单位除</w:t>
      </w:r>
      <w:r>
        <w:rPr>
          <w:b/>
          <w:color w:val="00AFEF"/>
          <w:sz w:val="20"/>
        </w:rPr>
        <w:t>资本溢</w:t>
      </w:r>
      <w:r>
        <w:rPr>
          <w:b/>
          <w:color w:val="00AFEF"/>
          <w:sz w:val="20"/>
          <w:u w:val="single" w:color="00AFEF"/>
        </w:rPr>
        <w:t>价（股本溢价</w:t>
      </w:r>
      <w:r>
        <w:rPr>
          <w:b/>
          <w:color w:val="00AFEF"/>
          <w:spacing w:val="-99"/>
          <w:sz w:val="20"/>
          <w:u w:val="single" w:color="00AFEF"/>
        </w:rPr>
        <w:t>）</w:t>
      </w:r>
      <w:r>
        <w:rPr>
          <w:b/>
          <w:color w:val="00AFEF"/>
          <w:sz w:val="20"/>
          <w:u w:val="single" w:color="00AFEF"/>
        </w:rPr>
        <w:t>、净损益、其他综合收益、利润分配</w:t>
      </w:r>
      <w:r>
        <w:rPr>
          <w:sz w:val="20"/>
        </w:rPr>
        <w:t>以外的所有者权益的其他变动，则应按持股比例计算其应享</w:t>
      </w:r>
      <w:r>
        <w:rPr>
          <w:spacing w:val="-3"/>
          <w:sz w:val="20"/>
        </w:rPr>
        <w:t>有被投资企业所有者权益的增减数额。在处置长期股权投资时，应将与该笔投资相关的其他资本公积转入投资收益。</w:t>
      </w:r>
    </w:p>
    <w:p>
      <w:pPr>
        <w:pStyle w:val="5"/>
        <w:spacing w:before="2"/>
      </w:pPr>
      <w:r>
        <w:t>（四）资本公积转增资本</w:t>
      </w:r>
    </w:p>
    <w:p>
      <w:pPr>
        <w:pStyle w:val="6"/>
        <w:tabs>
          <w:tab w:val="left" w:pos="2323"/>
        </w:tabs>
        <w:spacing w:line="304" w:lineRule="auto"/>
        <w:ind w:right="5261"/>
      </w:pPr>
      <w:r>
        <w:t>经股东大会或类似机构决议，用资本公积转增资本时</w:t>
      </w:r>
      <w:r>
        <w:rPr>
          <w:spacing w:val="-10"/>
        </w:rPr>
        <w:t xml:space="preserve">： </w:t>
      </w:r>
      <w:r>
        <w:t>借：资本公积</w:t>
      </w:r>
      <w:r>
        <w:tab/>
      </w:r>
      <w:r>
        <w:t>贷：实收资本（股本）</w:t>
      </w:r>
    </w:p>
    <w:p>
      <w:pPr>
        <w:pStyle w:val="3"/>
        <w:tabs>
          <w:tab w:val="left" w:pos="839"/>
        </w:tabs>
        <w:spacing w:before="52"/>
        <w:ind w:left="0" w:right="402"/>
        <w:jc w:val="center"/>
        <w:rPr>
          <w:rFonts w:hint="eastAsia" w:ascii="微软雅黑" w:eastAsia="微软雅黑"/>
        </w:rPr>
      </w:pPr>
      <w:bookmarkStart w:id="108" w:name="_bookmark23"/>
      <w:bookmarkEnd w:id="108"/>
      <w:bookmarkStart w:id="109" w:name="第三节　留存收益"/>
      <w:bookmarkEnd w:id="109"/>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留存收益</w:t>
      </w:r>
    </w:p>
    <w:p>
      <w:pPr>
        <w:spacing w:before="138"/>
        <w:ind w:left="742" w:right="0" w:firstLine="0"/>
        <w:jc w:val="left"/>
        <w:rPr>
          <w:b/>
          <w:sz w:val="21"/>
        </w:rPr>
      </w:pPr>
      <w:bookmarkStart w:id="110" w:name="一、留存收益概述"/>
      <w:bookmarkEnd w:id="110"/>
      <w:r>
        <w:rPr>
          <w:b/>
          <w:sz w:val="21"/>
          <w:shd w:val="clear" w:color="auto" w:fill="C0C0C0"/>
        </w:rPr>
        <w:t>一、留存收益概述</w:t>
      </w:r>
    </w:p>
    <w:p>
      <w:pPr>
        <w:pStyle w:val="5"/>
        <w:spacing w:before="92"/>
      </w:pPr>
      <w:r>
        <w:rPr>
          <w:color w:val="00AFEF"/>
          <w:u w:val="single" w:color="00AFEF"/>
        </w:rPr>
        <w:t>留存收益是指企业从历年实现的利润中提取或形成的留存于企业的内部积累。</w:t>
      </w:r>
    </w:p>
    <w:p>
      <w:pPr>
        <w:spacing w:before="21"/>
        <w:ind w:left="742" w:right="0" w:firstLine="0"/>
        <w:jc w:val="left"/>
        <w:rPr>
          <w:b/>
          <w:sz w:val="21"/>
        </w:rPr>
      </w:pPr>
      <w:bookmarkStart w:id="111" w:name="二、留存收益的账务处理"/>
      <w:bookmarkEnd w:id="111"/>
      <w:r>
        <w:rPr>
          <w:b/>
          <w:sz w:val="21"/>
          <w:shd w:val="clear" w:color="auto" w:fill="C0C0C0"/>
        </w:rPr>
        <w:t>二、留存收益的账务处理</w:t>
      </w:r>
    </w:p>
    <w:p>
      <w:pPr>
        <w:pStyle w:val="5"/>
        <w:spacing w:before="92"/>
      </w:pPr>
      <w:r>
        <w:t>（一）利润分配</w:t>
      </w:r>
    </w:p>
    <w:p>
      <w:pPr>
        <w:pStyle w:val="13"/>
        <w:numPr>
          <w:ilvl w:val="0"/>
          <w:numId w:val="94"/>
        </w:numPr>
        <w:tabs>
          <w:tab w:val="left" w:pos="925"/>
        </w:tabs>
        <w:spacing w:before="68" w:after="0" w:line="240" w:lineRule="auto"/>
        <w:ind w:left="924" w:right="0" w:hanging="202"/>
        <w:jc w:val="left"/>
        <w:rPr>
          <w:sz w:val="18"/>
        </w:rPr>
      </w:pPr>
      <w:r>
        <w:rPr>
          <w:b/>
          <w:color w:val="FF0000"/>
          <w:sz w:val="20"/>
          <w:u w:val="double" w:color="FF0000"/>
        </w:rPr>
        <w:t>可供分配利润</w:t>
      </w:r>
      <w:r>
        <w:rPr>
          <w:color w:val="FF0000"/>
          <w:sz w:val="20"/>
          <w:u w:val="double" w:color="FF0000"/>
        </w:rPr>
        <w:t>=当年实现的净利润（或净亏损）+年初未分配利润（或-年初未弥补亏损）+其他转入</w:t>
      </w:r>
    </w:p>
    <w:p>
      <w:pPr>
        <w:pStyle w:val="5"/>
        <w:numPr>
          <w:ilvl w:val="0"/>
          <w:numId w:val="94"/>
        </w:numPr>
        <w:tabs>
          <w:tab w:val="left" w:pos="925"/>
        </w:tabs>
        <w:spacing w:before="70" w:after="0" w:line="240" w:lineRule="auto"/>
        <w:ind w:left="924" w:right="0" w:hanging="202"/>
        <w:jc w:val="left"/>
        <w:rPr>
          <w:sz w:val="18"/>
        </w:rPr>
      </w:pPr>
      <w:r>
        <w:t>科目设置</w:t>
      </w:r>
    </w:p>
    <w:p>
      <w:pPr>
        <w:pStyle w:val="6"/>
      </w:pPr>
      <w:r>
        <w:rPr>
          <w:w w:val="95"/>
        </w:rPr>
        <w:t>利润分配—提取法定盈余公积</w:t>
      </w:r>
    </w:p>
    <w:p>
      <w:pPr>
        <w:pStyle w:val="6"/>
        <w:ind w:left="1522"/>
      </w:pPr>
      <w:r>
        <w:rPr>
          <w:w w:val="95"/>
        </w:rPr>
        <w:t>—提取任意盈余公积</w:t>
      </w:r>
    </w:p>
    <w:p>
      <w:pPr>
        <w:pStyle w:val="6"/>
        <w:ind w:left="1522"/>
      </w:pPr>
      <w:r>
        <w:t>—应付现金股利或利润</w:t>
      </w:r>
    </w:p>
    <w:p>
      <w:pPr>
        <w:pStyle w:val="6"/>
        <w:ind w:left="1522"/>
      </w:pPr>
      <w:r>
        <w:t>—盈余公积补亏</w:t>
      </w:r>
    </w:p>
    <w:p>
      <w:pPr>
        <w:pStyle w:val="6"/>
        <w:spacing w:before="68"/>
        <w:ind w:left="1522"/>
      </w:pPr>
      <w:r>
        <w:t>—未分配利润</w:t>
      </w:r>
    </w:p>
    <w:p>
      <w:pPr>
        <w:pStyle w:val="6"/>
        <w:spacing w:line="304" w:lineRule="auto"/>
        <w:ind w:left="322" w:right="646" w:firstLine="400"/>
      </w:pPr>
      <w:r>
        <mc:AlternateContent>
          <mc:Choice Requires="wps">
            <w:drawing>
              <wp:anchor distT="0" distB="0" distL="114300" distR="114300" simplePos="0" relativeHeight="482485248" behindDoc="1" locked="0" layoutInCell="1" allowOverlap="1">
                <wp:simplePos x="0" y="0"/>
                <wp:positionH relativeFrom="page">
                  <wp:posOffset>1068705</wp:posOffset>
                </wp:positionH>
                <wp:positionV relativeFrom="paragraph">
                  <wp:posOffset>182880</wp:posOffset>
                </wp:positionV>
                <wp:extent cx="251460" cy="5715"/>
                <wp:effectExtent l="0" t="0" r="0" b="0"/>
                <wp:wrapNone/>
                <wp:docPr id="311" name="任意多边形 23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5" o:spid="_x0000_s1026" o:spt="100" style="position:absolute;left:0pt;margin-left:84.15pt;margin-top:14.4pt;height:0.45pt;width:19.8pt;mso-position-horizontal-relative:page;z-index:-20831232;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6c089kA&#10;AAAJAQAADwAAAAAAAAABACAAAAAiAAAAZHJzL2Rvd25yZXYueG1sUEsBAhQAFAAAAAgAh07iQLeE&#10;7AqQAgAAVwcAAA4AAAAAAAAAAQAgAAAAKAEAAGRycy9lMm9Eb2MueG1sUEsFBgAAAAAGAAYAWQEA&#10;ACo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w w:val="95"/>
        </w:rPr>
        <w:t>】年度终了，</w:t>
      </w:r>
      <w:r>
        <w:rPr>
          <w:color w:val="FF0000"/>
          <w:w w:val="95"/>
          <w:u w:val="double" w:color="FF0000"/>
        </w:rPr>
        <w:t>利润分配下除“未分配利润”外，其他二级明细科目无余额</w:t>
      </w:r>
      <w:r>
        <w:rPr>
          <w:w w:val="95"/>
        </w:rPr>
        <w:t xml:space="preserve">；未分配利润贷方余额表示   </w:t>
      </w:r>
      <w:r>
        <w:rPr>
          <w:color w:val="FF0000"/>
          <w:u w:val="double" w:color="FF0000"/>
        </w:rPr>
        <w:t>累计</w:t>
      </w:r>
      <w:r>
        <w:t>未分配的利润，借方余额表示</w:t>
      </w:r>
      <w:r>
        <w:rPr>
          <w:color w:val="FF0000"/>
          <w:u w:val="double" w:color="FF0000"/>
        </w:rPr>
        <w:t>累计</w:t>
      </w:r>
      <w:r>
        <w:t>未弥补的亏损。</w:t>
      </w:r>
    </w:p>
    <w:p>
      <w:pPr>
        <w:pStyle w:val="5"/>
        <w:numPr>
          <w:ilvl w:val="0"/>
          <w:numId w:val="94"/>
        </w:numPr>
        <w:tabs>
          <w:tab w:val="left" w:pos="925"/>
        </w:tabs>
        <w:spacing w:before="2" w:after="0" w:line="240" w:lineRule="auto"/>
        <w:ind w:left="924" w:right="0" w:hanging="202"/>
        <w:jc w:val="left"/>
        <w:rPr>
          <w:sz w:val="18"/>
        </w:rPr>
      </w:pPr>
      <w:r>
        <w:t>利润分配的顺序</w:t>
      </w:r>
    </w:p>
    <w:p>
      <w:pPr>
        <w:spacing w:after="0" w:line="240" w:lineRule="auto"/>
        <w:jc w:val="left"/>
        <w:rPr>
          <w:sz w:val="18"/>
        </w:rPr>
        <w:sectPr>
          <w:pgSz w:w="11910" w:h="16160"/>
          <w:pgMar w:top="1680" w:right="360" w:bottom="860" w:left="760" w:header="0" w:footer="548" w:gutter="0"/>
        </w:sectPr>
      </w:pPr>
    </w:p>
    <w:p>
      <w:pPr>
        <w:pStyle w:val="6"/>
        <w:spacing w:before="11"/>
        <w:ind w:left="0"/>
        <w:rPr>
          <w:b/>
          <w:sz w:val="13"/>
        </w:rPr>
      </w:pPr>
    </w:p>
    <w:p>
      <w:pPr>
        <w:pStyle w:val="13"/>
        <w:numPr>
          <w:ilvl w:val="0"/>
          <w:numId w:val="95"/>
        </w:numPr>
        <w:tabs>
          <w:tab w:val="left" w:pos="1224"/>
        </w:tabs>
        <w:spacing w:before="71" w:after="0" w:line="240" w:lineRule="auto"/>
        <w:ind w:left="1223" w:right="0" w:hanging="501"/>
        <w:jc w:val="left"/>
        <w:rPr>
          <w:sz w:val="20"/>
        </w:rPr>
      </w:pPr>
      <w:r>
        <w:rPr>
          <w:sz w:val="20"/>
        </w:rPr>
        <w:t>提取法定盈余公积</w:t>
      </w:r>
    </w:p>
    <w:p>
      <w:pPr>
        <w:pStyle w:val="6"/>
        <w:spacing w:line="304" w:lineRule="auto"/>
        <w:ind w:left="322" w:right="654" w:firstLine="400"/>
      </w:pPr>
      <w:r>
        <w:t xml:space="preserve">公司制企业按照净利润（减弥补以前年亏损）的 </w:t>
      </w:r>
      <w:r>
        <w:rPr>
          <w:color w:val="FF0000"/>
          <w:u w:val="double" w:color="FF0000"/>
        </w:rPr>
        <w:t>10%</w:t>
      </w:r>
      <w:r>
        <w:t xml:space="preserve">提取法定盈余公积；法定盈余公积累计额已达注册资本的 </w:t>
      </w:r>
      <w:r>
        <w:rPr>
          <w:color w:val="FF0000"/>
          <w:u w:val="double" w:color="FF0000"/>
        </w:rPr>
        <w:t>50%</w:t>
      </w:r>
      <w:r>
        <w:t>时可以不再提取。</w:t>
      </w:r>
    </w:p>
    <w:p>
      <w:pPr>
        <w:pStyle w:val="13"/>
        <w:numPr>
          <w:ilvl w:val="0"/>
          <w:numId w:val="95"/>
        </w:numPr>
        <w:tabs>
          <w:tab w:val="left" w:pos="1224"/>
        </w:tabs>
        <w:spacing w:before="2" w:after="0" w:line="240" w:lineRule="auto"/>
        <w:ind w:left="1223" w:right="0" w:hanging="501"/>
        <w:jc w:val="left"/>
        <w:rPr>
          <w:sz w:val="20"/>
        </w:rPr>
      </w:pPr>
      <w:r>
        <w:rPr>
          <w:sz w:val="20"/>
        </w:rPr>
        <w:t>提取任意盈余公积（3）向投资者分配利润</w:t>
      </w:r>
    </w:p>
    <w:p>
      <w:pPr>
        <w:pStyle w:val="6"/>
      </w:pPr>
      <w:r>
        <mc:AlternateContent>
          <mc:Choice Requires="wps">
            <w:drawing>
              <wp:anchor distT="0" distB="0" distL="114300" distR="114300" simplePos="0" relativeHeight="482486272" behindDoc="1" locked="0" layoutInCell="1" allowOverlap="1">
                <wp:simplePos x="0" y="0"/>
                <wp:positionH relativeFrom="page">
                  <wp:posOffset>1068705</wp:posOffset>
                </wp:positionH>
                <wp:positionV relativeFrom="paragraph">
                  <wp:posOffset>180975</wp:posOffset>
                </wp:positionV>
                <wp:extent cx="251460" cy="5715"/>
                <wp:effectExtent l="0" t="0" r="0" b="0"/>
                <wp:wrapNone/>
                <wp:docPr id="313" name="任意多边形 236"/>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6" o:spid="_x0000_s1026" o:spt="100" style="position:absolute;left:0pt;margin-left:84.15pt;margin-top:14.25pt;height:0.45pt;width:19.8pt;mso-position-horizontal-relative:page;z-index:-20830208;mso-width-relative:page;mso-height-relative:page;" filled="f" stroked="t" coordsize="396,9" o:gfxdata="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oc&#10;4o3aAAAACQEAAA8AAAAAAAAAAQAgAAAAIgAAAGRycy9kb3ducmV2LnhtbFBLAQIUABQAAAAIAIdO&#10;4kCGVMmTkwIAAFcHAAAOAAAAAAAAAAEAIAAAACk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】提取法定盈余公积的基数是净利润，不包括年初未分配利润；但应考虑以前年度亏损。</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06"/>
        <w:gridCol w:w="2955"/>
        <w:gridCol w:w="37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6" w:hRule="atLeast"/>
        </w:trPr>
        <w:tc>
          <w:tcPr>
            <w:tcW w:w="3406" w:type="dxa"/>
          </w:tcPr>
          <w:p>
            <w:pPr>
              <w:pStyle w:val="14"/>
              <w:spacing w:before="70" w:line="236" w:lineRule="exact"/>
              <w:ind w:left="680" w:right="274"/>
              <w:jc w:val="center"/>
              <w:rPr>
                <w:sz w:val="20"/>
              </w:rPr>
            </w:pPr>
            <w:r>
              <w:rPr>
                <w:sz w:val="20"/>
              </w:rPr>
              <w:t>年初未分配利润</w:t>
            </w:r>
          </w:p>
        </w:tc>
        <w:tc>
          <w:tcPr>
            <w:tcW w:w="2955" w:type="dxa"/>
          </w:tcPr>
          <w:p>
            <w:pPr>
              <w:pStyle w:val="14"/>
              <w:spacing w:before="70" w:line="236" w:lineRule="exact"/>
              <w:ind w:left="1156" w:right="749"/>
              <w:jc w:val="center"/>
              <w:rPr>
                <w:sz w:val="20"/>
              </w:rPr>
            </w:pPr>
            <w:r>
              <w:rPr>
                <w:sz w:val="20"/>
              </w:rPr>
              <w:t>本年净利润</w:t>
            </w:r>
          </w:p>
        </w:tc>
        <w:tc>
          <w:tcPr>
            <w:tcW w:w="3750" w:type="dxa"/>
          </w:tcPr>
          <w:p>
            <w:pPr>
              <w:pStyle w:val="14"/>
              <w:spacing w:before="70" w:line="236" w:lineRule="exact"/>
              <w:ind w:right="1263"/>
              <w:jc w:val="right"/>
              <w:rPr>
                <w:sz w:val="20"/>
              </w:rPr>
            </w:pPr>
            <w:r>
              <w:rPr>
                <w:w w:val="95"/>
                <w:sz w:val="20"/>
              </w:rPr>
              <w:t>盈余公积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3406" w:type="dxa"/>
          </w:tcPr>
          <w:p>
            <w:pPr>
              <w:pStyle w:val="14"/>
              <w:spacing w:before="70" w:line="236" w:lineRule="exact"/>
              <w:ind w:left="681" w:right="274"/>
              <w:jc w:val="center"/>
              <w:rPr>
                <w:sz w:val="20"/>
              </w:rPr>
            </w:pPr>
            <w:r>
              <w:rPr>
                <w:sz w:val="20"/>
              </w:rPr>
              <w:t>20</w:t>
            </w:r>
          </w:p>
        </w:tc>
        <w:tc>
          <w:tcPr>
            <w:tcW w:w="2955" w:type="dxa"/>
          </w:tcPr>
          <w:p>
            <w:pPr>
              <w:pStyle w:val="14"/>
              <w:spacing w:before="70" w:line="236" w:lineRule="exact"/>
              <w:ind w:left="1156" w:right="748"/>
              <w:jc w:val="center"/>
              <w:rPr>
                <w:sz w:val="20"/>
              </w:rPr>
            </w:pPr>
            <w:r>
              <w:rPr>
                <w:sz w:val="20"/>
              </w:rPr>
              <w:t>100</w:t>
            </w:r>
          </w:p>
        </w:tc>
        <w:tc>
          <w:tcPr>
            <w:tcW w:w="3750" w:type="dxa"/>
          </w:tcPr>
          <w:p>
            <w:pPr>
              <w:pStyle w:val="14"/>
              <w:spacing w:before="70" w:line="236" w:lineRule="exact"/>
              <w:ind w:right="1261"/>
              <w:jc w:val="right"/>
              <w:rPr>
                <w:sz w:val="20"/>
              </w:rPr>
            </w:pPr>
            <w:r>
              <w:rPr>
                <w:w w:val="95"/>
                <w:sz w:val="20"/>
              </w:rPr>
              <w:t>100×10%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3406" w:type="dxa"/>
          </w:tcPr>
          <w:p>
            <w:pPr>
              <w:pStyle w:val="14"/>
              <w:spacing w:before="70" w:line="236" w:lineRule="exact"/>
              <w:ind w:left="682" w:right="273"/>
              <w:jc w:val="center"/>
              <w:rPr>
                <w:sz w:val="20"/>
              </w:rPr>
            </w:pPr>
            <w:r>
              <w:rPr>
                <w:sz w:val="20"/>
              </w:rPr>
              <w:t>-20</w:t>
            </w:r>
          </w:p>
        </w:tc>
        <w:tc>
          <w:tcPr>
            <w:tcW w:w="2955" w:type="dxa"/>
          </w:tcPr>
          <w:p>
            <w:pPr>
              <w:pStyle w:val="14"/>
              <w:spacing w:before="70" w:line="236" w:lineRule="exact"/>
              <w:ind w:left="1156" w:right="748"/>
              <w:jc w:val="center"/>
              <w:rPr>
                <w:sz w:val="20"/>
              </w:rPr>
            </w:pPr>
            <w:r>
              <w:rPr>
                <w:sz w:val="20"/>
              </w:rPr>
              <w:t>100</w:t>
            </w:r>
          </w:p>
        </w:tc>
        <w:tc>
          <w:tcPr>
            <w:tcW w:w="3750" w:type="dxa"/>
          </w:tcPr>
          <w:p>
            <w:pPr>
              <w:pStyle w:val="14"/>
              <w:spacing w:before="70" w:line="236" w:lineRule="exact"/>
              <w:ind w:right="1312"/>
              <w:jc w:val="right"/>
              <w:rPr>
                <w:sz w:val="20"/>
              </w:rPr>
            </w:pPr>
            <w:r>
              <w:rPr>
                <w:sz w:val="20"/>
              </w:rPr>
              <w:t>80×10%</w:t>
            </w:r>
          </w:p>
        </w:tc>
      </w:tr>
    </w:tbl>
    <w:p>
      <w:pPr>
        <w:pStyle w:val="13"/>
        <w:numPr>
          <w:ilvl w:val="0"/>
          <w:numId w:val="94"/>
        </w:numPr>
        <w:tabs>
          <w:tab w:val="left" w:pos="925"/>
        </w:tabs>
        <w:spacing w:before="70" w:after="0" w:line="240" w:lineRule="auto"/>
        <w:ind w:left="924" w:right="0" w:hanging="202"/>
        <w:jc w:val="left"/>
        <w:rPr>
          <w:sz w:val="18"/>
        </w:rPr>
      </w:pPr>
      <w:r>
        <w:rPr>
          <w:sz w:val="20"/>
        </w:rPr>
        <w:t>股票股利与现金股利的区别</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06"/>
        <w:gridCol w:w="2925"/>
        <w:gridCol w:w="3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406" w:type="dxa"/>
          </w:tcPr>
          <w:p>
            <w:pPr>
              <w:pStyle w:val="14"/>
              <w:spacing w:before="70" w:line="236" w:lineRule="exact"/>
              <w:ind w:left="682" w:right="274"/>
              <w:jc w:val="center"/>
              <w:rPr>
                <w:sz w:val="20"/>
              </w:rPr>
            </w:pPr>
            <w:r>
              <w:rPr>
                <w:sz w:val="20"/>
              </w:rPr>
              <w:t>时点</w:t>
            </w:r>
          </w:p>
        </w:tc>
        <w:tc>
          <w:tcPr>
            <w:tcW w:w="2925" w:type="dxa"/>
          </w:tcPr>
          <w:p>
            <w:pPr>
              <w:pStyle w:val="14"/>
              <w:spacing w:before="70" w:line="236" w:lineRule="exact"/>
              <w:ind w:left="1261"/>
              <w:rPr>
                <w:sz w:val="20"/>
              </w:rPr>
            </w:pPr>
            <w:r>
              <w:rPr>
                <w:sz w:val="20"/>
              </w:rPr>
              <w:t>现金股利</w:t>
            </w:r>
          </w:p>
        </w:tc>
        <w:tc>
          <w:tcPr>
            <w:tcW w:w="3795" w:type="dxa"/>
          </w:tcPr>
          <w:p>
            <w:pPr>
              <w:pStyle w:val="14"/>
              <w:spacing w:before="70" w:line="236" w:lineRule="exact"/>
              <w:ind w:left="1675" w:right="1269"/>
              <w:jc w:val="center"/>
              <w:rPr>
                <w:sz w:val="20"/>
              </w:rPr>
            </w:pPr>
            <w:r>
              <w:rPr>
                <w:sz w:val="20"/>
              </w:rPr>
              <w:t>股票股利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3406" w:type="dxa"/>
          </w:tcPr>
          <w:p>
            <w:pPr>
              <w:pStyle w:val="14"/>
              <w:rPr>
                <w:sz w:val="18"/>
              </w:rPr>
            </w:pPr>
          </w:p>
          <w:p>
            <w:pPr>
              <w:pStyle w:val="14"/>
              <w:ind w:left="682" w:right="274"/>
              <w:jc w:val="center"/>
              <w:rPr>
                <w:sz w:val="20"/>
              </w:rPr>
            </w:pPr>
            <w:r>
              <w:rPr>
                <w:sz w:val="20"/>
              </w:rPr>
              <w:t>股东大会审议通过分配方案</w:t>
            </w:r>
          </w:p>
        </w:tc>
        <w:tc>
          <w:tcPr>
            <w:tcW w:w="2925" w:type="dxa"/>
          </w:tcPr>
          <w:p>
            <w:pPr>
              <w:pStyle w:val="14"/>
              <w:spacing w:before="6" w:line="320" w:lineRule="atLeast"/>
              <w:ind w:left="507" w:right="1205"/>
              <w:rPr>
                <w:sz w:val="20"/>
              </w:rPr>
            </w:pPr>
            <w:r>
              <w:rPr>
                <w:sz w:val="20"/>
              </w:rPr>
              <w:t>借：利润分配贷：应付股利</w:t>
            </w:r>
          </w:p>
        </w:tc>
        <w:tc>
          <w:tcPr>
            <w:tcW w:w="3795" w:type="dxa"/>
          </w:tcPr>
          <w:p>
            <w:pPr>
              <w:pStyle w:val="14"/>
              <w:rPr>
                <w:sz w:val="18"/>
              </w:rPr>
            </w:pPr>
          </w:p>
          <w:p>
            <w:pPr>
              <w:pStyle w:val="14"/>
              <w:ind w:left="508"/>
              <w:rPr>
                <w:sz w:val="20"/>
              </w:rPr>
            </w:pPr>
            <w:r>
              <w:rPr>
                <w:sz w:val="20"/>
              </w:rPr>
              <w:t>不作处理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406" w:type="dxa"/>
          </w:tcPr>
          <w:p>
            <w:pPr>
              <w:pStyle w:val="14"/>
              <w:rPr>
                <w:sz w:val="18"/>
              </w:rPr>
            </w:pPr>
          </w:p>
          <w:p>
            <w:pPr>
              <w:pStyle w:val="14"/>
              <w:ind w:left="680" w:right="274"/>
              <w:jc w:val="center"/>
              <w:rPr>
                <w:sz w:val="20"/>
              </w:rPr>
            </w:pPr>
            <w:r>
              <w:rPr>
                <w:sz w:val="20"/>
              </w:rPr>
              <w:t>分配股利</w:t>
            </w:r>
          </w:p>
        </w:tc>
        <w:tc>
          <w:tcPr>
            <w:tcW w:w="2925" w:type="dxa"/>
          </w:tcPr>
          <w:p>
            <w:pPr>
              <w:pStyle w:val="14"/>
              <w:spacing w:before="7" w:line="326" w:lineRule="exact"/>
              <w:ind w:left="507" w:right="1205"/>
              <w:rPr>
                <w:sz w:val="20"/>
              </w:rPr>
            </w:pPr>
            <w:r>
              <w:rPr>
                <w:sz w:val="20"/>
              </w:rPr>
              <w:t>借：应付股利贷：银行存款</w:t>
            </w:r>
          </w:p>
        </w:tc>
        <w:tc>
          <w:tcPr>
            <w:tcW w:w="3795" w:type="dxa"/>
          </w:tcPr>
          <w:p>
            <w:pPr>
              <w:pStyle w:val="14"/>
              <w:spacing w:before="7" w:line="326" w:lineRule="exact"/>
              <w:ind w:left="508" w:right="2075"/>
              <w:rPr>
                <w:sz w:val="20"/>
              </w:rPr>
            </w:pPr>
            <w:r>
              <w:rPr>
                <w:sz w:val="20"/>
              </w:rPr>
              <w:t>借：利润分配贷：股本</w:t>
            </w:r>
          </w:p>
        </w:tc>
      </w:tr>
    </w:tbl>
    <w:p>
      <w:pPr>
        <w:pStyle w:val="5"/>
        <w:spacing w:before="68" w:line="304" w:lineRule="auto"/>
        <w:ind w:right="8657"/>
      </w:pPr>
      <w:r>
        <w:t>（二）</w:t>
      </w:r>
      <w:r>
        <w:rPr>
          <w:spacing w:val="-4"/>
        </w:rPr>
        <w:t>盈余公积</w:t>
      </w:r>
      <w:r>
        <w:rPr>
          <w:w w:val="95"/>
        </w:rPr>
        <w:t>1.</w:t>
      </w:r>
      <w:r>
        <w:rPr>
          <w:spacing w:val="-3"/>
          <w:w w:val="95"/>
        </w:rPr>
        <w:t>盈余公积补亏</w:t>
      </w:r>
    </w:p>
    <w:p>
      <w:pPr>
        <w:pStyle w:val="6"/>
        <w:spacing w:before="2" w:line="304" w:lineRule="auto"/>
        <w:ind w:left="322" w:right="720" w:firstLine="400"/>
      </w:pPr>
      <w:r>
        <w:t>【例题</w:t>
      </w:r>
      <w:r>
        <w:rPr>
          <w:rFonts w:ascii="Arial" w:hAnsi="Arial" w:eastAsia="Arial"/>
        </w:rPr>
        <w:t>▪</w:t>
      </w:r>
      <w:r>
        <w:rPr>
          <w:spacing w:val="-6"/>
        </w:rPr>
        <w:t>计算题】经股东大会批准，</w:t>
      </w:r>
      <w:r>
        <w:rPr>
          <w:spacing w:val="-12"/>
        </w:rPr>
        <w:t>F</w:t>
      </w:r>
      <w:r>
        <w:rPr>
          <w:spacing w:val="-10"/>
        </w:rPr>
        <w:t xml:space="preserve"> 股份有限公司用以前年度提取的盈余公积弥补当年亏损，当年弥补亏损</w:t>
      </w:r>
      <w:r>
        <w:rPr>
          <w:spacing w:val="-19"/>
        </w:rPr>
        <w:t xml:space="preserve">的数额为 </w:t>
      </w:r>
      <w:r>
        <w:t>60</w:t>
      </w:r>
      <w:r>
        <w:rPr>
          <w:spacing w:val="-13"/>
        </w:rPr>
        <w:t xml:space="preserve"> 万元。</w:t>
      </w:r>
    </w:p>
    <w:p>
      <w:pPr>
        <w:pStyle w:val="6"/>
        <w:spacing w:before="2"/>
      </w:pPr>
      <w:r>
        <w:t>借：盈余公积 60</w:t>
      </w:r>
    </w:p>
    <w:p>
      <w:pPr>
        <w:spacing w:before="68" w:line="304" w:lineRule="auto"/>
        <w:ind w:left="723" w:right="6661" w:firstLine="400"/>
        <w:jc w:val="left"/>
        <w:rPr>
          <w:b/>
          <w:sz w:val="20"/>
        </w:rPr>
      </w:pPr>
      <w:r>
        <w:rPr>
          <w:sz w:val="20"/>
        </w:rPr>
        <w:t xml:space="preserve">贷：利润分配—盈余公积补亏 60 </w:t>
      </w:r>
      <w:r>
        <w:rPr>
          <w:b/>
          <w:sz w:val="20"/>
        </w:rPr>
        <w:t>2.盈余公积转增资本</w:t>
      </w:r>
    </w:p>
    <w:p>
      <w:pPr>
        <w:pStyle w:val="6"/>
        <w:spacing w:before="2" w:line="304" w:lineRule="auto"/>
        <w:ind w:right="941"/>
      </w:pPr>
      <w:r>
        <w:t>【例题</w:t>
      </w:r>
      <w:r>
        <w:rPr>
          <w:rFonts w:ascii="Arial" w:hAnsi="Arial" w:eastAsia="Arial"/>
        </w:rPr>
        <w:t>▪</w:t>
      </w:r>
      <w:r>
        <w:t>计算题】因扩大经营规模需要，经股东大会批准，G</w:t>
      </w:r>
      <w:r>
        <w:rPr>
          <w:spacing w:val="-12"/>
        </w:rPr>
        <w:t xml:space="preserve"> 股份有限公司将盈余公积 </w:t>
      </w:r>
      <w:r>
        <w:t>40</w:t>
      </w:r>
      <w:r>
        <w:rPr>
          <w:spacing w:val="-8"/>
        </w:rPr>
        <w:t xml:space="preserve"> 万元转增股本。</w:t>
      </w:r>
      <w:r>
        <w:rPr>
          <w:spacing w:val="7"/>
        </w:rPr>
        <w:t xml:space="preserve">借：盈余公积 </w:t>
      </w:r>
      <w:r>
        <w:t>40</w:t>
      </w:r>
    </w:p>
    <w:p>
      <w:pPr>
        <w:pStyle w:val="6"/>
        <w:spacing w:before="2"/>
        <w:ind w:left="1123"/>
      </w:pPr>
      <w:r>
        <w:rPr>
          <w:spacing w:val="19"/>
        </w:rPr>
        <w:t xml:space="preserve">贷：股本 </w:t>
      </w:r>
      <w:r>
        <w:t>40</w:t>
      </w:r>
    </w:p>
    <w:p>
      <w:pPr>
        <w:pStyle w:val="5"/>
      </w:pPr>
      <w:r>
        <w:t>3.用盈余公积发放现金股利或利润</w:t>
      </w:r>
    </w:p>
    <w:p>
      <w:pPr>
        <w:pStyle w:val="6"/>
        <w:spacing w:before="68"/>
      </w:pPr>
      <w:r>
        <w:t>【例题</w:t>
      </w:r>
      <w:r>
        <w:rPr>
          <w:rFonts w:ascii="Arial" w:hAnsi="Arial" w:eastAsia="Arial"/>
        </w:rPr>
        <w:t>▪</w:t>
      </w:r>
      <w:r>
        <w:rPr>
          <w:spacing w:val="-23"/>
        </w:rPr>
        <w:t>计算题】</w:t>
      </w:r>
      <w:r>
        <w:t>H</w:t>
      </w:r>
      <w:r>
        <w:rPr>
          <w:spacing w:val="-15"/>
        </w:rPr>
        <w:t xml:space="preserve"> 股份有限公司 </w:t>
      </w:r>
      <w:r>
        <w:t>2018</w:t>
      </w:r>
      <w:r>
        <w:rPr>
          <w:spacing w:val="-35"/>
        </w:rPr>
        <w:t xml:space="preserve"> 年 </w:t>
      </w:r>
      <w:r>
        <w:t>12</w:t>
      </w:r>
      <w:r>
        <w:rPr>
          <w:spacing w:val="-36"/>
        </w:rPr>
        <w:t xml:space="preserve"> 月 </w:t>
      </w:r>
      <w:r>
        <w:t>31</w:t>
      </w:r>
      <w:r>
        <w:rPr>
          <w:spacing w:val="-13"/>
        </w:rPr>
        <w:t xml:space="preserve"> 日普通股股本为 </w:t>
      </w:r>
      <w:r>
        <w:t>5000</w:t>
      </w:r>
      <w:r>
        <w:rPr>
          <w:spacing w:val="-18"/>
        </w:rPr>
        <w:t xml:space="preserve"> 万股，董事会拟定利润分配方案。</w:t>
      </w:r>
      <w:r>
        <w:t>2019</w:t>
      </w:r>
    </w:p>
    <w:p>
      <w:pPr>
        <w:pStyle w:val="6"/>
        <w:ind w:left="322"/>
      </w:pPr>
      <w:r>
        <w:rPr>
          <w:spacing w:val="-27"/>
        </w:rPr>
        <w:t xml:space="preserve">年 </w:t>
      </w:r>
      <w:r>
        <w:t>3</w:t>
      </w:r>
      <w:r>
        <w:rPr>
          <w:spacing w:val="-35"/>
        </w:rPr>
        <w:t xml:space="preserve"> 月 </w:t>
      </w:r>
      <w:r>
        <w:t>20</w:t>
      </w:r>
      <w:r>
        <w:rPr>
          <w:spacing w:val="-13"/>
        </w:rPr>
        <w:t xml:space="preserve"> 日，股东大会批准了 </w:t>
      </w:r>
      <w:r>
        <w:t>2018</w:t>
      </w:r>
      <w:r>
        <w:rPr>
          <w:spacing w:val="-13"/>
        </w:rPr>
        <w:t xml:space="preserve"> 年度利润分配方案，按每股 </w:t>
      </w:r>
      <w:r>
        <w:t>0.2</w:t>
      </w:r>
      <w:r>
        <w:rPr>
          <w:spacing w:val="-9"/>
        </w:rPr>
        <w:t xml:space="preserve"> 元发放现金股利；其中动用可供投资者分配</w:t>
      </w:r>
    </w:p>
    <w:p>
      <w:pPr>
        <w:pStyle w:val="6"/>
        <w:ind w:left="322"/>
      </w:pPr>
      <w:r>
        <w:t>的利润 500 万元、盈余公积 500 万元。</w:t>
      </w:r>
    </w:p>
    <w:p>
      <w:pPr>
        <w:pStyle w:val="13"/>
        <w:numPr>
          <w:ilvl w:val="0"/>
          <w:numId w:val="96"/>
        </w:numPr>
        <w:tabs>
          <w:tab w:val="left" w:pos="1224"/>
          <w:tab w:val="left" w:pos="3523"/>
        </w:tabs>
        <w:spacing w:before="70" w:after="0" w:line="304" w:lineRule="auto"/>
        <w:ind w:left="723" w:right="6561" w:firstLine="0"/>
        <w:jc w:val="left"/>
        <w:rPr>
          <w:sz w:val="20"/>
        </w:rPr>
      </w:pPr>
      <w:r>
        <w:rPr>
          <w:sz w:val="20"/>
        </w:rPr>
        <w:t>以可供投资者分配的利润发放股</w:t>
      </w:r>
      <w:r>
        <w:rPr>
          <w:spacing w:val="-12"/>
          <w:sz w:val="20"/>
        </w:rPr>
        <w:t>利</w:t>
      </w:r>
      <w:r>
        <w:rPr>
          <w:sz w:val="20"/>
        </w:rPr>
        <w:t>借：利润分配—应付现金股利</w:t>
      </w:r>
      <w:r>
        <w:rPr>
          <w:sz w:val="20"/>
        </w:rPr>
        <w:tab/>
      </w:r>
      <w:r>
        <w:rPr>
          <w:sz w:val="20"/>
        </w:rPr>
        <w:t>500</w:t>
      </w:r>
    </w:p>
    <w:p>
      <w:pPr>
        <w:pStyle w:val="6"/>
        <w:spacing w:before="2"/>
        <w:ind w:left="1123"/>
      </w:pPr>
      <w:r>
        <w:t>贷：应付股利 500</w:t>
      </w:r>
    </w:p>
    <w:p>
      <w:pPr>
        <w:pStyle w:val="13"/>
        <w:numPr>
          <w:ilvl w:val="0"/>
          <w:numId w:val="96"/>
        </w:numPr>
        <w:tabs>
          <w:tab w:val="left" w:pos="1224"/>
        </w:tabs>
        <w:spacing w:before="68" w:after="0" w:line="304" w:lineRule="auto"/>
        <w:ind w:left="723" w:right="7761" w:firstLine="0"/>
        <w:jc w:val="left"/>
        <w:rPr>
          <w:sz w:val="20"/>
        </w:rPr>
      </w:pPr>
      <w:r>
        <w:rPr>
          <w:spacing w:val="-2"/>
          <w:sz w:val="20"/>
        </w:rPr>
        <w:t>以盈余公积发放股利</w:t>
      </w:r>
      <w:r>
        <w:rPr>
          <w:spacing w:val="14"/>
          <w:sz w:val="20"/>
        </w:rPr>
        <w:t xml:space="preserve">借：盈余公积 </w:t>
      </w:r>
      <w:r>
        <w:rPr>
          <w:sz w:val="20"/>
        </w:rPr>
        <w:t>500</w:t>
      </w:r>
    </w:p>
    <w:p>
      <w:pPr>
        <w:pStyle w:val="6"/>
        <w:spacing w:before="2"/>
        <w:ind w:left="1123"/>
      </w:pPr>
      <w:r>
        <w:t>贷：应付股利 500</w:t>
      </w:r>
    </w:p>
    <w:p>
      <w:pPr>
        <w:pStyle w:val="6"/>
        <w:ind w:left="4992"/>
      </w:pPr>
      <w:r>
        <w:rPr>
          <w:color w:val="FF0000"/>
          <w:u w:val="double" w:color="FF0000"/>
        </w:rPr>
        <w:t>本章总结</w:t>
      </w:r>
    </w:p>
    <w:p>
      <w:pPr>
        <w:pStyle w:val="13"/>
        <w:numPr>
          <w:ilvl w:val="0"/>
          <w:numId w:val="97"/>
        </w:numPr>
        <w:tabs>
          <w:tab w:val="left" w:pos="925"/>
        </w:tabs>
        <w:spacing w:before="70" w:after="0" w:line="240" w:lineRule="auto"/>
        <w:ind w:left="924" w:right="0" w:hanging="202"/>
        <w:jc w:val="left"/>
        <w:rPr>
          <w:sz w:val="20"/>
        </w:rPr>
      </w:pPr>
      <w:r>
        <w:rPr>
          <w:sz w:val="20"/>
        </w:rPr>
        <w:t>掌握实收资本的核算</w:t>
      </w:r>
    </w:p>
    <w:p>
      <w:pPr>
        <w:pStyle w:val="13"/>
        <w:numPr>
          <w:ilvl w:val="0"/>
          <w:numId w:val="97"/>
        </w:numPr>
        <w:tabs>
          <w:tab w:val="left" w:pos="925"/>
        </w:tabs>
        <w:spacing w:before="70" w:after="0" w:line="240" w:lineRule="auto"/>
        <w:ind w:left="924" w:right="0" w:hanging="202"/>
        <w:jc w:val="left"/>
        <w:rPr>
          <w:sz w:val="20"/>
        </w:rPr>
      </w:pPr>
      <w:r>
        <w:rPr>
          <w:sz w:val="20"/>
        </w:rPr>
        <w:t>掌握资本公积的来源及核算</w:t>
      </w:r>
    </w:p>
    <w:p>
      <w:pPr>
        <w:pStyle w:val="13"/>
        <w:numPr>
          <w:ilvl w:val="0"/>
          <w:numId w:val="97"/>
        </w:numPr>
        <w:tabs>
          <w:tab w:val="left" w:pos="925"/>
        </w:tabs>
        <w:spacing w:before="68" w:after="0" w:line="240" w:lineRule="auto"/>
        <w:ind w:left="924" w:right="0" w:hanging="202"/>
        <w:jc w:val="left"/>
        <w:rPr>
          <w:sz w:val="20"/>
        </w:rPr>
      </w:pPr>
      <w:r>
        <w:rPr>
          <w:sz w:val="20"/>
        </w:rPr>
        <w:t>掌握留存收益的核算</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13"/>
        <w:numPr>
          <w:ilvl w:val="0"/>
          <w:numId w:val="97"/>
        </w:numPr>
        <w:tabs>
          <w:tab w:val="left" w:pos="925"/>
        </w:tabs>
        <w:spacing w:before="71" w:after="0" w:line="240" w:lineRule="auto"/>
        <w:ind w:left="924" w:right="0" w:hanging="202"/>
        <w:jc w:val="left"/>
        <w:rPr>
          <w:sz w:val="20"/>
        </w:rPr>
      </w:pPr>
      <w:r>
        <w:rPr>
          <w:sz w:val="20"/>
        </w:rPr>
        <w:t>熟悉利润分配的内容</w:t>
      </w:r>
    </w:p>
    <w:p>
      <w:pPr>
        <w:pStyle w:val="13"/>
        <w:numPr>
          <w:ilvl w:val="0"/>
          <w:numId w:val="97"/>
        </w:numPr>
        <w:tabs>
          <w:tab w:val="left" w:pos="925"/>
        </w:tabs>
        <w:spacing w:before="70" w:after="0" w:line="240" w:lineRule="auto"/>
        <w:ind w:left="924" w:right="0" w:hanging="202"/>
        <w:jc w:val="left"/>
        <w:rPr>
          <w:sz w:val="20"/>
        </w:rPr>
      </w:pPr>
      <w:r>
        <w:rPr>
          <w:sz w:val="20"/>
        </w:rPr>
        <w:t>熟悉盈余公积和未分配利润的概念及内容</w:t>
      </w:r>
    </w:p>
    <w:p>
      <w:pPr>
        <w:pStyle w:val="2"/>
        <w:tabs>
          <w:tab w:val="left" w:pos="1120"/>
        </w:tabs>
      </w:pPr>
      <w:bookmarkStart w:id="112" w:name="第五章　收入、费用和利润"/>
      <w:bookmarkEnd w:id="112"/>
      <w:bookmarkStart w:id="113" w:name="_bookmark24"/>
      <w:bookmarkEnd w:id="113"/>
      <w:r>
        <w:rPr>
          <w:color w:val="FF0000"/>
        </w:rPr>
        <w:t>第</w:t>
      </w:r>
      <w:r>
        <w:rPr>
          <w:color w:val="FF0000"/>
          <w:spacing w:val="-3"/>
        </w:rPr>
        <w:t>五</w:t>
      </w:r>
      <w:r>
        <w:rPr>
          <w:color w:val="FF0000"/>
        </w:rPr>
        <w:t>章</w:t>
      </w:r>
      <w:r>
        <w:rPr>
          <w:color w:val="FF0000"/>
        </w:rPr>
        <w:tab/>
      </w:r>
      <w:r>
        <w:rPr>
          <w:color w:val="FF0000"/>
        </w:rPr>
        <w:t>收</w:t>
      </w:r>
      <w:r>
        <w:rPr>
          <w:color w:val="FF0000"/>
          <w:spacing w:val="-3"/>
        </w:rPr>
        <w:t>入</w:t>
      </w:r>
      <w:r>
        <w:rPr>
          <w:color w:val="FF0000"/>
        </w:rPr>
        <w:t>、费</w:t>
      </w:r>
      <w:r>
        <w:rPr>
          <w:color w:val="FF0000"/>
          <w:spacing w:val="-3"/>
        </w:rPr>
        <w:t>用</w:t>
      </w:r>
      <w:r>
        <w:rPr>
          <w:color w:val="FF0000"/>
        </w:rPr>
        <w:t>和利润</w:t>
      </w:r>
    </w:p>
    <w:p>
      <w:pPr>
        <w:pStyle w:val="5"/>
        <w:spacing w:before="186"/>
        <w:ind w:left="15" w:right="12"/>
        <w:jc w:val="center"/>
      </w:pPr>
      <w:bookmarkStart w:id="114" w:name="【本章考情分析】"/>
      <w:bookmarkEnd w:id="114"/>
      <w:r>
        <w:rPr>
          <w:color w:val="00AFEF"/>
          <w:u w:val="single" w:color="00AFEF"/>
        </w:rPr>
        <w:t>【本章考情分析】</w:t>
      </w:r>
    </w:p>
    <w:p>
      <w:pPr>
        <w:pStyle w:val="6"/>
        <w:spacing w:before="68"/>
        <w:ind w:left="0" w:right="40"/>
        <w:jc w:val="center"/>
      </w:pPr>
      <w:r>
        <w:t>本章是初级会计实务的重点章节，尤其是 2020 年根据最新的收入准则进行了重新编写，难度提高，考试重</w:t>
      </w:r>
    </w:p>
    <w:p>
      <w:pPr>
        <w:pStyle w:val="6"/>
        <w:ind w:left="322"/>
      </w:pPr>
      <w:r>
        <w:t>要性进一步提高。而且本章内容经常与收入、费用、利润、资产结合出题，各种题型均有可能涉及，预计 2020</w:t>
      </w:r>
    </w:p>
    <w:p>
      <w:pPr>
        <w:pStyle w:val="6"/>
        <w:ind w:left="322"/>
      </w:pPr>
      <w:r>
        <w:t xml:space="preserve">年分值在 </w:t>
      </w:r>
      <w:r>
        <w:rPr>
          <w:color w:val="FF0000"/>
          <w:u w:val="double" w:color="FF0000"/>
        </w:rPr>
        <w:t>20 分</w:t>
      </w:r>
      <w:r>
        <w:t>左右。</w:t>
      </w:r>
    </w:p>
    <w:p>
      <w:pPr>
        <w:pStyle w:val="3"/>
        <w:tabs>
          <w:tab w:val="left" w:pos="839"/>
        </w:tabs>
        <w:spacing w:before="120"/>
        <w:ind w:left="0" w:right="399"/>
        <w:jc w:val="center"/>
        <w:rPr>
          <w:rFonts w:hint="eastAsia" w:ascii="微软雅黑" w:eastAsia="微软雅黑"/>
        </w:rPr>
      </w:pPr>
      <w:bookmarkStart w:id="115" w:name="_bookmark25"/>
      <w:bookmarkEnd w:id="115"/>
      <w:bookmarkStart w:id="116" w:name="第一节　收入"/>
      <w:bookmarkEnd w:id="116"/>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收入</w:t>
      </w:r>
    </w:p>
    <w:p>
      <w:pPr>
        <w:spacing w:before="139"/>
        <w:ind w:left="742" w:right="0" w:firstLine="0"/>
        <w:jc w:val="left"/>
        <w:rPr>
          <w:b/>
          <w:sz w:val="21"/>
        </w:rPr>
      </w:pPr>
      <w:bookmarkStart w:id="117" w:name="一、收入的确认与计量"/>
      <w:bookmarkEnd w:id="117"/>
      <w:r>
        <w:rPr>
          <w:b/>
          <w:sz w:val="21"/>
          <w:shd w:val="clear" w:color="auto" w:fill="C0C0C0"/>
        </w:rPr>
        <w:t>一、收入的确认与计量</w:t>
      </w:r>
    </w:p>
    <w:p>
      <w:pPr>
        <w:pStyle w:val="5"/>
        <w:spacing w:before="91"/>
      </w:pPr>
      <w:r>
        <w:t>（一）收入确认原则</w:t>
      </w:r>
    </w:p>
    <w:p>
      <w:pPr>
        <w:pStyle w:val="6"/>
        <w:spacing w:line="304" w:lineRule="auto"/>
        <w:ind w:right="2762"/>
      </w:pPr>
      <w:r>
        <w:t>企业应当在履行了</w:t>
      </w:r>
      <w:r>
        <w:rPr>
          <w:color w:val="FF0000"/>
          <w:u w:val="double" w:color="FF0000"/>
        </w:rPr>
        <w:t>合同中的履约义务</w:t>
      </w:r>
      <w:r>
        <w:t>，即在</w:t>
      </w:r>
      <w:r>
        <w:rPr>
          <w:color w:val="FF0000"/>
          <w:u w:val="double" w:color="FF0000"/>
        </w:rPr>
        <w:t>客户取得相关商品控制权时确认 收入</w:t>
      </w:r>
      <w:r>
        <w:t>。取得商品控制权包括以下三个要素：</w:t>
      </w:r>
    </w:p>
    <w:p>
      <w:pPr>
        <w:pStyle w:val="6"/>
        <w:spacing w:before="0" w:line="256" w:lineRule="exact"/>
      </w:pPr>
      <w:r>
        <w:t>①</w:t>
      </w:r>
      <w:r>
        <w:rPr>
          <w:color w:val="FF0000"/>
          <w:spacing w:val="-1"/>
          <w:u w:val="double" w:color="FF0000"/>
        </w:rPr>
        <w:t>能力，即客户必须拥有现时权利，能够主导该商品的使用并从中获得几乎 全部经济利益</w:t>
      </w:r>
      <w:r>
        <w:t>。</w:t>
      </w:r>
    </w:p>
    <w:p>
      <w:pPr>
        <w:pStyle w:val="6"/>
      </w:pPr>
      <w:r>
        <w:t>②</w:t>
      </w:r>
      <w:r>
        <w:rPr>
          <w:color w:val="FF0000"/>
          <w:spacing w:val="-1"/>
          <w:u w:val="double" w:color="FF0000"/>
        </w:rPr>
        <w:t>主导该商品的使用，是指客户有权使用该商品，或者能够允许或阻止其他 方使用该商品</w:t>
      </w:r>
      <w:r>
        <w:t>。</w:t>
      </w:r>
    </w:p>
    <w:p>
      <w:pPr>
        <w:pStyle w:val="6"/>
      </w:pPr>
      <w:r>
        <w:t>③</w:t>
      </w:r>
      <w:r>
        <w:rPr>
          <w:color w:val="FF0000"/>
          <w:u w:val="double" w:color="FF0000"/>
        </w:rPr>
        <w:t>能够获得几乎全部的经济利益</w:t>
      </w:r>
      <w:r>
        <w:t>。</w:t>
      </w:r>
    </w:p>
    <w:p>
      <w:pPr>
        <w:pStyle w:val="6"/>
        <w:spacing w:before="71"/>
      </w:pPr>
      <w:r>
        <mc:AlternateContent>
          <mc:Choice Requires="wps">
            <w:drawing>
              <wp:anchor distT="0" distB="0" distL="114300" distR="114300" simplePos="0" relativeHeight="15852544" behindDoc="0" locked="0" layoutInCell="1" allowOverlap="1">
                <wp:simplePos x="0" y="0"/>
                <wp:positionH relativeFrom="page">
                  <wp:posOffset>1068705</wp:posOffset>
                </wp:positionH>
                <wp:positionV relativeFrom="paragraph">
                  <wp:posOffset>182880</wp:posOffset>
                </wp:positionV>
                <wp:extent cx="251460" cy="5715"/>
                <wp:effectExtent l="0" t="0" r="0" b="0"/>
                <wp:wrapNone/>
                <wp:docPr id="153" name="任意多边形 23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7" o:spid="_x0000_s1026" o:spt="100" style="position:absolute;left:0pt;margin-left:84.15pt;margin-top:14.4pt;height:0.45pt;width:19.8pt;mso-position-horizontal-relative:page;z-index:15852544;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Jyr/VKV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pzTz2QAAAAkBAAAPAAAAAAAAAAEAIAAAACIAAABkcnMvZG93bnJldi54bWxQSwECFAAUAAAACACH&#10;TuJAnKv9Up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】①客户，是指与企业订立合同以向该企业购买其</w:t>
      </w:r>
      <w:r>
        <w:rPr>
          <w:color w:val="FF0000"/>
          <w:u w:val="double" w:color="FF0000"/>
        </w:rPr>
        <w:t>日常活动</w:t>
      </w:r>
      <w:r>
        <w:t>产出的商品并支付对价的乙方；</w:t>
      </w:r>
    </w:p>
    <w:p>
      <w:pPr>
        <w:pStyle w:val="6"/>
        <w:spacing w:line="304" w:lineRule="auto"/>
        <w:ind w:left="322" w:right="662" w:firstLine="400"/>
      </w:pPr>
      <w:r>
        <w:rPr>
          <w:w w:val="95"/>
        </w:rPr>
        <w:t xml:space="preserve">②商品，包括商品和服务；③本章的收入不涉及企业对外出租资产收取的租金、进行债权投资收取的利息、   </w:t>
      </w:r>
      <w:r>
        <w:t>进行股权投资取得的现金股利以及保费收入等。</w:t>
      </w:r>
    </w:p>
    <w:p>
      <w:pPr>
        <w:pStyle w:val="5"/>
        <w:spacing w:before="0" w:line="256" w:lineRule="exact"/>
      </w:pPr>
      <w:r>
        <w:t>（二）收入确认的前提条件</w:t>
      </w:r>
    </w:p>
    <w:p>
      <w:pPr>
        <w:pStyle w:val="6"/>
      </w:pPr>
      <w:r>
        <w:t>企业与客户之间的合同同时满足下列五项条件的，应在客户取得相关商品控制权时确认收入：</w:t>
      </w:r>
    </w:p>
    <w:p>
      <w:pPr>
        <w:pStyle w:val="6"/>
      </w:pPr>
      <w:r>
        <w:rPr>
          <w:color w:val="FF0000"/>
          <w:u w:val="double" w:color="FF0000"/>
        </w:rPr>
        <w:t>①合同各方已批准该合同并承诺将履行各自义务；</w:t>
      </w:r>
    </w:p>
    <w:p>
      <w:pPr>
        <w:pStyle w:val="6"/>
      </w:pPr>
      <w:r>
        <w:rPr>
          <w:color w:val="FF0000"/>
          <w:u w:val="double" w:color="FF0000"/>
        </w:rPr>
        <w:t>②该合同明确了合同各方与所转让商品相关的权利和义务；</w:t>
      </w:r>
    </w:p>
    <w:p>
      <w:pPr>
        <w:pStyle w:val="6"/>
      </w:pPr>
      <w:r>
        <w:rPr>
          <w:color w:val="FF0000"/>
          <w:u w:val="double" w:color="FF0000"/>
        </w:rPr>
        <w:t>③该合同有明确的与所转让商品相关的支付条款；</w:t>
      </w:r>
    </w:p>
    <w:p>
      <w:pPr>
        <w:pStyle w:val="6"/>
      </w:pPr>
      <w:r>
        <w:rPr>
          <w:color w:val="FF0000"/>
          <w:u w:val="double" w:color="FF0000"/>
        </w:rPr>
        <w:t>④该合同具有商业实质，即履行该合同将改变企业未来现金流量的风险、时间分布或金额；</w:t>
      </w:r>
    </w:p>
    <w:p>
      <w:pPr>
        <w:pStyle w:val="6"/>
        <w:spacing w:before="68"/>
      </w:pPr>
      <w:r>
        <w:rPr>
          <w:color w:val="FF0000"/>
          <w:u w:val="double" w:color="FF0000"/>
        </w:rPr>
        <w:t>⑤企业因向客户转让商品而有权取得的对价很可能收回。</w:t>
      </w:r>
    </w:p>
    <w:p>
      <w:pPr>
        <w:pStyle w:val="5"/>
      </w:pPr>
      <w:r>
        <w:t>（三）收入确认和计量的步骤</w:t>
      </w:r>
    </w:p>
    <w:p>
      <w:pPr>
        <w:pStyle w:val="6"/>
        <w:spacing w:before="0"/>
        <w:ind w:left="0"/>
        <w:rPr>
          <w:b/>
          <w:sz w:val="13"/>
        </w:rPr>
      </w:pPr>
      <w:r>
        <w:drawing>
          <wp:anchor distT="0" distB="0" distL="0" distR="0" simplePos="0" relativeHeight="1024" behindDoc="0" locked="0" layoutInCell="1" allowOverlap="1">
            <wp:simplePos x="0" y="0"/>
            <wp:positionH relativeFrom="page">
              <wp:posOffset>2874645</wp:posOffset>
            </wp:positionH>
            <wp:positionV relativeFrom="paragraph">
              <wp:posOffset>130810</wp:posOffset>
            </wp:positionV>
            <wp:extent cx="2021205" cy="968375"/>
            <wp:effectExtent l="0" t="0" r="0" b="0"/>
            <wp:wrapTopAndBottom/>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7.png"/>
                    <pic:cNvPicPr>
                      <a:picLocks noChangeAspect="1"/>
                    </pic:cNvPicPr>
                  </pic:nvPicPr>
                  <pic:blipFill>
                    <a:blip r:embed="rId55" cstate="print"/>
                    <a:stretch>
                      <a:fillRect/>
                    </a:stretch>
                  </pic:blipFill>
                  <pic:spPr>
                    <a:xfrm>
                      <a:off x="0" y="0"/>
                      <a:ext cx="2021337" cy="968502"/>
                    </a:xfrm>
                    <a:prstGeom prst="rect">
                      <a:avLst/>
                    </a:prstGeom>
                  </pic:spPr>
                </pic:pic>
              </a:graphicData>
            </a:graphic>
          </wp:anchor>
        </w:drawing>
      </w:r>
    </w:p>
    <w:p>
      <w:pPr>
        <w:pStyle w:val="6"/>
        <w:spacing w:before="3"/>
        <w:ind w:left="0"/>
        <w:rPr>
          <w:b/>
          <w:sz w:val="14"/>
        </w:rPr>
      </w:pPr>
    </w:p>
    <w:p>
      <w:pPr>
        <w:pStyle w:val="6"/>
        <w:spacing w:before="0" w:line="304" w:lineRule="auto"/>
        <w:ind w:left="322" w:right="720" w:firstLine="400"/>
        <w:jc w:val="both"/>
      </w:pPr>
      <w:r>
        <mc:AlternateContent>
          <mc:Choice Requires="wps">
            <w:drawing>
              <wp:anchor distT="0" distB="0" distL="114300" distR="114300" simplePos="0" relativeHeight="482487296" behindDoc="1" locked="0" layoutInCell="1" allowOverlap="1">
                <wp:simplePos x="0" y="0"/>
                <wp:positionH relativeFrom="page">
                  <wp:posOffset>1068705</wp:posOffset>
                </wp:positionH>
                <wp:positionV relativeFrom="paragraph">
                  <wp:posOffset>138430</wp:posOffset>
                </wp:positionV>
                <wp:extent cx="251460" cy="5715"/>
                <wp:effectExtent l="0" t="0" r="0" b="0"/>
                <wp:wrapNone/>
                <wp:docPr id="314" name="任意多边形 23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8" o:spid="_x0000_s1026" o:spt="100" style="position:absolute;left:0pt;margin-left:84.15pt;margin-top:10.9pt;height:0.45pt;width:19.8pt;mso-position-horizontal-relative:page;z-index:-20829184;mso-width-relative:page;mso-height-relative:page;" filled="f" stroked="t" coordsize="396,9" o:gfxdata="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JoYQndkAAAAJAQAADwAAAAAAAAABACAAAAAiAAAAZHJzL2Rvd25yZXYueG1sUEsBAhQAFAAAAAgA&#10;h07iQDJucpaWAgAAVwcAAA4AAAAAAAAAAQAgAAAAKA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488320" behindDoc="1" locked="0" layoutInCell="1" allowOverlap="1">
                <wp:simplePos x="0" y="0"/>
                <wp:positionH relativeFrom="page">
                  <wp:posOffset>5232400</wp:posOffset>
                </wp:positionH>
                <wp:positionV relativeFrom="paragraph">
                  <wp:posOffset>345440</wp:posOffset>
                </wp:positionV>
                <wp:extent cx="502920" cy="5715"/>
                <wp:effectExtent l="0" t="0" r="0" b="0"/>
                <wp:wrapNone/>
                <wp:docPr id="315" name="任意多边形 239"/>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39" o:spid="_x0000_s1026" o:spt="100" style="position:absolute;left:0pt;margin-left:412pt;margin-top:27.2pt;height:0.45pt;width:39.6pt;mso-position-horizontal-relative:page;z-index:-20828160;mso-width-relative:page;mso-height-relative:page;" filled="f" stroked="t" coordsize="792,9" o:gfxdata="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3+0uR9cAAAAJAQAADwAAAAAAAAABACAAAAAiAAAAZHJz&#10;L2Rvd25yZXYueG1sUEsBAhQAFAAAAAgAh07iQFxC/zDpAgAAmwoAAA4AAAAAAAAAAQAgAAAAJgEA&#10;AGRycy9lMm9Eb2MueG1sUEsFBgAAAAAGAAYAWQEAAIE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6"/>
          <w:w w:val="95"/>
        </w:rPr>
        <w:t>】①收入确认和计量五个步骤中，第一步、第二步和第五步主要与</w:t>
      </w:r>
      <w:r>
        <w:rPr>
          <w:color w:val="FF0000"/>
          <w:w w:val="95"/>
          <w:u w:val="double" w:color="FF0000"/>
        </w:rPr>
        <w:t>收入的确认有关</w:t>
      </w:r>
      <w:r>
        <w:rPr>
          <w:spacing w:val="-4"/>
          <w:w w:val="95"/>
        </w:rPr>
        <w:t xml:space="preserve">，第三步和第四步    </w:t>
      </w:r>
      <w:r>
        <w:rPr>
          <w:color w:val="FF0000"/>
          <w:spacing w:val="-4"/>
          <w:w w:val="95"/>
          <w:u w:val="double" w:color="FF0000"/>
        </w:rPr>
        <w:t>主要与收入的计量有关</w:t>
      </w:r>
      <w:r>
        <w:rPr>
          <w:spacing w:val="-7"/>
          <w:w w:val="95"/>
        </w:rPr>
        <w:t>。②一般而言，确认和计量任何一项合同收入应考虑全部的</w:t>
      </w:r>
      <w:r>
        <w:rPr>
          <w:b/>
          <w:color w:val="00AFEF"/>
          <w:w w:val="95"/>
        </w:rPr>
        <w:t>五个步骤</w:t>
      </w:r>
      <w:r>
        <w:rPr>
          <w:spacing w:val="-5"/>
          <w:w w:val="95"/>
        </w:rPr>
        <w:t xml:space="preserve">。但履行某些合同义    </w:t>
      </w:r>
      <w:r>
        <w:rPr>
          <w:spacing w:val="-8"/>
          <w:w w:val="95"/>
        </w:rPr>
        <w:t xml:space="preserve">务确认收入不一定都经过五个步骤，如企业按照第二步确定某项合同仅为单项履约义务时，可以从第三步直接进    </w:t>
      </w:r>
      <w:r>
        <w:rPr>
          <w:spacing w:val="-8"/>
        </w:rPr>
        <w:t>入第五步确认收入，不需要第四步（分摊交易价格</w:t>
      </w:r>
      <w:r>
        <w:rPr>
          <w:spacing w:val="-101"/>
        </w:rPr>
        <w:t>）</w:t>
      </w:r>
      <w:r>
        <w:t>。</w:t>
      </w:r>
    </w:p>
    <w:p>
      <w:pPr>
        <w:spacing w:after="0" w:line="304" w:lineRule="auto"/>
        <w:jc w:val="both"/>
        <w:sectPr>
          <w:pgSz w:w="11910" w:h="16160"/>
          <w:pgMar w:top="1680" w:right="360" w:bottom="860" w:left="760" w:header="0" w:footer="548" w:gutter="0"/>
        </w:sectPr>
      </w:pPr>
    </w:p>
    <w:p>
      <w:pPr>
        <w:pStyle w:val="6"/>
        <w:spacing w:before="11"/>
        <w:ind w:left="0"/>
        <w:rPr>
          <w:sz w:val="13"/>
        </w:rPr>
      </w:pPr>
    </w:p>
    <w:p>
      <w:pPr>
        <w:pStyle w:val="13"/>
        <w:numPr>
          <w:ilvl w:val="0"/>
          <w:numId w:val="98"/>
        </w:numPr>
        <w:tabs>
          <w:tab w:val="left" w:pos="925"/>
        </w:tabs>
        <w:spacing w:before="71" w:after="0" w:line="240" w:lineRule="auto"/>
        <w:ind w:left="924" w:right="0" w:hanging="202"/>
        <w:jc w:val="left"/>
        <w:rPr>
          <w:sz w:val="20"/>
        </w:rPr>
      </w:pPr>
      <w:r>
        <w:rPr>
          <w:color w:val="FF0000"/>
          <w:sz w:val="20"/>
          <w:u w:val="double" w:color="FF0000"/>
        </w:rPr>
        <w:t>识别与客户订立的合同</w:t>
      </w:r>
    </w:p>
    <w:p>
      <w:pPr>
        <w:pStyle w:val="6"/>
        <w:spacing w:line="304" w:lineRule="auto"/>
        <w:ind w:left="322" w:right="722" w:firstLine="400"/>
        <w:jc w:val="both"/>
      </w:pPr>
      <w:r>
        <w:rPr>
          <w:spacing w:val="-3"/>
          <w:w w:val="95"/>
        </w:rPr>
        <w:t xml:space="preserve">合同是指双方或多方之间订立有法律约束力的权利义务的协议，包括书面形式、口头形式以及其他形式；企   </w:t>
      </w:r>
      <w:r>
        <w:rPr>
          <w:spacing w:val="-6"/>
          <w:w w:val="95"/>
        </w:rPr>
        <w:t xml:space="preserve">业与客户之间的合同一经签订，企业即享有从客户取得与转移商品和服务对价的权利，同时负有向客户转移商品    </w:t>
      </w:r>
      <w:r>
        <w:rPr>
          <w:spacing w:val="-6"/>
        </w:rPr>
        <w:t>和服务的履约义务。</w:t>
      </w:r>
    </w:p>
    <w:p>
      <w:pPr>
        <w:pStyle w:val="13"/>
        <w:numPr>
          <w:ilvl w:val="0"/>
          <w:numId w:val="98"/>
        </w:numPr>
        <w:tabs>
          <w:tab w:val="left" w:pos="925"/>
        </w:tabs>
        <w:spacing w:before="3" w:after="0" w:line="240" w:lineRule="auto"/>
        <w:ind w:left="924" w:right="0" w:hanging="202"/>
        <w:jc w:val="left"/>
        <w:rPr>
          <w:sz w:val="20"/>
        </w:rPr>
      </w:pPr>
      <w:r>
        <w:rPr>
          <w:color w:val="FF0000"/>
          <w:sz w:val="20"/>
          <w:u w:val="double" w:color="FF0000"/>
        </w:rPr>
        <w:t>识别合同中的单项履约义务</w:t>
      </w:r>
    </w:p>
    <w:p>
      <w:pPr>
        <w:spacing w:before="68" w:line="304" w:lineRule="auto"/>
        <w:ind w:left="723" w:right="4242" w:firstLine="0"/>
        <w:jc w:val="left"/>
        <w:rPr>
          <w:sz w:val="20"/>
        </w:rPr>
      </w:pPr>
      <w:r>
        <w:rPr>
          <w:sz w:val="20"/>
        </w:rPr>
        <w:t>履约义务，是指合同中企业向客户转让可明确区分商品的承诺。</w:t>
      </w:r>
      <w:r>
        <w:rPr>
          <w:color w:val="00AFEF"/>
          <w:sz w:val="20"/>
          <w:u w:val="single" w:color="00AFEF"/>
        </w:rPr>
        <w:t xml:space="preserve"> </w:t>
      </w:r>
      <w:r>
        <w:rPr>
          <w:b/>
          <w:color w:val="00AFEF"/>
          <w:w w:val="95"/>
          <w:sz w:val="20"/>
          <w:u w:val="single" w:color="00AFEF"/>
        </w:rPr>
        <w:t>下列情况下企业应当将向客户转让商品的承诺作为单项履约义务</w:t>
      </w:r>
      <w:r>
        <w:rPr>
          <w:w w:val="95"/>
          <w:sz w:val="20"/>
        </w:rPr>
        <w:t>：</w:t>
      </w:r>
    </w:p>
    <w:p>
      <w:pPr>
        <w:pStyle w:val="6"/>
        <w:spacing w:before="2"/>
      </w:pPr>
      <w:r>
        <w:t>①企业向客户转让可明确区分商品（或者商品的组合）的承诺。</w:t>
      </w:r>
    </w:p>
    <w:p>
      <w:pPr>
        <w:pStyle w:val="6"/>
      </w:pPr>
      <w:r>
        <w:t>②企业向客户转让一系列实质相同且转让模式相同的、可明确区分商品的承诺。</w:t>
      </w:r>
    </w:p>
    <w:p>
      <w:pPr>
        <w:pStyle w:val="13"/>
        <w:numPr>
          <w:ilvl w:val="0"/>
          <w:numId w:val="99"/>
        </w:numPr>
        <w:tabs>
          <w:tab w:val="left" w:pos="1224"/>
        </w:tabs>
        <w:spacing w:before="70" w:after="0" w:line="240" w:lineRule="auto"/>
        <w:ind w:left="1223" w:right="0" w:hanging="501"/>
        <w:jc w:val="left"/>
        <w:rPr>
          <w:sz w:val="20"/>
        </w:rPr>
      </w:pPr>
      <w:r>
        <w:rPr>
          <w:sz w:val="20"/>
        </w:rPr>
        <w:t>企业向客户承诺的商品同时满足下列两项条件的，应当作为可明确区分的商品：</w:t>
      </w:r>
    </w:p>
    <w:p>
      <w:pPr>
        <w:pStyle w:val="6"/>
      </w:pPr>
      <w:r>
        <w:t>①客户能够从该商品本身或从该商品与其他易于获得资源一起使用中受益，即该商品本身能够明确区分。</w:t>
      </w:r>
    </w:p>
    <w:p>
      <w:pPr>
        <w:pStyle w:val="6"/>
        <w:spacing w:before="68"/>
      </w:pPr>
      <w:r>
        <w:t>②企业向客户转让该商品的承诺与合同中其他承诺可单独区分，即转让该商品的承诺在合同中是可明确区分</w:t>
      </w:r>
    </w:p>
    <w:p>
      <w:pPr>
        <w:pStyle w:val="6"/>
        <w:ind w:left="322"/>
      </w:pPr>
      <w:r>
        <w:t>的。</w:t>
      </w:r>
    </w:p>
    <w:p>
      <w:pPr>
        <w:pStyle w:val="13"/>
        <w:numPr>
          <w:ilvl w:val="0"/>
          <w:numId w:val="99"/>
        </w:numPr>
        <w:tabs>
          <w:tab w:val="left" w:pos="1224"/>
        </w:tabs>
        <w:spacing w:before="70" w:after="0" w:line="240" w:lineRule="auto"/>
        <w:ind w:left="1223" w:right="0" w:hanging="501"/>
        <w:jc w:val="left"/>
        <w:rPr>
          <w:sz w:val="20"/>
        </w:rPr>
      </w:pPr>
      <w:r>
        <w:rPr>
          <w:sz w:val="20"/>
        </w:rPr>
        <w:t>下列情形通常表明企业向客户转让商品的承诺与合同中的其他承诺不可明确区分：</w:t>
      </w:r>
    </w:p>
    <w:p>
      <w:pPr>
        <w:pStyle w:val="6"/>
      </w:pPr>
      <w:r>
        <w:t>①企业需提供重大的服务以将该商品与合同中承诺的其他商品进行整合，形成合同约定的某个或某些组合产</w:t>
      </w:r>
    </w:p>
    <w:p>
      <w:pPr>
        <w:pStyle w:val="6"/>
        <w:ind w:left="322"/>
      </w:pPr>
      <w:r>
        <w:t>出转让给客户。</w:t>
      </w:r>
    </w:p>
    <w:p>
      <w:pPr>
        <w:pStyle w:val="6"/>
        <w:spacing w:before="71"/>
      </w:pPr>
      <w:r>
        <w:t>②该商品将对合同中承诺的其他商品予以重大修改或定制。</w:t>
      </w:r>
    </w:p>
    <w:p>
      <w:pPr>
        <w:pStyle w:val="6"/>
        <w:spacing w:before="67" w:line="304" w:lineRule="auto"/>
        <w:ind w:left="322" w:right="647" w:firstLine="400"/>
      </w:pPr>
      <w:r>
        <w:rPr>
          <w:w w:val="95"/>
        </w:rPr>
        <w:t xml:space="preserve">③该商品与合同中承诺的其他商品具有高度关联性。也就是说，合同中承诺的每一单项商品均受到合同中其   </w:t>
      </w:r>
      <w:r>
        <w:t>他商品的重大影响。</w:t>
      </w:r>
    </w:p>
    <w:p>
      <w:pPr>
        <w:pStyle w:val="13"/>
        <w:numPr>
          <w:ilvl w:val="0"/>
          <w:numId w:val="99"/>
        </w:numPr>
        <w:tabs>
          <w:tab w:val="left" w:pos="1224"/>
        </w:tabs>
        <w:spacing w:before="2" w:after="0" w:line="240" w:lineRule="auto"/>
        <w:ind w:left="1223" w:right="0" w:hanging="501"/>
        <w:jc w:val="left"/>
        <w:rPr>
          <w:sz w:val="20"/>
        </w:rPr>
      </w:pPr>
      <w:r>
        <w:rPr>
          <w:sz w:val="20"/>
        </w:rPr>
        <w:t>一系列实质相同且转让模式相同的、可明确区分的商品。</w:t>
      </w:r>
    </w:p>
    <w:p>
      <w:pPr>
        <w:pStyle w:val="6"/>
        <w:spacing w:line="304" w:lineRule="auto"/>
        <w:ind w:left="322" w:right="647" w:firstLine="400"/>
      </w:pPr>
      <w:r>
        <w:rPr>
          <w:w w:val="95"/>
        </w:rPr>
        <w:t xml:space="preserve">当企业向客户连续转让某项承诺的商品时，如每天提供类似劳务的长期劳务合同等，如果这些商品属于实质   </w:t>
      </w:r>
      <w:r>
        <w:t>相同且转让模式相同的一系列商品，企业应当将这一系列商品作为单项履约义务。</w:t>
      </w:r>
    </w:p>
    <w:p>
      <w:pPr>
        <w:pStyle w:val="13"/>
        <w:numPr>
          <w:ilvl w:val="0"/>
          <w:numId w:val="98"/>
        </w:numPr>
        <w:tabs>
          <w:tab w:val="left" w:pos="925"/>
        </w:tabs>
        <w:spacing w:before="2" w:after="0" w:line="240" w:lineRule="auto"/>
        <w:ind w:left="924" w:right="0" w:hanging="202"/>
        <w:jc w:val="left"/>
        <w:rPr>
          <w:sz w:val="20"/>
        </w:rPr>
      </w:pPr>
      <w:r>
        <w:rPr>
          <w:color w:val="FF0000"/>
          <w:sz w:val="20"/>
          <w:u w:val="double" w:color="FF0000"/>
        </w:rPr>
        <w:t>确定交易价格</w:t>
      </w:r>
    </w:p>
    <w:p>
      <w:pPr>
        <w:pStyle w:val="6"/>
        <w:spacing w:before="68" w:line="304" w:lineRule="auto"/>
        <w:ind w:left="322" w:right="646" w:firstLine="400"/>
      </w:pPr>
      <w:r>
        <w:rPr>
          <w:w w:val="95"/>
        </w:rPr>
        <w:t xml:space="preserve">交易价格是指企业因向客户转让商品而预期有权收取的对价金额，不包括企业代第三方收取的款项（如增值   </w:t>
      </w:r>
      <w:r>
        <w:t>税）以及企业预期将退还给客户的款项。</w:t>
      </w:r>
    </w:p>
    <w:p>
      <w:pPr>
        <w:pStyle w:val="6"/>
        <w:spacing w:before="2"/>
      </w:pPr>
      <w:r>
        <w:t>合同条款所承诺的对价，可能是固定金额、可变金额或两者兼有。</w:t>
      </w:r>
    </w:p>
    <w:p>
      <w:pPr>
        <w:pStyle w:val="5"/>
        <w:numPr>
          <w:ilvl w:val="0"/>
          <w:numId w:val="100"/>
        </w:numPr>
        <w:tabs>
          <w:tab w:val="left" w:pos="1225"/>
        </w:tabs>
        <w:spacing w:before="70" w:after="0" w:line="240" w:lineRule="auto"/>
        <w:ind w:left="1224" w:right="0" w:hanging="502"/>
        <w:jc w:val="left"/>
      </w:pPr>
      <w:r>
        <w:t>可变对价的概念</w:t>
      </w:r>
    </w:p>
    <w:p>
      <w:pPr>
        <w:pStyle w:val="6"/>
        <w:spacing w:line="304" w:lineRule="auto"/>
        <w:ind w:left="322" w:right="662" w:firstLine="400"/>
      </w:pPr>
      <w:r>
        <w:rPr>
          <w:w w:val="95"/>
        </w:rPr>
        <w:t xml:space="preserve">企业与客户的合同中约定的对价金额可能是固定的，也可能会因折扣、价格折让、返利、退款、奖励积分、   </w:t>
      </w:r>
      <w:r>
        <w:t>激励措施、业绩奖金、索赔等因素而变化。</w:t>
      </w:r>
    </w:p>
    <w:p>
      <w:pPr>
        <w:pStyle w:val="6"/>
        <w:spacing w:before="0" w:line="304" w:lineRule="auto"/>
        <w:ind w:left="322" w:right="720" w:firstLine="400"/>
        <w:jc w:val="both"/>
      </w:pPr>
      <w:r>
        <w:rPr>
          <w:spacing w:val="-7"/>
          <w:w w:val="95"/>
        </w:rPr>
        <w:t xml:space="preserve">此外，企业有权收取的对价金额，将根据一项或多项或有事项的发生有所不同的情况，也属于可变对价的情   </w:t>
      </w:r>
      <w:r>
        <w:rPr>
          <w:spacing w:val="-8"/>
          <w:w w:val="95"/>
        </w:rPr>
        <w:t xml:space="preserve">形，例如，企业售出商品但允许客户退货时，由于企业有权收取的对价金额将取决于客户是否退货，因此该合同    </w:t>
      </w:r>
      <w:r>
        <w:rPr>
          <w:spacing w:val="-8"/>
        </w:rPr>
        <w:t>的交易价格是可变的。</w:t>
      </w:r>
    </w:p>
    <w:p>
      <w:pPr>
        <w:pStyle w:val="5"/>
        <w:numPr>
          <w:ilvl w:val="0"/>
          <w:numId w:val="100"/>
        </w:numPr>
        <w:tabs>
          <w:tab w:val="left" w:pos="1225"/>
        </w:tabs>
        <w:spacing w:before="3" w:after="0" w:line="240" w:lineRule="auto"/>
        <w:ind w:left="1224" w:right="0" w:hanging="502"/>
        <w:jc w:val="left"/>
      </w:pPr>
      <w:r>
        <w:t>可变对价最佳估计数的确定</w:t>
      </w:r>
    </w:p>
    <w:p>
      <w:pPr>
        <w:pStyle w:val="6"/>
        <w:spacing w:line="304" w:lineRule="auto"/>
        <w:ind w:right="1661"/>
      </w:pPr>
      <w:r>
        <w:rPr>
          <w:w w:val="95"/>
        </w:rPr>
        <w:t xml:space="preserve">在对可变对价进行估计时，企业应当按照期望值或最可能发生金额确定可变对价的最佳估计数。   </w:t>
      </w:r>
      <w:r>
        <w:t>当合同仅有两个可能结果时，通常按照最可能发生金额估计可变对价金额。</w:t>
      </w:r>
    </w:p>
    <w:p>
      <w:pPr>
        <w:pStyle w:val="5"/>
        <w:spacing w:before="0" w:line="256" w:lineRule="exact"/>
      </w:pPr>
      <w:r>
        <mc:AlternateContent>
          <mc:Choice Requires="wps">
            <w:drawing>
              <wp:anchor distT="0" distB="0" distL="114300" distR="114300" simplePos="0" relativeHeight="15855616" behindDoc="0" locked="0" layoutInCell="1" allowOverlap="1">
                <wp:simplePos x="0" y="0"/>
                <wp:positionH relativeFrom="page">
                  <wp:posOffset>941705</wp:posOffset>
                </wp:positionH>
                <wp:positionV relativeFrom="paragraph">
                  <wp:posOffset>137795</wp:posOffset>
                </wp:positionV>
                <wp:extent cx="502920" cy="5715"/>
                <wp:effectExtent l="0" t="0" r="0" b="0"/>
                <wp:wrapNone/>
                <wp:docPr id="154" name="任意多边形 240"/>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0" o:spid="_x0000_s1026" o:spt="100" style="position:absolute;left:0pt;margin-left:74.15pt;margin-top:10.85pt;height:0.45pt;width:39.6pt;mso-position-horizontal-relative:page;z-index:15855616;mso-width-relative:page;mso-height-relative:page;" filled="f" stroked="t" coordsize="792,9" o:gfxdata="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pDQTN1wAAAAkBAAAPAAAAAAAAAAEAIAAAACIA&#10;AABkcnMvZG93bnJldi54bWxQSwECFAAUAAAACACHTuJAY1QAdO4CAACbCgAADgAAAAAAAAABACAA&#10;AAAm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color w:val="00AFEF"/>
        </w:rPr>
        <w:t>①期望值</w:t>
      </w:r>
    </w:p>
    <w:p>
      <w:pPr>
        <w:pStyle w:val="6"/>
        <w:spacing w:before="0"/>
        <w:ind w:left="0"/>
        <w:rPr>
          <w:b/>
        </w:rPr>
      </w:pPr>
    </w:p>
    <w:p>
      <w:pPr>
        <w:pStyle w:val="6"/>
        <w:spacing w:before="0"/>
        <w:ind w:left="0"/>
        <w:rPr>
          <w:b/>
        </w:rPr>
      </w:pPr>
    </w:p>
    <w:p>
      <w:pPr>
        <w:pStyle w:val="6"/>
        <w:spacing w:before="0"/>
        <w:ind w:left="0"/>
        <w:rPr>
          <w:b/>
        </w:rPr>
      </w:pPr>
    </w:p>
    <w:p>
      <w:pPr>
        <w:pStyle w:val="6"/>
        <w:spacing w:before="2"/>
        <w:ind w:left="0"/>
        <w:rPr>
          <w:b/>
          <w:sz w:val="22"/>
        </w:rPr>
      </w:pPr>
      <w:r>
        <mc:AlternateContent>
          <mc:Choice Requires="wpg">
            <w:drawing>
              <wp:anchor distT="0" distB="0" distL="0" distR="0" simplePos="0" relativeHeight="487713792" behindDoc="1" locked="0" layoutInCell="1" allowOverlap="1">
                <wp:simplePos x="0" y="0"/>
                <wp:positionH relativeFrom="page">
                  <wp:posOffset>4867910</wp:posOffset>
                </wp:positionH>
                <wp:positionV relativeFrom="paragraph">
                  <wp:posOffset>205105</wp:posOffset>
                </wp:positionV>
                <wp:extent cx="1840230" cy="425450"/>
                <wp:effectExtent l="1270" t="1905" r="6350" b="10795"/>
                <wp:wrapTopAndBottom/>
                <wp:docPr id="355" name="组合 241"/>
                <wp:cNvGraphicFramePr/>
                <a:graphic xmlns:a="http://schemas.openxmlformats.org/drawingml/2006/main">
                  <a:graphicData uri="http://schemas.microsoft.com/office/word/2010/wordprocessingGroup">
                    <wpg:wgp>
                      <wpg:cNvGrpSpPr/>
                      <wpg:grpSpPr>
                        <a:xfrm>
                          <a:off x="0" y="0"/>
                          <a:ext cx="1840230" cy="425450"/>
                          <a:chOff x="7666" y="323"/>
                          <a:chExt cx="2898" cy="670"/>
                        </a:xfrm>
                      </wpg:grpSpPr>
                      <wps:wsp>
                        <wps:cNvPr id="353" name="文本框 242"/>
                        <wps:cNvSpPr txBox="1"/>
                        <wps:spPr>
                          <a:xfrm>
                            <a:off x="9459" y="328"/>
                            <a:ext cx="1100" cy="660"/>
                          </a:xfrm>
                          <a:prstGeom prst="rect">
                            <a:avLst/>
                          </a:prstGeom>
                          <a:noFill/>
                          <a:ln w="6096" cap="flat" cmpd="sng">
                            <a:solidFill>
                              <a:srgbClr val="000000"/>
                            </a:solidFill>
                            <a:prstDash val="solid"/>
                            <a:miter/>
                            <a:headEnd type="none" w="med" len="med"/>
                            <a:tailEnd type="none" w="med" len="med"/>
                          </a:ln>
                        </wps:spPr>
                        <wps:txbx>
                          <w:txbxContent>
                            <w:p>
                              <w:pPr>
                                <w:spacing w:before="0" w:line="240" w:lineRule="auto"/>
                                <w:rPr>
                                  <w:b/>
                                  <w:sz w:val="18"/>
                                </w:rPr>
                              </w:pPr>
                            </w:p>
                            <w:p>
                              <w:pPr>
                                <w:spacing w:before="0"/>
                                <w:ind w:left="345" w:right="0" w:firstLine="0"/>
                                <w:jc w:val="left"/>
                                <w:rPr>
                                  <w:sz w:val="20"/>
                                </w:rPr>
                              </w:pPr>
                              <w:r>
                                <w:rPr>
                                  <w:sz w:val="20"/>
                                </w:rPr>
                                <w:t>概率</w:t>
                              </w:r>
                            </w:p>
                          </w:txbxContent>
                        </wps:txbx>
                        <wps:bodyPr lIns="0" tIns="0" rIns="0" bIns="0" upright="1"/>
                      </wps:wsp>
                      <wps:wsp>
                        <wps:cNvPr id="354" name="文本框 243"/>
                        <wps:cNvSpPr txBox="1"/>
                        <wps:spPr>
                          <a:xfrm>
                            <a:off x="7671" y="328"/>
                            <a:ext cx="1788" cy="660"/>
                          </a:xfrm>
                          <a:prstGeom prst="rect">
                            <a:avLst/>
                          </a:prstGeom>
                          <a:noFill/>
                          <a:ln w="6096" cap="flat" cmpd="sng">
                            <a:solidFill>
                              <a:srgbClr val="000000"/>
                            </a:solidFill>
                            <a:prstDash val="solid"/>
                            <a:miter/>
                            <a:headEnd type="none" w="med" len="med"/>
                            <a:tailEnd type="none" w="med" len="med"/>
                          </a:ln>
                        </wps:spPr>
                        <wps:txbx>
                          <w:txbxContent>
                            <w:p>
                              <w:pPr>
                                <w:spacing w:before="6" w:line="320" w:lineRule="atLeast"/>
                                <w:ind w:left="138" w:right="102" w:hanging="37"/>
                                <w:jc w:val="left"/>
                                <w:rPr>
                                  <w:sz w:val="20"/>
                                </w:rPr>
                              </w:pPr>
                              <w:r>
                                <w:rPr>
                                  <w:spacing w:val="-22"/>
                                  <w:sz w:val="20"/>
                                </w:rPr>
                                <w:t xml:space="preserve">未来 </w:t>
                              </w:r>
                              <w:r>
                                <w:rPr>
                                  <w:sz w:val="20"/>
                                </w:rPr>
                                <w:t>6</w:t>
                              </w:r>
                              <w:r>
                                <w:rPr>
                                  <w:spacing w:val="-15"/>
                                  <w:sz w:val="20"/>
                                </w:rPr>
                                <w:t xml:space="preserve"> 个月内的降</w:t>
                              </w:r>
                              <w:r>
                                <w:rPr>
                                  <w:sz w:val="20"/>
                                </w:rPr>
                                <w:t>价金额（元/台）</w:t>
                              </w:r>
                            </w:p>
                          </w:txbxContent>
                        </wps:txbx>
                        <wps:bodyPr lIns="0" tIns="0" rIns="0" bIns="0" upright="1"/>
                      </wps:wsp>
                    </wpg:wgp>
                  </a:graphicData>
                </a:graphic>
              </wp:anchor>
            </w:drawing>
          </mc:Choice>
          <mc:Fallback>
            <w:pict>
              <v:group id="组合 241" o:spid="_x0000_s1026" o:spt="203" style="position:absolute;left:0pt;margin-left:383.3pt;margin-top:16.15pt;height:33.5pt;width:144.9pt;mso-position-horizontal-relative:page;mso-wrap-distance-bottom:0pt;mso-wrap-distance-top:0pt;z-index:-15602688;mso-width-relative:page;mso-height-relative:page;" coordorigin="7666,323" coordsize="2898,670" o:gfxdata="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JE2YpfbAAAACgEAAA8AAAAAAAAAAQAgAAAAIgAAAGRycy9kb3ducmV2LnhtbFBL&#10;AQIUABQAAAAIAIdO4kBJrrddngIAAG4HAAAOAAAAAAAAAAEAIAAAACoBAABkcnMvZTJvRG9jLnht&#10;bFBLBQYAAAAABgAGAFkBAAA6BgAAAAA=&#10;">
                <o:lock v:ext="edit" aspectratio="f"/>
                <v:shape id="文本框 242" o:spid="_x0000_s1026" o:spt="202" type="#_x0000_t202" style="position:absolute;left:9459;top:328;height:660;width:1100;" filled="f" stroked="t" coordsize="21600,21600" o:gfxdata="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HVe+5AAAA3AAA&#10;AA8AAAAAAAAAAQAgAAAAIgAAAGRycy9kb3ducmV2LnhtbFBLAQIUABQAAAAIAIdO4kAzLwWeOwAA&#10;ADkAAAAQAAAAAAAAAAEAIAAAAAgBAABkcnMvc2hhcGV4bWwueG1sUEsFBgAAAAAGAAYAWwEAALID&#10;AAAAAA==&#10;">
                  <v:fill on="f" focussize="0,0"/>
                  <v:stroke weight="0.48pt" color="#000000" joinstyle="miter"/>
                  <v:imagedata o:title=""/>
                  <o:lock v:ext="edit" aspectratio="f"/>
                  <v:textbox inset="0mm,0mm,0mm,0mm">
                    <w:txbxContent>
                      <w:p>
                        <w:pPr>
                          <w:spacing w:before="0" w:line="240" w:lineRule="auto"/>
                          <w:rPr>
                            <w:b/>
                            <w:sz w:val="18"/>
                          </w:rPr>
                        </w:pPr>
                      </w:p>
                      <w:p>
                        <w:pPr>
                          <w:spacing w:before="0"/>
                          <w:ind w:left="345" w:right="0" w:firstLine="0"/>
                          <w:jc w:val="left"/>
                          <w:rPr>
                            <w:sz w:val="20"/>
                          </w:rPr>
                        </w:pPr>
                        <w:r>
                          <w:rPr>
                            <w:sz w:val="20"/>
                          </w:rPr>
                          <w:t>概率</w:t>
                        </w:r>
                      </w:p>
                    </w:txbxContent>
                  </v:textbox>
                </v:shape>
                <v:shape id="文本框 243" o:spid="_x0000_s1026" o:spt="202" type="#_x0000_t202" style="position:absolute;left:7671;top:328;height:660;width:1788;" filled="f" stroked="t" coordsize="21600,21600" o:gfxdata="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uzZu5AAAA3AAA&#10;AA8AAAAAAAAAAQAgAAAAIgAAAGRycy9kb3ducmV2LnhtbFBLAQIUABQAAAAIAIdO4kAzLwWeOwAA&#10;ADkAAAAQAAAAAAAAAAEAIAAAAAgBAABkcnMvc2hhcGV4bWwueG1sUEsFBgAAAAAGAAYAWwEAALID&#10;AAAAAA==&#10;">
                  <v:fill on="f" focussize="0,0"/>
                  <v:stroke weight="0.48pt" color="#000000" joinstyle="miter"/>
                  <v:imagedata o:title=""/>
                  <o:lock v:ext="edit" aspectratio="f"/>
                  <v:textbox inset="0mm,0mm,0mm,0mm">
                    <w:txbxContent>
                      <w:p>
                        <w:pPr>
                          <w:spacing w:before="6" w:line="320" w:lineRule="atLeast"/>
                          <w:ind w:left="138" w:right="102" w:hanging="37"/>
                          <w:jc w:val="left"/>
                          <w:rPr>
                            <w:sz w:val="20"/>
                          </w:rPr>
                        </w:pPr>
                        <w:r>
                          <w:rPr>
                            <w:spacing w:val="-22"/>
                            <w:sz w:val="20"/>
                          </w:rPr>
                          <w:t xml:space="preserve">未来 </w:t>
                        </w:r>
                        <w:r>
                          <w:rPr>
                            <w:sz w:val="20"/>
                          </w:rPr>
                          <w:t>6</w:t>
                        </w:r>
                        <w:r>
                          <w:rPr>
                            <w:spacing w:val="-15"/>
                            <w:sz w:val="20"/>
                          </w:rPr>
                          <w:t xml:space="preserve"> 个月内的降</w:t>
                        </w:r>
                        <w:r>
                          <w:rPr>
                            <w:sz w:val="20"/>
                          </w:rPr>
                          <w:t>价金额（元/台）</w:t>
                        </w:r>
                      </w:p>
                    </w:txbxContent>
                  </v:textbox>
                </v:shape>
                <w10:wrap type="topAndBottom"/>
              </v:group>
            </w:pict>
          </mc:Fallback>
        </mc:AlternateContent>
      </w:r>
    </w:p>
    <w:p>
      <w:pPr>
        <w:spacing w:after="0"/>
        <w:rPr>
          <w:sz w:val="22"/>
        </w:rPr>
        <w:sectPr>
          <w:pgSz w:w="11910" w:h="16160"/>
          <w:pgMar w:top="1680" w:right="360" w:bottom="740" w:left="760" w:header="0" w:footer="548" w:gutter="0"/>
        </w:sectPr>
      </w:pPr>
    </w:p>
    <w:p>
      <w:pPr>
        <w:pStyle w:val="6"/>
        <w:spacing w:before="11"/>
        <w:ind w:left="0"/>
        <w:rPr>
          <w:b/>
          <w:sz w:val="13"/>
        </w:rPr>
      </w:pPr>
    </w:p>
    <w:p>
      <w:pPr>
        <w:pStyle w:val="6"/>
        <w:spacing w:before="71" w:line="304" w:lineRule="auto"/>
        <w:ind w:left="322" w:right="4062" w:firstLine="400"/>
        <w:jc w:val="both"/>
      </w:pPr>
      <w:r>
        <mc:AlternateContent>
          <mc:Choice Requires="wps">
            <w:drawing>
              <wp:anchor distT="0" distB="0" distL="114300" distR="114300" simplePos="0" relativeHeight="15856640" behindDoc="0" locked="0" layoutInCell="1" allowOverlap="1">
                <wp:simplePos x="0" y="0"/>
                <wp:positionH relativeFrom="page">
                  <wp:posOffset>4867910</wp:posOffset>
                </wp:positionH>
                <wp:positionV relativeFrom="paragraph">
                  <wp:posOffset>1270</wp:posOffset>
                </wp:positionV>
                <wp:extent cx="1843405" cy="859790"/>
                <wp:effectExtent l="0" t="0" r="0" b="0"/>
                <wp:wrapNone/>
                <wp:docPr id="155" name="文本框 244"/>
                <wp:cNvGraphicFramePr/>
                <a:graphic xmlns:a="http://schemas.openxmlformats.org/drawingml/2006/main">
                  <a:graphicData uri="http://schemas.microsoft.com/office/word/2010/wordprocessingShape">
                    <wps:wsp>
                      <wps:cNvSpPr txBox="1"/>
                      <wps:spPr>
                        <a:xfrm>
                          <a:off x="0" y="0"/>
                          <a:ext cx="1843405" cy="85979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88"/>
                              <w:gridCol w:w="11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88" w:type="dxa"/>
                                </w:tcPr>
                                <w:p>
                                  <w:pPr>
                                    <w:pStyle w:val="14"/>
                                    <w:spacing w:before="68" w:line="238" w:lineRule="exact"/>
                                    <w:ind w:left="9"/>
                                    <w:jc w:val="center"/>
                                    <w:rPr>
                                      <w:sz w:val="20"/>
                                    </w:rPr>
                                  </w:pPr>
                                  <w:r>
                                    <w:rPr>
                                      <w:w w:val="99"/>
                                      <w:sz w:val="20"/>
                                    </w:rPr>
                                    <w:t>0</w:t>
                                  </w:r>
                                </w:p>
                              </w:tc>
                              <w:tc>
                                <w:tcPr>
                                  <w:tcW w:w="1100" w:type="dxa"/>
                                </w:tcPr>
                                <w:p>
                                  <w:pPr>
                                    <w:pStyle w:val="14"/>
                                    <w:spacing w:before="68" w:line="238" w:lineRule="exact"/>
                                    <w:ind w:left="380" w:right="369"/>
                                    <w:jc w:val="center"/>
                                    <w:rPr>
                                      <w:sz w:val="20"/>
                                    </w:rPr>
                                  </w:pPr>
                                  <w:r>
                                    <w:rPr>
                                      <w:sz w:val="20"/>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88" w:type="dxa"/>
                                </w:tcPr>
                                <w:p>
                                  <w:pPr>
                                    <w:pStyle w:val="14"/>
                                    <w:spacing w:before="68" w:line="238" w:lineRule="exact"/>
                                    <w:ind w:left="743"/>
                                    <w:rPr>
                                      <w:sz w:val="20"/>
                                    </w:rPr>
                                  </w:pPr>
                                  <w:r>
                                    <w:rPr>
                                      <w:sz w:val="20"/>
                                    </w:rPr>
                                    <w:t>200</w:t>
                                  </w:r>
                                </w:p>
                              </w:tc>
                              <w:tc>
                                <w:tcPr>
                                  <w:tcW w:w="1100" w:type="dxa"/>
                                </w:tcPr>
                                <w:p>
                                  <w:pPr>
                                    <w:pStyle w:val="14"/>
                                    <w:spacing w:before="68" w:line="238" w:lineRule="exact"/>
                                    <w:ind w:left="380" w:right="369"/>
                                    <w:jc w:val="center"/>
                                    <w:rPr>
                                      <w:sz w:val="20"/>
                                    </w:rPr>
                                  </w:pPr>
                                  <w:r>
                                    <w:rPr>
                                      <w:sz w:val="2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88" w:type="dxa"/>
                                </w:tcPr>
                                <w:p>
                                  <w:pPr>
                                    <w:pStyle w:val="14"/>
                                    <w:spacing w:before="68" w:line="238" w:lineRule="exact"/>
                                    <w:ind w:left="743"/>
                                    <w:rPr>
                                      <w:sz w:val="20"/>
                                    </w:rPr>
                                  </w:pPr>
                                  <w:r>
                                    <w:rPr>
                                      <w:sz w:val="20"/>
                                    </w:rPr>
                                    <w:t>500</w:t>
                                  </w:r>
                                </w:p>
                              </w:tc>
                              <w:tc>
                                <w:tcPr>
                                  <w:tcW w:w="1100" w:type="dxa"/>
                                </w:tcPr>
                                <w:p>
                                  <w:pPr>
                                    <w:pStyle w:val="14"/>
                                    <w:spacing w:before="68" w:line="238" w:lineRule="exact"/>
                                    <w:ind w:left="380" w:right="369"/>
                                    <w:jc w:val="center"/>
                                    <w:rPr>
                                      <w:sz w:val="20"/>
                                    </w:rPr>
                                  </w:pPr>
                                  <w:r>
                                    <w:rPr>
                                      <w:sz w:val="20"/>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88" w:type="dxa"/>
                                </w:tcPr>
                                <w:p>
                                  <w:pPr>
                                    <w:pStyle w:val="14"/>
                                    <w:spacing w:before="68" w:line="238" w:lineRule="exact"/>
                                    <w:ind w:left="692"/>
                                    <w:rPr>
                                      <w:sz w:val="20"/>
                                    </w:rPr>
                                  </w:pPr>
                                  <w:r>
                                    <w:rPr>
                                      <w:sz w:val="20"/>
                                    </w:rPr>
                                    <w:t>1000</w:t>
                                  </w:r>
                                </w:p>
                              </w:tc>
                              <w:tc>
                                <w:tcPr>
                                  <w:tcW w:w="1100" w:type="dxa"/>
                                </w:tcPr>
                                <w:p>
                                  <w:pPr>
                                    <w:pStyle w:val="14"/>
                                    <w:spacing w:before="68" w:line="238" w:lineRule="exact"/>
                                    <w:ind w:left="380" w:right="369"/>
                                    <w:jc w:val="center"/>
                                    <w:rPr>
                                      <w:sz w:val="20"/>
                                    </w:rPr>
                                  </w:pPr>
                                  <w:r>
                                    <w:rPr>
                                      <w:sz w:val="20"/>
                                    </w:rPr>
                                    <w:t>10%</w:t>
                                  </w:r>
                                </w:p>
                              </w:tc>
                            </w:tr>
                          </w:tbl>
                          <w:p>
                            <w:pPr>
                              <w:pStyle w:val="6"/>
                              <w:spacing w:before="0"/>
                              <w:ind w:left="0"/>
                            </w:pPr>
                          </w:p>
                        </w:txbxContent>
                      </wps:txbx>
                      <wps:bodyPr lIns="0" tIns="0" rIns="0" bIns="0" upright="1"/>
                    </wps:wsp>
                  </a:graphicData>
                </a:graphic>
              </wp:anchor>
            </w:drawing>
          </mc:Choice>
          <mc:Fallback>
            <w:pict>
              <v:shape id="文本框 244" o:spid="_x0000_s1026" o:spt="202" type="#_x0000_t202" style="position:absolute;left:0pt;margin-left:383.3pt;margin-top:0.1pt;height:67.7pt;width:145.15pt;mso-position-horizontal-relative:page;z-index:15856640;mso-width-relative:page;mso-height-relative:page;" filled="f" stroked="f" coordsize="21600,21600" o:gfxdata="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EV7OH2AAAAAkBAAAPAAAA&#10;AAAAAAEAIAAAACIAAABkcnMvZG93bnJldi54bWxQSwECFAAUAAAACACHTuJANRfXO6MBAAAoAwAA&#10;DgAAAAAAAAABACAAAAAn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88"/>
                        <w:gridCol w:w="11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88" w:type="dxa"/>
                          </w:tcPr>
                          <w:p>
                            <w:pPr>
                              <w:pStyle w:val="14"/>
                              <w:spacing w:before="68" w:line="238" w:lineRule="exact"/>
                              <w:ind w:left="9"/>
                              <w:jc w:val="center"/>
                              <w:rPr>
                                <w:sz w:val="20"/>
                              </w:rPr>
                            </w:pPr>
                            <w:r>
                              <w:rPr>
                                <w:w w:val="99"/>
                                <w:sz w:val="20"/>
                              </w:rPr>
                              <w:t>0</w:t>
                            </w:r>
                          </w:p>
                        </w:tc>
                        <w:tc>
                          <w:tcPr>
                            <w:tcW w:w="1100" w:type="dxa"/>
                          </w:tcPr>
                          <w:p>
                            <w:pPr>
                              <w:pStyle w:val="14"/>
                              <w:spacing w:before="68" w:line="238" w:lineRule="exact"/>
                              <w:ind w:left="380" w:right="369"/>
                              <w:jc w:val="center"/>
                              <w:rPr>
                                <w:sz w:val="20"/>
                              </w:rPr>
                            </w:pPr>
                            <w:r>
                              <w:rPr>
                                <w:sz w:val="20"/>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88" w:type="dxa"/>
                          </w:tcPr>
                          <w:p>
                            <w:pPr>
                              <w:pStyle w:val="14"/>
                              <w:spacing w:before="68" w:line="238" w:lineRule="exact"/>
                              <w:ind w:left="743"/>
                              <w:rPr>
                                <w:sz w:val="20"/>
                              </w:rPr>
                            </w:pPr>
                            <w:r>
                              <w:rPr>
                                <w:sz w:val="20"/>
                              </w:rPr>
                              <w:t>200</w:t>
                            </w:r>
                          </w:p>
                        </w:tc>
                        <w:tc>
                          <w:tcPr>
                            <w:tcW w:w="1100" w:type="dxa"/>
                          </w:tcPr>
                          <w:p>
                            <w:pPr>
                              <w:pStyle w:val="14"/>
                              <w:spacing w:before="68" w:line="238" w:lineRule="exact"/>
                              <w:ind w:left="380" w:right="369"/>
                              <w:jc w:val="center"/>
                              <w:rPr>
                                <w:sz w:val="20"/>
                              </w:rPr>
                            </w:pPr>
                            <w:r>
                              <w:rPr>
                                <w:sz w:val="2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88" w:type="dxa"/>
                          </w:tcPr>
                          <w:p>
                            <w:pPr>
                              <w:pStyle w:val="14"/>
                              <w:spacing w:before="68" w:line="238" w:lineRule="exact"/>
                              <w:ind w:left="743"/>
                              <w:rPr>
                                <w:sz w:val="20"/>
                              </w:rPr>
                            </w:pPr>
                            <w:r>
                              <w:rPr>
                                <w:sz w:val="20"/>
                              </w:rPr>
                              <w:t>500</w:t>
                            </w:r>
                          </w:p>
                        </w:tc>
                        <w:tc>
                          <w:tcPr>
                            <w:tcW w:w="1100" w:type="dxa"/>
                          </w:tcPr>
                          <w:p>
                            <w:pPr>
                              <w:pStyle w:val="14"/>
                              <w:spacing w:before="68" w:line="238" w:lineRule="exact"/>
                              <w:ind w:left="380" w:right="369"/>
                              <w:jc w:val="center"/>
                              <w:rPr>
                                <w:sz w:val="20"/>
                              </w:rPr>
                            </w:pPr>
                            <w:r>
                              <w:rPr>
                                <w:sz w:val="20"/>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88" w:type="dxa"/>
                          </w:tcPr>
                          <w:p>
                            <w:pPr>
                              <w:pStyle w:val="14"/>
                              <w:spacing w:before="68" w:line="238" w:lineRule="exact"/>
                              <w:ind w:left="692"/>
                              <w:rPr>
                                <w:sz w:val="20"/>
                              </w:rPr>
                            </w:pPr>
                            <w:r>
                              <w:rPr>
                                <w:sz w:val="20"/>
                              </w:rPr>
                              <w:t>1000</w:t>
                            </w:r>
                          </w:p>
                        </w:tc>
                        <w:tc>
                          <w:tcPr>
                            <w:tcW w:w="1100" w:type="dxa"/>
                          </w:tcPr>
                          <w:p>
                            <w:pPr>
                              <w:pStyle w:val="14"/>
                              <w:spacing w:before="68" w:line="238" w:lineRule="exact"/>
                              <w:ind w:left="380" w:right="369"/>
                              <w:jc w:val="center"/>
                              <w:rPr>
                                <w:sz w:val="20"/>
                              </w:rPr>
                            </w:pPr>
                            <w:r>
                              <w:rPr>
                                <w:sz w:val="20"/>
                              </w:rPr>
                              <w:t>10%</w:t>
                            </w:r>
                          </w:p>
                        </w:tc>
                      </w:tr>
                    </w:tbl>
                    <w:p>
                      <w:pPr>
                        <w:pStyle w:val="6"/>
                        <w:spacing w:before="0"/>
                        <w:ind w:left="0"/>
                      </w:pPr>
                    </w:p>
                  </w:txbxContent>
                </v:textbox>
              </v:shape>
            </w:pict>
          </mc:Fallback>
        </mc:AlternateContent>
      </w:r>
      <w:r>
        <w:rPr>
          <w:spacing w:val="-5"/>
        </w:rPr>
        <w:t>【例题】甲公司生产和销售电视机。</w:t>
      </w:r>
      <w:r>
        <w:t>2018</w:t>
      </w:r>
      <w:r>
        <w:rPr>
          <w:spacing w:val="-36"/>
        </w:rPr>
        <w:t xml:space="preserve"> 年 </w:t>
      </w:r>
      <w:r>
        <w:t>3</w:t>
      </w:r>
      <w:r>
        <w:rPr>
          <w:spacing w:val="-9"/>
        </w:rPr>
        <w:t xml:space="preserve"> 月，曱公司向零售商乙</w:t>
      </w:r>
      <w:r>
        <w:rPr>
          <w:spacing w:val="-18"/>
        </w:rPr>
        <w:t xml:space="preserve">公司销售 </w:t>
      </w:r>
      <w:r>
        <w:t>1000</w:t>
      </w:r>
      <w:r>
        <w:rPr>
          <w:spacing w:val="-12"/>
        </w:rPr>
        <w:t xml:space="preserve"> 台电视机，每台价格为 </w:t>
      </w:r>
      <w:r>
        <w:t>3000</w:t>
      </w:r>
      <w:r>
        <w:rPr>
          <w:spacing w:val="-13"/>
        </w:rPr>
        <w:t xml:space="preserve"> 元，合同价款合计 </w:t>
      </w:r>
      <w:r>
        <w:t>300</w:t>
      </w:r>
      <w:r>
        <w:rPr>
          <w:spacing w:val="-14"/>
        </w:rPr>
        <w:t xml:space="preserve"> 万元。</w:t>
      </w:r>
    </w:p>
    <w:p>
      <w:pPr>
        <w:pStyle w:val="6"/>
        <w:spacing w:before="2" w:line="304" w:lineRule="auto"/>
        <w:ind w:left="322" w:right="4070"/>
        <w:jc w:val="both"/>
      </w:pPr>
      <w:r>
        <w:rPr>
          <w:spacing w:val="-4"/>
        </w:rPr>
        <w:t xml:space="preserve">甲公司向乙公司提供价格保护，同意在未来 </w:t>
      </w:r>
      <w:r>
        <w:t>6</w:t>
      </w:r>
      <w:r>
        <w:rPr>
          <w:spacing w:val="-8"/>
        </w:rPr>
        <w:t xml:space="preserve"> 个月内，如果同款电视机售</w:t>
      </w:r>
      <w:r>
        <w:rPr>
          <w:spacing w:val="-5"/>
          <w:w w:val="95"/>
        </w:rPr>
        <w:t xml:space="preserve">价下降，则按照合同价格与最低售价之间的差额向乙公司支付差价。甲公  </w:t>
      </w:r>
      <w:r>
        <w:rPr>
          <w:spacing w:val="-5"/>
        </w:rPr>
        <w:t>司根据以往执行类似合同的经验，预计各种结果发生的概率如表所示。</w:t>
      </w:r>
    </w:p>
    <w:p>
      <w:pPr>
        <w:pStyle w:val="6"/>
        <w:spacing w:before="0"/>
      </w:pPr>
      <w:r>
        <w:t>上述价格均不包含增值税。</w:t>
      </w:r>
    </w:p>
    <w:p>
      <w:pPr>
        <w:pStyle w:val="6"/>
        <w:spacing w:before="71" w:line="304" w:lineRule="auto"/>
        <w:ind w:left="322" w:right="722" w:firstLine="400"/>
      </w:pPr>
      <w:r>
        <w:rPr>
          <w:spacing w:val="-7"/>
          <w:w w:val="95"/>
        </w:rPr>
        <w:t xml:space="preserve">本例中，甲公司认为期望值能够更好地预测其有权获取的对价金额。假定不考虑本准则有关将可变对价计入   </w:t>
      </w:r>
      <w:r>
        <w:rPr>
          <w:spacing w:val="-7"/>
        </w:rPr>
        <w:t>交易价格的限制要求，在该方法下，甲公司估计交易价格=3000×40%+2800×30%+2500×20%+2000×10%=2740。</w:t>
      </w:r>
    </w:p>
    <w:p>
      <w:pPr>
        <w:pStyle w:val="5"/>
        <w:spacing w:before="1"/>
      </w:pPr>
      <w:r>
        <w:rPr>
          <w:color w:val="00AFEF"/>
          <w:u w:val="single" w:color="00AFEF"/>
        </w:rPr>
        <w:t>②最有可能金额</w:t>
      </w:r>
    </w:p>
    <w:p>
      <w:pPr>
        <w:pStyle w:val="6"/>
        <w:spacing w:before="71"/>
      </w:pPr>
      <w:r>
        <w:t>【例题】甲公司为其客户建造一栋厂房，合同约定的价款为 100 万元，但是，如果甲公司不能在合同签订之</w:t>
      </w:r>
    </w:p>
    <w:p>
      <w:pPr>
        <w:pStyle w:val="6"/>
        <w:spacing w:line="302" w:lineRule="auto"/>
        <w:ind w:left="322" w:right="761"/>
      </w:pPr>
      <w:r>
        <w:rPr>
          <w:spacing w:val="-14"/>
        </w:rPr>
        <w:t xml:space="preserve">日起的 </w:t>
      </w:r>
      <w:r>
        <w:t>120</w:t>
      </w:r>
      <w:r>
        <w:rPr>
          <w:spacing w:val="-13"/>
        </w:rPr>
        <w:t xml:space="preserve"> 天内竣工，则须支付 </w:t>
      </w:r>
      <w:r>
        <w:t>10</w:t>
      </w:r>
      <w:r>
        <w:rPr>
          <w:spacing w:val="-8"/>
        </w:rPr>
        <w:t xml:space="preserve"> 万元罚款，该罚款从合同价款中扣除。上述金额均不含增值税。甲公司对合</w:t>
      </w:r>
      <w:r>
        <w:rPr>
          <w:spacing w:val="-11"/>
        </w:rPr>
        <w:t xml:space="preserve">同结果的估计如下：工程按时完工的概率为 </w:t>
      </w:r>
      <w:r>
        <w:t>90</w:t>
      </w:r>
      <w:r>
        <w:rPr>
          <w:spacing w:val="-5"/>
        </w:rPr>
        <w:t xml:space="preserve">%，工程延期的概率为 </w:t>
      </w:r>
      <w:r>
        <w:t>10%。</w:t>
      </w:r>
    </w:p>
    <w:p>
      <w:pPr>
        <w:pStyle w:val="6"/>
        <w:spacing w:before="4" w:line="304" w:lineRule="auto"/>
        <w:ind w:left="322" w:right="722" w:firstLine="400"/>
      </w:pPr>
      <w:r>
        <w:rPr>
          <w:spacing w:val="-8"/>
          <w:w w:val="95"/>
        </w:rPr>
        <w:t xml:space="preserve">本例中，由于该合同涉及两种可能结果，甲公司认为按照最可能发生金额能够更好地预测其有权获取的对价   </w:t>
      </w:r>
      <w:r>
        <w:rPr>
          <w:spacing w:val="-11"/>
        </w:rPr>
        <w:t xml:space="preserve">金额。因此，甲公司估计的交易价格为 </w:t>
      </w:r>
      <w:r>
        <w:t>100</w:t>
      </w:r>
      <w:r>
        <w:rPr>
          <w:spacing w:val="-8"/>
        </w:rPr>
        <w:t xml:space="preserve"> 万元，即为最可能发生的单一金额。</w:t>
      </w:r>
    </w:p>
    <w:p>
      <w:pPr>
        <w:pStyle w:val="13"/>
        <w:numPr>
          <w:ilvl w:val="0"/>
          <w:numId w:val="98"/>
        </w:numPr>
        <w:tabs>
          <w:tab w:val="left" w:pos="925"/>
        </w:tabs>
        <w:spacing w:before="2" w:after="0" w:line="240" w:lineRule="auto"/>
        <w:ind w:left="924" w:right="0" w:hanging="202"/>
        <w:jc w:val="left"/>
        <w:rPr>
          <w:sz w:val="20"/>
        </w:rPr>
      </w:pPr>
      <w:r>
        <w:rPr>
          <w:color w:val="FF0000"/>
          <w:sz w:val="20"/>
          <w:u w:val="double" w:color="FF0000"/>
        </w:rPr>
        <w:t>将交易价格分摊至各单项履约义务</w:t>
      </w:r>
    </w:p>
    <w:p>
      <w:pPr>
        <w:pStyle w:val="6"/>
        <w:spacing w:line="304" w:lineRule="auto"/>
        <w:ind w:left="322" w:right="621" w:firstLine="400"/>
      </w:pPr>
      <w:r>
        <w:rPr>
          <w:spacing w:val="-8"/>
          <w:w w:val="95"/>
        </w:rPr>
        <w:t xml:space="preserve">当合同中包含两项或多项履约义务时，需要将交易价格分摊至各单项履约义务，分摊的方法是在合同开始日，    </w:t>
      </w:r>
      <w:r>
        <w:rPr>
          <w:spacing w:val="-9"/>
        </w:rPr>
        <w:t>按照各单项履约义务所承诺商品的单独售价</w:t>
      </w:r>
      <w:r>
        <w:t>（企业向客户单独销售商品的价格</w:t>
      </w:r>
      <w:r>
        <w:rPr>
          <w:spacing w:val="-19"/>
        </w:rPr>
        <w:t>）</w:t>
      </w:r>
      <w:r>
        <w:rPr>
          <w:spacing w:val="-4"/>
        </w:rPr>
        <w:t>的相对比例，将交易价格分摊至</w:t>
      </w:r>
      <w:r>
        <w:rPr>
          <w:spacing w:val="-10"/>
        </w:rPr>
        <w:t>各单项履约义务。通过分摊交易价格，使企业分摊至各单项履约义务的交易价格能够反映其因向客户转让已承诺的相关商品而有权收取的对价金额。</w:t>
      </w:r>
    </w:p>
    <w:p>
      <w:pPr>
        <w:pStyle w:val="13"/>
        <w:numPr>
          <w:ilvl w:val="0"/>
          <w:numId w:val="98"/>
        </w:numPr>
        <w:tabs>
          <w:tab w:val="left" w:pos="925"/>
        </w:tabs>
        <w:spacing w:before="2" w:after="0" w:line="240" w:lineRule="auto"/>
        <w:ind w:left="924" w:right="0" w:hanging="202"/>
        <w:jc w:val="left"/>
        <w:rPr>
          <w:sz w:val="20"/>
        </w:rPr>
      </w:pPr>
      <w:r>
        <w:rPr>
          <w:color w:val="FF0000"/>
          <w:sz w:val="20"/>
          <w:u w:val="double" w:color="FF0000"/>
        </w:rPr>
        <w:t>履行各单项履约义务时确认收入</w:t>
      </w:r>
    </w:p>
    <w:p>
      <w:pPr>
        <w:pStyle w:val="6"/>
        <w:spacing w:line="304" w:lineRule="auto"/>
        <w:ind w:left="322" w:right="720" w:firstLine="400"/>
        <w:jc w:val="both"/>
      </w:pPr>
      <w:r>
        <w:rPr>
          <w:spacing w:val="-5"/>
          <w:w w:val="95"/>
        </w:rPr>
        <w:t>当企业将商品转移给客户，客户取得了相关商品的控制权，意味着企业履行了合同履约义务，此时，企业应   确</w:t>
      </w:r>
      <w:r>
        <w:rPr>
          <w:spacing w:val="-7"/>
          <w:w w:val="95"/>
        </w:rPr>
        <w:t>认收入。企业将商品控制权转移给客户，可能是在某一时段内</w:t>
      </w:r>
      <w:r>
        <w:rPr>
          <w:w w:val="95"/>
        </w:rPr>
        <w:t>（即履行履约义务的过程中</w:t>
      </w:r>
      <w:r>
        <w:rPr>
          <w:spacing w:val="-12"/>
          <w:w w:val="95"/>
        </w:rPr>
        <w:t>）</w:t>
      </w:r>
      <w:r>
        <w:rPr>
          <w:spacing w:val="-3"/>
          <w:w w:val="95"/>
        </w:rPr>
        <w:t>发生，也可能在某    一</w:t>
      </w:r>
      <w:r>
        <w:rPr>
          <w:spacing w:val="-9"/>
          <w:w w:val="95"/>
        </w:rPr>
        <w:t>时点</w:t>
      </w:r>
      <w:r>
        <w:rPr>
          <w:w w:val="95"/>
        </w:rPr>
        <w:t>（即履约义务完成时</w:t>
      </w:r>
      <w:r>
        <w:rPr>
          <w:spacing w:val="-15"/>
          <w:w w:val="95"/>
        </w:rPr>
        <w:t>）</w:t>
      </w:r>
      <w:r>
        <w:rPr>
          <w:spacing w:val="-5"/>
          <w:w w:val="95"/>
        </w:rPr>
        <w:t xml:space="preserve">发生。企业应当根据实际情况，首先判断履约义务是否满足在某一时段内履行的条    </w:t>
      </w:r>
      <w:r>
        <w:t>件，如不满足，则该履约义务属于在某一时点履行的履约义务。</w:t>
      </w:r>
    </w:p>
    <w:p>
      <w:pPr>
        <w:pStyle w:val="6"/>
        <w:spacing w:before="1"/>
      </w:pPr>
      <w:r>
        <mc:AlternateContent>
          <mc:Choice Requires="wps">
            <w:drawing>
              <wp:anchor distT="0" distB="0" distL="114300" distR="114300" simplePos="0" relativeHeight="15856640" behindDoc="0" locked="0" layoutInCell="1" allowOverlap="1">
                <wp:simplePos x="0" y="0"/>
                <wp:positionH relativeFrom="page">
                  <wp:posOffset>1068705</wp:posOffset>
                </wp:positionH>
                <wp:positionV relativeFrom="paragraph">
                  <wp:posOffset>139065</wp:posOffset>
                </wp:positionV>
                <wp:extent cx="251460" cy="5715"/>
                <wp:effectExtent l="0" t="0" r="0" b="0"/>
                <wp:wrapNone/>
                <wp:docPr id="156" name="任意多边形 24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5" o:spid="_x0000_s1026" o:spt="100" style="position:absolute;left:0pt;margin-left:84.15pt;margin-top:10.95pt;height:0.45pt;width:19.8pt;mso-position-horizontal-relative:page;z-index:15856640;mso-width-relative:page;mso-height-relative:page;" filled="f" stroked="t" coordsize="396,9" o:gfxdata="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9xP9L2AAA&#10;AAkBAAAPAAAAAAAAAAEAIAAAACIAAABkcnMvZG93bnJldi54bWxQSwECFAAUAAAACACHTuJArbiD&#10;o5ACAABXBwAADgAAAAAAAAABACAAAAAnAQAAZHJzL2Uyb0RvYy54bWxQSwUGAAAAAAYABgBZAQAA&#10;KQ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】满足下列条件之一的，属于在某一时段内履行的履约义务：</w:t>
      </w:r>
    </w:p>
    <w:p>
      <w:pPr>
        <w:pStyle w:val="6"/>
        <w:spacing w:before="71" w:line="304" w:lineRule="auto"/>
        <w:ind w:left="322" w:right="722" w:firstLine="400"/>
        <w:jc w:val="both"/>
      </w:pPr>
      <w:r>
        <w:rPr>
          <w:spacing w:val="-2"/>
          <w:w w:val="95"/>
        </w:rPr>
        <w:t xml:space="preserve">①客户在企业履约的同时即取得并消耗企业履约所带来的经济利益；②客户能够控制企业履约过程中在建的    </w:t>
      </w:r>
      <w:r>
        <w:rPr>
          <w:spacing w:val="-7"/>
          <w:w w:val="95"/>
        </w:rPr>
        <w:t xml:space="preserve">商品；③企业履约过程中所产出的商品具有不可替代用途，且该企业在整个合同期间内有权就累计至今已完成的    </w:t>
      </w:r>
      <w:r>
        <w:rPr>
          <w:spacing w:val="-7"/>
        </w:rPr>
        <w:t>履约部分收取款项。</w:t>
      </w:r>
    </w:p>
    <w:p>
      <w:pPr>
        <w:spacing w:before="0" w:line="224" w:lineRule="exact"/>
        <w:ind w:left="742" w:right="0" w:firstLine="0"/>
        <w:jc w:val="left"/>
        <w:rPr>
          <w:b/>
          <w:sz w:val="21"/>
        </w:rPr>
      </w:pPr>
      <w:bookmarkStart w:id="118" w:name="二、收入核算应设置的会计科目"/>
      <w:bookmarkEnd w:id="118"/>
      <w:r>
        <w:rPr>
          <w:b/>
          <w:sz w:val="21"/>
          <w:shd w:val="clear" w:color="auto" w:fill="C0C0C0"/>
        </w:rPr>
        <w:t>二、收入核算应设置的会计科目</w:t>
      </w:r>
    </w:p>
    <w:p>
      <w:pPr>
        <w:pStyle w:val="6"/>
        <w:spacing w:before="91"/>
      </w:pPr>
      <w:r>
        <w:t>①</w:t>
      </w:r>
      <w:r>
        <w:rPr>
          <w:b/>
          <w:color w:val="00AFEF"/>
          <w:u w:val="single" w:color="00AFEF"/>
        </w:rPr>
        <w:t>主营业务收入</w:t>
      </w:r>
      <w:r>
        <w:t>：核算企业确认的销售商品、提供服务等</w:t>
      </w:r>
      <w:r>
        <w:rPr>
          <w:color w:val="FF0000"/>
          <w:u w:val="double" w:color="FF0000"/>
        </w:rPr>
        <w:t>主营业务的收入</w:t>
      </w:r>
      <w:r>
        <w:t>。</w:t>
      </w:r>
    </w:p>
    <w:p>
      <w:pPr>
        <w:pStyle w:val="6"/>
        <w:spacing w:before="68"/>
      </w:pPr>
      <w:r>
        <w:t>②</w:t>
      </w:r>
      <w:r>
        <w:rPr>
          <w:b/>
          <w:color w:val="00AFEF"/>
          <w:u w:val="single" w:color="00AFEF"/>
        </w:rPr>
        <w:t>主营业务成本</w:t>
      </w:r>
      <w:r>
        <w:t>：核算企业确认销售商品、提供服务等主营业务收入时应结转的成本。</w:t>
      </w:r>
    </w:p>
    <w:p>
      <w:pPr>
        <w:pStyle w:val="6"/>
        <w:spacing w:line="304" w:lineRule="auto"/>
        <w:ind w:left="322" w:right="722" w:firstLine="400"/>
        <w:jc w:val="both"/>
      </w:pPr>
      <w:r>
        <w:rPr>
          <w:w w:val="95"/>
        </w:rPr>
        <w:t>③</w:t>
      </w:r>
      <w:r>
        <w:rPr>
          <w:b/>
          <w:color w:val="00AFEF"/>
          <w:w w:val="95"/>
          <w:u w:val="single" w:color="00AFEF"/>
        </w:rPr>
        <w:t>其他业务收入</w:t>
      </w:r>
      <w:r>
        <w:rPr>
          <w:spacing w:val="-7"/>
          <w:w w:val="95"/>
        </w:rPr>
        <w:t xml:space="preserve">：核算企业确认的除主营业务活动以外的其他经营活动实现的收入，包括出租固定资产、出    </w:t>
      </w:r>
      <w:r>
        <w:rPr>
          <w:spacing w:val="-10"/>
          <w:w w:val="95"/>
        </w:rPr>
        <w:t>租无形资产、岀租包装物和商品、销售材料、用材料进行非货币性交换</w:t>
      </w:r>
      <w:r>
        <w:rPr>
          <w:w w:val="95"/>
        </w:rPr>
        <w:t xml:space="preserve">（非货币性资产交换具有商业实质且公允    </w:t>
      </w:r>
      <w:r>
        <w:t>价值能够可靠计量）或债务重组等实现的收入。</w:t>
      </w:r>
    </w:p>
    <w:p>
      <w:pPr>
        <w:pStyle w:val="6"/>
        <w:spacing w:before="3" w:line="304" w:lineRule="auto"/>
        <w:ind w:left="322" w:right="720" w:firstLine="400"/>
      </w:pPr>
      <w:r>
        <w:rPr>
          <w:w w:val="95"/>
        </w:rPr>
        <w:t>④</w:t>
      </w:r>
      <w:r>
        <w:rPr>
          <w:b/>
          <w:color w:val="00AFEF"/>
          <w:w w:val="95"/>
          <w:u w:val="single" w:color="00AFEF"/>
        </w:rPr>
        <w:t>其他业务成本</w:t>
      </w:r>
      <w:r>
        <w:rPr>
          <w:spacing w:val="-7"/>
          <w:w w:val="95"/>
        </w:rPr>
        <w:t xml:space="preserve">：核算企业确认的除主营业务活动以外的其他经营活动所形成的成本，包括出租固定资产的   </w:t>
      </w:r>
      <w:r>
        <w:rPr>
          <w:spacing w:val="-7"/>
        </w:rPr>
        <w:t>折旧额、出租无形资产的摊销额、出租包装物的成本或摊销额、销售材料的成本等。</w:t>
      </w:r>
    </w:p>
    <w:p>
      <w:pPr>
        <w:pStyle w:val="6"/>
        <w:spacing w:before="0" w:line="304" w:lineRule="auto"/>
        <w:ind w:left="322" w:right="720" w:firstLine="400"/>
      </w:pPr>
      <w:r>
        <w:rPr>
          <w:w w:val="95"/>
        </w:rPr>
        <w:t>⑤</w:t>
      </w:r>
      <w:r>
        <w:rPr>
          <w:b/>
          <w:color w:val="00AFEF"/>
          <w:w w:val="95"/>
          <w:u w:val="single" w:color="00AFEF"/>
        </w:rPr>
        <w:t>合同取得成本</w:t>
      </w:r>
      <w:r>
        <w:rPr>
          <w:spacing w:val="-8"/>
          <w:w w:val="95"/>
        </w:rPr>
        <w:t xml:space="preserve">：核算企业取得合同发生的、预计能够收回的增量成本。增量成本是指企业不取得合同就不   </w:t>
      </w:r>
      <w:r>
        <w:rPr>
          <w:spacing w:val="-8"/>
        </w:rPr>
        <w:t>会发生的成本，如销售佣金等。</w:t>
      </w:r>
    </w:p>
    <w:p>
      <w:pPr>
        <w:spacing w:after="0" w:line="304" w:lineRule="auto"/>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22" w:firstLine="400"/>
      </w:pPr>
      <w:r>
        <w:rPr>
          <w:w w:val="95"/>
        </w:rPr>
        <w:t>⑥</w:t>
      </w:r>
      <w:r>
        <w:rPr>
          <w:b/>
          <w:color w:val="00AFEF"/>
          <w:w w:val="95"/>
          <w:u w:val="single" w:color="00AFEF"/>
        </w:rPr>
        <w:t>合同履约成本</w:t>
      </w:r>
      <w:r>
        <w:rPr>
          <w:spacing w:val="-8"/>
          <w:w w:val="95"/>
        </w:rPr>
        <w:t xml:space="preserve">：核算企业为履行当前或预期取得的合同所发生的、不属于其他企业会计准则规范范围且按   </w:t>
      </w:r>
      <w:r>
        <w:rPr>
          <w:spacing w:val="-8"/>
        </w:rPr>
        <w:t>照收入准则应当确认为一项资产的成本。</w:t>
      </w:r>
    </w:p>
    <w:p>
      <w:pPr>
        <w:pStyle w:val="6"/>
        <w:spacing w:before="2"/>
      </w:pPr>
      <w:r>
        <mc:AlternateContent>
          <mc:Choice Requires="wps">
            <w:drawing>
              <wp:anchor distT="0" distB="0" distL="114300" distR="114300" simplePos="0" relativeHeight="15857664" behindDoc="0" locked="0" layoutInCell="1" allowOverlap="1">
                <wp:simplePos x="0" y="0"/>
                <wp:positionH relativeFrom="page">
                  <wp:posOffset>1068705</wp:posOffset>
                </wp:positionH>
                <wp:positionV relativeFrom="paragraph">
                  <wp:posOffset>139065</wp:posOffset>
                </wp:positionV>
                <wp:extent cx="502920" cy="5715"/>
                <wp:effectExtent l="0" t="0" r="0" b="0"/>
                <wp:wrapNone/>
                <wp:docPr id="157" name="任意多边形 24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6" o:spid="_x0000_s1026" o:spt="100" style="position:absolute;left:0pt;margin-left:84.15pt;margin-top:10.95pt;height:0.45pt;width:39.6pt;mso-position-horizontal-relative:page;z-index:15857664;mso-width-relative:page;mso-height-relative:page;" filled="f" stroked="t" coordsize="792,9" o:gfxdata="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krrrjtcAAAAJAQAADwAAAAAAAAABACAAAAAiAAAA&#10;ZHJzL2Rvd25yZXYueG1sUEsBAhQAFAAAAAgAh07iQIqxpP3sAgAAmwoAAA4AAAAAAAAAAQAgAAAA&#10;JgEAAGRycy9lMm9Eb2MueG1sUEsFBgAAAAAGAAYAWQEAAIQ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t>⑦</w:t>
      </w:r>
      <w:r>
        <w:rPr>
          <w:b/>
          <w:color w:val="00AFEF"/>
        </w:rPr>
        <w:t>合同资产</w:t>
      </w:r>
      <w:r>
        <w:t>：核算企业已向客户转让商品而有权收取对价的权利，且该权利取决于时间流逝之外的其他因素</w:t>
      </w:r>
    </w:p>
    <w:p>
      <w:pPr>
        <w:pStyle w:val="6"/>
        <w:ind w:left="322"/>
      </w:pPr>
      <w:r>
        <w:t>（如履行合同中的其他履约义务</w:t>
      </w:r>
      <w:r>
        <w:rPr>
          <w:spacing w:val="-99"/>
        </w:rPr>
        <w:t>）</w:t>
      </w:r>
      <w:r>
        <w:t>。</w:t>
      </w:r>
    </w:p>
    <w:p>
      <w:pPr>
        <w:pStyle w:val="6"/>
        <w:spacing w:line="302" w:lineRule="auto"/>
        <w:ind w:right="6662"/>
      </w:pPr>
      <w:r>
        <mc:AlternateContent>
          <mc:Choice Requires="wps">
            <w:drawing>
              <wp:anchor distT="0" distB="0" distL="114300" distR="114300" simplePos="0" relativeHeight="482492416" behindDoc="1" locked="0" layoutInCell="1" allowOverlap="1">
                <wp:simplePos x="0" y="0"/>
                <wp:positionH relativeFrom="page">
                  <wp:posOffset>1068705</wp:posOffset>
                </wp:positionH>
                <wp:positionV relativeFrom="paragraph">
                  <wp:posOffset>180975</wp:posOffset>
                </wp:positionV>
                <wp:extent cx="251460" cy="5715"/>
                <wp:effectExtent l="0" t="0" r="0" b="0"/>
                <wp:wrapNone/>
                <wp:docPr id="316" name="任意多边形 24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7" o:spid="_x0000_s1026" o:spt="100" style="position:absolute;left:0pt;margin-left:84.15pt;margin-top:14.25pt;height:0.45pt;width:19.8pt;mso-position-horizontal-relative:page;z-index:-20824064;mso-width-relative:page;mso-height-relative:page;" filled="f" stroked="t" coordsize="396,9" o:gfxdata="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oc4o3aAAAACQEAAA8AAAAAAAAAAQAgAAAAIgAAAGRycy9kb3ducmV2LnhtbFBLAQIUABQAAAAI&#10;AIdO4kD3/roslgIAAFcHAAAOAAAAAAAAAAEAIAAAACkBAABkcnMvZTJvRG9jLnhtbFBLBQYAAAAA&#10;BgAGAFkBAAAx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】合同资产：有条件的收款权利应收账款：无条件的收款权利</w:t>
      </w:r>
    </w:p>
    <w:p>
      <w:pPr>
        <w:pStyle w:val="6"/>
        <w:spacing w:before="5"/>
      </w:pPr>
      <w:r>
        <mc:AlternateContent>
          <mc:Choice Requires="wps">
            <w:drawing>
              <wp:anchor distT="0" distB="0" distL="114300" distR="114300" simplePos="0" relativeHeight="15858688" behindDoc="0" locked="0" layoutInCell="1" allowOverlap="1">
                <wp:simplePos x="0" y="0"/>
                <wp:positionH relativeFrom="page">
                  <wp:posOffset>1068705</wp:posOffset>
                </wp:positionH>
                <wp:positionV relativeFrom="paragraph">
                  <wp:posOffset>141605</wp:posOffset>
                </wp:positionV>
                <wp:extent cx="502920" cy="5715"/>
                <wp:effectExtent l="0" t="0" r="0" b="0"/>
                <wp:wrapNone/>
                <wp:docPr id="158" name="任意多边形 24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8" o:spid="_x0000_s1026" o:spt="100" style="position:absolute;left:0pt;margin-left:84.15pt;margin-top:11.15pt;height:0.45pt;width:39.6pt;mso-position-horizontal-relative:page;z-index:15858688;mso-width-relative:page;mso-height-relative:page;" filled="f" stroked="t" coordsize="792,9" o:gfxdata="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Fu8hN1wAAAAkBAAAPAAAAAAAAAAEAIAAA&#10;ACIAAABkcnMvZG93bnJldi54bWxQSwECFAAUAAAACACHTuJAfW/JuvECAACbCgAADgAAAAAAAAAB&#10;ACAAAAAmAQAAZHJzL2Uyb0RvYy54bWxQSwUGAAAAAAYABgBZAQAAiQ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t>⑧</w:t>
      </w:r>
      <w:r>
        <w:rPr>
          <w:b/>
          <w:color w:val="00AFEF"/>
        </w:rPr>
        <w:t>合同负债</w:t>
      </w:r>
      <w:r>
        <w:t>：核算企业已收或应收客户对价而应向客户转让商品的义务。</w:t>
      </w:r>
    </w:p>
    <w:p>
      <w:pPr>
        <w:pStyle w:val="6"/>
        <w:spacing w:line="304" w:lineRule="auto"/>
        <w:ind w:right="3662"/>
      </w:pPr>
      <w:r>
        <mc:AlternateContent>
          <mc:Choice Requires="wps">
            <w:drawing>
              <wp:anchor distT="0" distB="0" distL="114300" distR="114300" simplePos="0" relativeHeight="482493440" behindDoc="1" locked="0" layoutInCell="1" allowOverlap="1">
                <wp:simplePos x="0" y="0"/>
                <wp:positionH relativeFrom="page">
                  <wp:posOffset>1068705</wp:posOffset>
                </wp:positionH>
                <wp:positionV relativeFrom="paragraph">
                  <wp:posOffset>182880</wp:posOffset>
                </wp:positionV>
                <wp:extent cx="251460" cy="5715"/>
                <wp:effectExtent l="0" t="0" r="0" b="0"/>
                <wp:wrapNone/>
                <wp:docPr id="317" name="任意多边形 24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49" o:spid="_x0000_s1026" o:spt="100" style="position:absolute;left:0pt;margin-left:84.15pt;margin-top:14.4pt;height:0.45pt;width:19.8pt;mso-position-horizontal-relative:page;z-index:-20823040;mso-width-relative:page;mso-height-relative:page;" filled="f" stroked="t" coordsize="396,9" o:gfxdata="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6c089kA&#10;AAAJAQAADwAAAAAAAAABACAAAAAiAAAAZHJzL2Rvd25yZXYueG1sUEsBAhQAFAAAAAgAh07iQJF5&#10;CIuQAgAAVwcAAA4AAAAAAAAAAQAgAAAAKAEAAGRycy9lMm9Eb2MueG1sUEsFBgAAAAAGAAYAWQEA&#10;ACo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w w:val="95"/>
        </w:rPr>
        <w:t xml:space="preserve">】预收账款：不强调已成立与客户之间的合同；实际收到了款项；  </w:t>
      </w:r>
      <w:r>
        <w:t>合同负债：强调合同，已收或应收时；</w:t>
      </w:r>
    </w:p>
    <w:p>
      <w:pPr>
        <w:pStyle w:val="6"/>
        <w:spacing w:before="2" w:line="304" w:lineRule="auto"/>
        <w:ind w:left="322" w:right="662" w:firstLine="400"/>
      </w:pPr>
      <w:r>
        <w:rPr>
          <w:spacing w:val="-7"/>
          <w:w w:val="99"/>
        </w:rPr>
        <w:t>⑨企业发生减值的，还应当设置“合同履约成本减值准备”“合同取得成本减值准备”“合同资产减值准备”</w:t>
      </w:r>
      <w:r>
        <w:rPr>
          <w:spacing w:val="-7"/>
        </w:rPr>
        <w:t>等科目进行核算。</w:t>
      </w:r>
    </w:p>
    <w:p>
      <w:pPr>
        <w:spacing w:before="0" w:line="223" w:lineRule="exact"/>
        <w:ind w:left="742" w:right="0" w:firstLine="0"/>
        <w:jc w:val="left"/>
        <w:rPr>
          <w:b/>
          <w:sz w:val="21"/>
        </w:rPr>
      </w:pPr>
      <w:bookmarkStart w:id="119" w:name="三、履行履约义务确认收入的账务处理"/>
      <w:bookmarkEnd w:id="119"/>
      <w:r>
        <w:rPr>
          <w:b/>
          <w:sz w:val="21"/>
          <w:shd w:val="clear" w:color="auto" w:fill="C0C0C0"/>
        </w:rPr>
        <w:t>三、履行履约义务确认收入的账务处理</w:t>
      </w:r>
    </w:p>
    <w:p>
      <w:pPr>
        <w:pStyle w:val="5"/>
        <w:spacing w:before="89"/>
      </w:pPr>
      <w:r>
        <w:t>（一）</w:t>
      </w:r>
      <w:r>
        <w:rPr>
          <w:color w:val="FF0000"/>
          <w:u w:val="double" w:color="FF0000"/>
        </w:rPr>
        <w:t>在某一时点履行的履约义务</w:t>
      </w:r>
    </w:p>
    <w:p>
      <w:pPr>
        <w:pStyle w:val="6"/>
        <w:spacing w:line="304" w:lineRule="auto"/>
        <w:ind w:right="2464"/>
      </w:pPr>
      <w:r>
        <w:rPr>
          <w:w w:val="95"/>
        </w:rPr>
        <w:t xml:space="preserve">对于在某一时点履行的履约义务，企业应当在客户取得相关商品控制权时点确认收入。  </w:t>
      </w:r>
      <w:r>
        <w:t>在判断</w:t>
      </w:r>
      <w:r>
        <w:rPr>
          <w:color w:val="FF0000"/>
          <w:u w:val="double" w:color="FF0000"/>
        </w:rPr>
        <w:t>控制权</w:t>
      </w:r>
      <w:r>
        <w:t>是否转移时，企业应当综合考虑下列迹象：</w:t>
      </w:r>
    </w:p>
    <w:p>
      <w:pPr>
        <w:pStyle w:val="5"/>
        <w:spacing w:before="2"/>
      </w:pPr>
      <w:r>
        <w:rPr>
          <w:color w:val="00AFEF"/>
          <w:u w:val="single" w:color="00AFEF"/>
        </w:rPr>
        <w:t>①企业就该商品享有现时收款权利，即客户就该商品负有现时付款义务。</w:t>
      </w:r>
    </w:p>
    <w:p>
      <w:pPr>
        <w:pStyle w:val="6"/>
        <w:spacing w:line="304" w:lineRule="auto"/>
        <w:ind w:left="322" w:right="722" w:firstLine="400"/>
        <w:jc w:val="both"/>
      </w:pPr>
      <w:r>
        <w:rPr>
          <w:spacing w:val="-2"/>
        </w:rPr>
        <w:t xml:space="preserve">例如，甲企业与客户签订销售商品合同，约定客户有权定价且在收到商品无误后 </w:t>
      </w:r>
      <w:r>
        <w:t>10</w:t>
      </w:r>
      <w:r>
        <w:rPr>
          <w:spacing w:val="-8"/>
        </w:rPr>
        <w:t xml:space="preserve"> 日内付款。在客户收到</w:t>
      </w:r>
      <w:r>
        <w:rPr>
          <w:spacing w:val="-11"/>
          <w:w w:val="95"/>
        </w:rPr>
        <w:t xml:space="preserve">甲企业开具的发票、商品验收入库后，客户能够自主确定商品的销售价格或商品的使用情况，此时甲企业享有收    </w:t>
      </w:r>
      <w:r>
        <w:rPr>
          <w:spacing w:val="-11"/>
        </w:rPr>
        <w:t>款权利，客户负有现时付款义务。</w:t>
      </w:r>
    </w:p>
    <w:p>
      <w:pPr>
        <w:spacing w:before="1" w:line="304" w:lineRule="auto"/>
        <w:ind w:left="322" w:right="725" w:firstLine="400"/>
        <w:jc w:val="left"/>
        <w:rPr>
          <w:sz w:val="20"/>
        </w:rPr>
      </w:pPr>
      <w:r>
        <w:rPr>
          <w:b/>
          <w:color w:val="00AFEF"/>
          <w:spacing w:val="-2"/>
          <w:w w:val="95"/>
          <w:sz w:val="20"/>
          <w:u w:val="single" w:color="00AFEF"/>
        </w:rPr>
        <w:t>②企业已将该商品的法定所有权转移给客户，即客户已拥有该商品的法定所有权</w:t>
      </w:r>
      <w:r>
        <w:rPr>
          <w:spacing w:val="-8"/>
          <w:w w:val="95"/>
          <w:sz w:val="20"/>
        </w:rPr>
        <w:t xml:space="preserve">。例如，房地产企业向客户   </w:t>
      </w:r>
      <w:r>
        <w:rPr>
          <w:spacing w:val="-8"/>
          <w:sz w:val="20"/>
        </w:rPr>
        <w:t>销售商品房，在客户付款后取得房屋产权证时，表明企业已将该商品房的法定所有权转移给客户。</w:t>
      </w:r>
    </w:p>
    <w:p>
      <w:pPr>
        <w:spacing w:before="1" w:line="304" w:lineRule="auto"/>
        <w:ind w:left="322" w:right="720" w:firstLine="400"/>
        <w:jc w:val="both"/>
        <w:rPr>
          <w:sz w:val="20"/>
        </w:rPr>
      </w:pPr>
      <w:r>
        <w:rPr>
          <w:b/>
          <w:color w:val="00AFEF"/>
          <w:spacing w:val="-2"/>
          <w:w w:val="95"/>
          <w:sz w:val="20"/>
          <w:u w:val="single" w:color="00AFEF"/>
        </w:rPr>
        <w:t>③企业已将该商品实物转移给客户，即客户已占有该商品实物</w:t>
      </w:r>
      <w:r>
        <w:rPr>
          <w:spacing w:val="-7"/>
          <w:w w:val="95"/>
          <w:sz w:val="20"/>
        </w:rPr>
        <w:t xml:space="preserve">。例如，企业与客户签订交款提货合同，在企   </w:t>
      </w:r>
      <w:r>
        <w:rPr>
          <w:spacing w:val="-10"/>
          <w:w w:val="95"/>
          <w:sz w:val="20"/>
        </w:rPr>
        <w:t xml:space="preserve">业销售商品并送货到客户指定地点，客户验收合格并付款，表明企业已将该商品实物转移给客户，即客户已占有    </w:t>
      </w:r>
      <w:r>
        <w:rPr>
          <w:spacing w:val="-10"/>
          <w:sz w:val="20"/>
        </w:rPr>
        <w:t>该商品实物。</w:t>
      </w:r>
    </w:p>
    <w:p>
      <w:pPr>
        <w:spacing w:before="1" w:line="304" w:lineRule="auto"/>
        <w:ind w:left="322" w:right="722" w:firstLine="400"/>
        <w:jc w:val="left"/>
        <w:rPr>
          <w:sz w:val="20"/>
        </w:rPr>
      </w:pPr>
      <w:r>
        <mc:AlternateContent>
          <mc:Choice Requires="wps">
            <w:drawing>
              <wp:anchor distT="0" distB="0" distL="114300" distR="114300" simplePos="0" relativeHeight="482493440" behindDoc="1" locked="0" layoutInCell="1" allowOverlap="1">
                <wp:simplePos x="0" y="0"/>
                <wp:positionH relativeFrom="page">
                  <wp:posOffset>687705</wp:posOffset>
                </wp:positionH>
                <wp:positionV relativeFrom="paragraph">
                  <wp:posOffset>346075</wp:posOffset>
                </wp:positionV>
                <wp:extent cx="125730" cy="5715"/>
                <wp:effectExtent l="0" t="0" r="0" b="0"/>
                <wp:wrapNone/>
                <wp:docPr id="318" name="任意多边形 250"/>
                <wp:cNvGraphicFramePr/>
                <a:graphic xmlns:a="http://schemas.openxmlformats.org/drawingml/2006/main">
                  <a:graphicData uri="http://schemas.microsoft.com/office/word/2010/wordprocessingShape">
                    <wps:wsp>
                      <wps:cNvSpPr/>
                      <wps:spPr>
                        <a:xfrm>
                          <a:off x="0" y="0"/>
                          <a:ext cx="125730" cy="5715"/>
                        </a:xfrm>
                        <a:custGeom>
                          <a:avLst/>
                          <a:gdLst/>
                          <a:ahLst/>
                          <a:cxnLst/>
                          <a:pathLst>
                            <a:path w="198"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50" o:spid="_x0000_s1026" o:spt="100" style="position:absolute;left:0pt;margin-left:54.15pt;margin-top:27.25pt;height:0.45pt;width:9.9pt;mso-position-horizontal-relative:page;z-index:-20823040;mso-width-relative:page;mso-height-relative:page;" filled="f" stroked="t" coordsize="198,9" o:gfxdata="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UJaONYAAAAJAQAADwAAAAAAAAABACAAAAAiAAAAZHJzL2Rvd25yZXYueG1sUEsBAhQAFAAA&#10;AAgAh07iQOT4xl1jAgAAtQUAAA4AAAAAAAAAAQAgAAAAJQEAAGRycy9lMm9Eb2MueG1sUEsFBgAA&#10;AAAGAAYAWQEAAPoFAAAAAA==&#10;" path="m0,0l18,9,36,0,54,9,72,0,90,9,108,0,126,9,144,0,162,9,180,0,198,9e">
                <v:fill on="f" focussize="0,0"/>
                <v:stroke weight="0.28496062992126pt" color="#00AFEF" joinstyle="round"/>
                <v:imagedata o:title=""/>
                <o:lock v:ext="edit" aspectratio="f"/>
              </v:shape>
            </w:pict>
          </mc:Fallback>
        </mc:AlternateContent>
      </w:r>
      <w:r>
        <w:rPr>
          <w:b/>
          <w:color w:val="00AFEF"/>
          <w:sz w:val="20"/>
          <w:u w:val="single" w:color="00AFEF"/>
        </w:rPr>
        <w:t>④企业已将该商品所有权上的主要风险和报酬转移给客户，即客户已取得该商品所有权上的主要风险和报</w:t>
      </w:r>
      <w:r>
        <w:rPr>
          <w:b/>
          <w:color w:val="00AFEF"/>
          <w:w w:val="95"/>
          <w:sz w:val="20"/>
        </w:rPr>
        <w:t>酬</w:t>
      </w:r>
      <w:r>
        <w:rPr>
          <w:spacing w:val="-7"/>
          <w:w w:val="95"/>
          <w:sz w:val="20"/>
        </w:rPr>
        <w:t xml:space="preserve">。例如，甲房地产公司向客户销售商品房办理产权转移手续后，该商品房价格上涨或下跌带来的利益或损失全    </w:t>
      </w:r>
      <w:r>
        <w:rPr>
          <w:spacing w:val="-7"/>
          <w:sz w:val="20"/>
        </w:rPr>
        <w:t>部属于客户，表明客户已取得该商品房所有权上的主要风险和报酬。</w:t>
      </w:r>
    </w:p>
    <w:p>
      <w:pPr>
        <w:pStyle w:val="6"/>
        <w:spacing w:before="3" w:line="304" w:lineRule="auto"/>
        <w:ind w:left="322" w:right="720" w:firstLine="400"/>
      </w:pPr>
      <w:r>
        <w:rPr>
          <w:b/>
          <w:color w:val="00AFEF"/>
          <w:w w:val="95"/>
          <w:u w:val="single" w:color="00AFEF"/>
        </w:rPr>
        <w:t>⑤客户已接受该商品</w:t>
      </w:r>
      <w:r>
        <w:rPr>
          <w:spacing w:val="-8"/>
          <w:w w:val="95"/>
        </w:rPr>
        <w:t xml:space="preserve">。例如，企业向客户销售为其定制生产的节能设备，客户收到并验收合格后办理入库手   </w:t>
      </w:r>
      <w:r>
        <w:rPr>
          <w:spacing w:val="-8"/>
        </w:rPr>
        <w:t>续，表明客户已接受该商品。</w:t>
      </w:r>
    </w:p>
    <w:p>
      <w:pPr>
        <w:spacing w:before="2" w:line="302" w:lineRule="auto"/>
        <w:ind w:left="723" w:right="6261" w:firstLine="0"/>
        <w:jc w:val="left"/>
        <w:rPr>
          <w:b/>
          <w:sz w:val="20"/>
        </w:rPr>
      </w:pPr>
      <w:r>
        <w:rPr>
          <w:sz w:val="20"/>
        </w:rPr>
        <w:t>⑥其他表明客户已取得商品控制权的迹象。</w:t>
      </w:r>
      <w:r>
        <w:rPr>
          <w:b/>
          <w:sz w:val="20"/>
        </w:rPr>
        <w:t>1.一般销售商品业务收入的账务处理</w:t>
      </w:r>
    </w:p>
    <w:p>
      <w:pPr>
        <w:pStyle w:val="6"/>
        <w:spacing w:before="4"/>
        <w:ind w:left="0" w:right="721"/>
        <w:jc w:val="right"/>
      </w:pPr>
      <w:r>
        <w:rPr>
          <w:spacing w:val="-18"/>
        </w:rPr>
        <w:t xml:space="preserve">【例题】甲公司向乙公司销售商品一批，开具的增值税专用发票上注明售价为 </w:t>
      </w:r>
      <w:r>
        <w:t>400000</w:t>
      </w:r>
      <w:r>
        <w:rPr>
          <w:spacing w:val="-24"/>
        </w:rPr>
        <w:t xml:space="preserve"> 元，增值税税额为 </w:t>
      </w:r>
      <w:r>
        <w:t>52000</w:t>
      </w:r>
    </w:p>
    <w:p>
      <w:pPr>
        <w:pStyle w:val="6"/>
        <w:spacing w:before="71"/>
        <w:ind w:left="0" w:right="761"/>
        <w:jc w:val="right"/>
      </w:pPr>
      <w:r>
        <w:rPr>
          <w:spacing w:val="-2"/>
        </w:rPr>
        <w:t xml:space="preserve">元；甲公司收到乙公司开出的不带息银行承兑汇票一张，票面金额为 </w:t>
      </w:r>
      <w:r>
        <w:t>452000</w:t>
      </w:r>
      <w:r>
        <w:rPr>
          <w:spacing w:val="-17"/>
        </w:rPr>
        <w:t xml:space="preserve"> 元，期限为 </w:t>
      </w:r>
      <w:r>
        <w:t>2</w:t>
      </w:r>
      <w:r>
        <w:rPr>
          <w:spacing w:val="-8"/>
        </w:rPr>
        <w:t xml:space="preserve"> 个月；甲公司以银行</w:t>
      </w:r>
    </w:p>
    <w:p>
      <w:pPr>
        <w:pStyle w:val="6"/>
        <w:ind w:left="0" w:right="763"/>
        <w:jc w:val="right"/>
      </w:pPr>
      <w:r>
        <w:rPr>
          <w:spacing w:val="-3"/>
        </w:rPr>
        <w:t xml:space="preserve">存款支付代垫运费，增值税专用发票上注明运输费 </w:t>
      </w:r>
      <w:r>
        <w:t>2000</w:t>
      </w:r>
      <w:r>
        <w:rPr>
          <w:spacing w:val="-13"/>
        </w:rPr>
        <w:t xml:space="preserve"> 元，增值税税额为 </w:t>
      </w:r>
      <w:r>
        <w:t>180</w:t>
      </w:r>
      <w:r>
        <w:rPr>
          <w:spacing w:val="-8"/>
        </w:rPr>
        <w:t xml:space="preserve"> 元，所垫运费尚未收到；该批商</w:t>
      </w:r>
    </w:p>
    <w:p>
      <w:pPr>
        <w:pStyle w:val="6"/>
        <w:ind w:left="322"/>
      </w:pPr>
      <w:r>
        <w:t>品成本为 320000 元；乙公司收到商品并验收入库。</w:t>
      </w:r>
    </w:p>
    <w:p>
      <w:pPr>
        <w:pStyle w:val="6"/>
        <w:spacing w:line="302" w:lineRule="auto"/>
        <w:ind w:left="322" w:right="621" w:firstLine="400"/>
      </w:pPr>
      <w:r>
        <w:rPr>
          <w:spacing w:val="-11"/>
          <w:w w:val="95"/>
        </w:rPr>
        <w:t xml:space="preserve">【答案】本例中甲公司已经收到乙公司开出的不带息银行承兑汇票，客户乙公司收到商品并验收入库，因此，    </w:t>
      </w:r>
      <w:r>
        <w:rPr>
          <w:spacing w:val="-11"/>
        </w:rPr>
        <w:t>销售商品为单项履约义务且属于在某一时点履行的履约义务。</w:t>
      </w:r>
    </w:p>
    <w:p>
      <w:pPr>
        <w:pStyle w:val="6"/>
        <w:spacing w:before="5"/>
      </w:pPr>
      <w:r>
        <w:t>①确认收入时</w:t>
      </w:r>
    </w:p>
    <w:p>
      <w:pPr>
        <w:spacing w:after="0"/>
        <w:sectPr>
          <w:pgSz w:w="11910" w:h="16160"/>
          <w:pgMar w:top="1680" w:right="360" w:bottom="860" w:left="760" w:header="0" w:footer="548" w:gutter="0"/>
        </w:sectPr>
      </w:pPr>
    </w:p>
    <w:p>
      <w:pPr>
        <w:pStyle w:val="6"/>
        <w:spacing w:before="11"/>
        <w:ind w:left="0"/>
        <w:rPr>
          <w:sz w:val="13"/>
        </w:rPr>
      </w:pPr>
    </w:p>
    <w:p>
      <w:pPr>
        <w:pStyle w:val="6"/>
        <w:spacing w:before="71"/>
      </w:pPr>
      <w:r>
        <w:t>借：应收票据 452000</w:t>
      </w:r>
    </w:p>
    <w:p>
      <w:pPr>
        <w:pStyle w:val="6"/>
      </w:pPr>
      <w:r>
        <w:rPr>
          <w:spacing w:val="-7"/>
        </w:rPr>
        <w:t xml:space="preserve">贷：主营业务收入 </w:t>
      </w:r>
      <w:r>
        <w:t>400000</w:t>
      </w:r>
    </w:p>
    <w:p>
      <w:pPr>
        <w:pStyle w:val="6"/>
        <w:spacing w:line="304" w:lineRule="auto"/>
        <w:ind w:right="6361"/>
      </w:pPr>
      <w:r>
        <w:rPr>
          <w:w w:val="95"/>
        </w:rPr>
        <w:t xml:space="preserve">应交税费—应交增值税（销项税额）52000 </w:t>
      </w:r>
      <w:r>
        <w:rPr>
          <w:spacing w:val="-6"/>
        </w:rPr>
        <w:t xml:space="preserve">借：主营业务成本 </w:t>
      </w:r>
      <w:r>
        <w:t>320000</w:t>
      </w:r>
    </w:p>
    <w:p>
      <w:pPr>
        <w:pStyle w:val="6"/>
        <w:spacing w:before="2"/>
      </w:pPr>
      <w:r>
        <w:t>贷：库存商品 320000</w:t>
      </w:r>
    </w:p>
    <w:p>
      <w:pPr>
        <w:pStyle w:val="6"/>
        <w:spacing w:before="68"/>
      </w:pPr>
      <w:r>
        <w:t>②代垫运费时</w:t>
      </w:r>
    </w:p>
    <w:p>
      <w:pPr>
        <w:pStyle w:val="6"/>
      </w:pPr>
      <w:r>
        <w:rPr>
          <w:spacing w:val="-8"/>
        </w:rPr>
        <w:t xml:space="preserve">借：应收账款 </w:t>
      </w:r>
      <w:r>
        <w:t>2180</w:t>
      </w:r>
    </w:p>
    <w:p>
      <w:pPr>
        <w:pStyle w:val="6"/>
      </w:pPr>
      <w:r>
        <w:rPr>
          <w:spacing w:val="-8"/>
        </w:rPr>
        <w:t xml:space="preserve">贷：银行存款 </w:t>
      </w:r>
      <w:r>
        <w:t>2180</w:t>
      </w:r>
    </w:p>
    <w:p>
      <w:pPr>
        <w:pStyle w:val="5"/>
        <w:numPr>
          <w:ilvl w:val="0"/>
          <w:numId w:val="101"/>
        </w:numPr>
        <w:tabs>
          <w:tab w:val="left" w:pos="925"/>
        </w:tabs>
        <w:spacing w:before="70" w:after="0" w:line="240" w:lineRule="auto"/>
        <w:ind w:left="924" w:right="0" w:hanging="202"/>
        <w:jc w:val="left"/>
      </w:pPr>
      <w:r>
        <w:t>已经发出商品但不能确认收入的账务处理</w:t>
      </w:r>
    </w:p>
    <w:p>
      <w:pPr>
        <w:pStyle w:val="6"/>
        <w:spacing w:before="71" w:line="304" w:lineRule="auto"/>
        <w:ind w:left="322" w:right="722" w:firstLine="400"/>
        <w:jc w:val="both"/>
      </w:pPr>
      <w:r>
        <w:rPr>
          <w:spacing w:val="-4"/>
          <w:w w:val="95"/>
        </w:rPr>
        <w:t xml:space="preserve">企业按合同发出商品，合同约定客户只有在商品售出取得价款后才支付货款。企业向客户转让商品的对价未   </w:t>
      </w:r>
      <w:r>
        <w:rPr>
          <w:spacing w:val="-7"/>
          <w:w w:val="95"/>
        </w:rPr>
        <w:t xml:space="preserve">达到“很可能收回”收入确认条件。在发出商品时，企业不应确认收入，将发出商品的成本记入“发出商品”科    </w:t>
      </w:r>
      <w:r>
        <w:rPr>
          <w:spacing w:val="-7"/>
        </w:rPr>
        <w:t>目。</w:t>
      </w:r>
    </w:p>
    <w:p>
      <w:pPr>
        <w:pStyle w:val="5"/>
        <w:numPr>
          <w:ilvl w:val="0"/>
          <w:numId w:val="101"/>
        </w:numPr>
        <w:tabs>
          <w:tab w:val="left" w:pos="925"/>
        </w:tabs>
        <w:spacing w:before="0" w:after="0" w:line="240" w:lineRule="auto"/>
        <w:ind w:left="924" w:right="0" w:hanging="202"/>
        <w:jc w:val="left"/>
      </w:pPr>
      <w:r>
        <w:t>商业折扣、现金折扣和销售退回的账务处理</w:t>
      </w:r>
    </w:p>
    <w:p>
      <w:pPr>
        <w:pStyle w:val="5"/>
        <w:numPr>
          <w:ilvl w:val="0"/>
          <w:numId w:val="102"/>
        </w:numPr>
        <w:tabs>
          <w:tab w:val="left" w:pos="1225"/>
        </w:tabs>
        <w:spacing w:before="70" w:after="0" w:line="240" w:lineRule="auto"/>
        <w:ind w:left="1224" w:right="0" w:hanging="502"/>
        <w:jc w:val="left"/>
      </w:pPr>
      <w:r>
        <w:t>商业折扣</w:t>
      </w:r>
    </w:p>
    <w:p>
      <w:pPr>
        <w:pStyle w:val="6"/>
      </w:pPr>
      <w:r>
        <w:t>商业折扣是指企业为促进商品销售而给予的价格扣除。</w:t>
      </w:r>
    </w:p>
    <w:p>
      <w:pPr>
        <w:pStyle w:val="6"/>
        <w:ind w:left="716"/>
      </w:pPr>
      <w:r>
        <w:t>商业折扣在销售时即已发生，并不构成最终成交价格的一部分，</w:t>
      </w:r>
      <w:r>
        <w:rPr>
          <w:color w:val="FF0000"/>
          <w:u w:val="double" w:color="FF0000"/>
        </w:rPr>
        <w:t>销售商品收入的金额应是扣除商业折扣后的净</w:t>
      </w:r>
    </w:p>
    <w:p>
      <w:pPr>
        <w:pStyle w:val="6"/>
        <w:spacing w:before="71"/>
        <w:ind w:left="322"/>
      </w:pPr>
      <w:r>
        <w:rPr>
          <w:color w:val="FF0000"/>
          <w:u w:val="double" w:color="FF0000"/>
        </w:rPr>
        <w:t>额</w:t>
      </w:r>
      <w:r>
        <w:t>。</w:t>
      </w:r>
    </w:p>
    <w:p>
      <w:pPr>
        <w:pStyle w:val="5"/>
        <w:numPr>
          <w:ilvl w:val="0"/>
          <w:numId w:val="102"/>
        </w:numPr>
        <w:tabs>
          <w:tab w:val="left" w:pos="1225"/>
        </w:tabs>
        <w:spacing w:before="67" w:after="0" w:line="240" w:lineRule="auto"/>
        <w:ind w:left="1224" w:right="0" w:hanging="502"/>
        <w:jc w:val="left"/>
      </w:pPr>
      <w:r>
        <w:t>现金折扣</w:t>
      </w:r>
    </w:p>
    <w:p>
      <w:pPr>
        <w:pStyle w:val="6"/>
        <w:spacing w:before="71"/>
      </w:pPr>
      <w:r>
        <w:t>现金折扣指债权人为鼓励债务人在规定的期限内付款而向债务人提供的债务扣除。现金折扣一般用“</w:t>
      </w:r>
      <w:r>
        <w:rPr>
          <w:color w:val="FF0000"/>
          <w:u w:val="double" w:color="FF0000"/>
        </w:rPr>
        <w:t>折扣率</w:t>
      </w:r>
    </w:p>
    <w:p>
      <w:pPr>
        <w:pStyle w:val="6"/>
        <w:ind w:left="322"/>
      </w:pPr>
      <w:r>
        <w:rPr>
          <w:color w:val="FF0000"/>
          <w:spacing w:val="1"/>
          <w:w w:val="99"/>
          <w:u w:val="double" w:color="FF0000"/>
        </w:rPr>
        <w:t>/</w:t>
      </w:r>
      <w:r>
        <w:rPr>
          <w:color w:val="FF0000"/>
          <w:w w:val="99"/>
          <w:u w:val="double" w:color="FF0000"/>
        </w:rPr>
        <w:t>付款期限</w:t>
      </w:r>
      <w:r>
        <w:rPr>
          <w:w w:val="99"/>
        </w:rPr>
        <w:t>”表示，如“</w:t>
      </w:r>
      <w:r>
        <w:rPr>
          <w:spacing w:val="1"/>
          <w:w w:val="99"/>
        </w:rPr>
        <w:t>2/</w:t>
      </w:r>
      <w:r>
        <w:rPr>
          <w:spacing w:val="-2"/>
          <w:w w:val="99"/>
        </w:rPr>
        <w:t>1</w:t>
      </w:r>
      <w:r>
        <w:rPr>
          <w:spacing w:val="1"/>
          <w:w w:val="99"/>
        </w:rPr>
        <w:t>0</w:t>
      </w:r>
      <w:r>
        <w:rPr>
          <w:w w:val="99"/>
        </w:rPr>
        <w:t>，</w:t>
      </w:r>
      <w:r>
        <w:rPr>
          <w:spacing w:val="1"/>
          <w:w w:val="99"/>
        </w:rPr>
        <w:t>1/</w:t>
      </w:r>
      <w:r>
        <w:rPr>
          <w:spacing w:val="-2"/>
          <w:w w:val="99"/>
        </w:rPr>
        <w:t>2</w:t>
      </w:r>
      <w:r>
        <w:rPr>
          <w:spacing w:val="1"/>
          <w:w w:val="99"/>
        </w:rPr>
        <w:t>0</w:t>
      </w:r>
      <w:r>
        <w:rPr>
          <w:w w:val="99"/>
        </w:rPr>
        <w:t>，</w:t>
      </w:r>
      <w:r>
        <w:rPr>
          <w:spacing w:val="1"/>
          <w:w w:val="99"/>
        </w:rPr>
        <w:t>N/</w:t>
      </w:r>
      <w:r>
        <w:rPr>
          <w:spacing w:val="-2"/>
          <w:w w:val="99"/>
        </w:rPr>
        <w:t>3</w:t>
      </w:r>
      <w:r>
        <w:rPr>
          <w:spacing w:val="1"/>
          <w:w w:val="99"/>
        </w:rPr>
        <w:t>0</w:t>
      </w:r>
      <w:r>
        <w:rPr>
          <w:spacing w:val="-50"/>
          <w:w w:val="99"/>
        </w:rPr>
        <w:t>”。</w:t>
      </w:r>
    </w:p>
    <w:p>
      <w:pPr>
        <w:pStyle w:val="6"/>
        <w:spacing w:line="304" w:lineRule="auto"/>
        <w:ind w:left="322" w:right="647" w:firstLine="400"/>
      </w:pPr>
      <w:r>
        <w:rPr>
          <w:w w:val="95"/>
        </w:rPr>
        <w:t>企业销售商品涉及现金折扣的，应当</w:t>
      </w:r>
      <w:r>
        <w:rPr>
          <w:color w:val="FF0000"/>
          <w:w w:val="95"/>
          <w:u w:val="double" w:color="FF0000"/>
        </w:rPr>
        <w:t>按照扣除现金折扣前</w:t>
      </w:r>
      <w:r>
        <w:rPr>
          <w:w w:val="95"/>
        </w:rPr>
        <w:t xml:space="preserve">的金额确定销售商品收入金额。现金折扣在实际发   </w:t>
      </w:r>
      <w:r>
        <w:t>生时计入当期</w:t>
      </w:r>
      <w:r>
        <w:rPr>
          <w:color w:val="FF0000"/>
          <w:u w:val="double" w:color="FF0000"/>
        </w:rPr>
        <w:t>财务费用</w:t>
      </w:r>
      <w:r>
        <w:t>。</w:t>
      </w:r>
    </w:p>
    <w:p>
      <w:pPr>
        <w:pStyle w:val="6"/>
        <w:spacing w:before="2" w:line="302" w:lineRule="auto"/>
        <w:ind w:left="322" w:right="722" w:firstLine="400"/>
      </w:pPr>
      <w:r>
        <w:rPr>
          <w:spacing w:val="-4"/>
          <w:w w:val="95"/>
        </w:rPr>
        <w:t>在计算现金折扣时，还应</w:t>
      </w:r>
      <w:r>
        <w:rPr>
          <w:color w:val="FF0000"/>
          <w:spacing w:val="-2"/>
          <w:w w:val="95"/>
          <w:u w:val="double" w:color="FF0000"/>
        </w:rPr>
        <w:t>注意销售方是按不包含增值税的价款提供现金折扣，还是按包含增值税的价款提供</w:t>
      </w:r>
      <w:r>
        <w:rPr>
          <w:color w:val="FF0000"/>
          <w:spacing w:val="-199"/>
          <w:w w:val="95"/>
          <w:u w:val="double" w:color="FF0000"/>
        </w:rPr>
        <w:t>现</w:t>
      </w:r>
      <w:r>
        <w:rPr>
          <w:color w:val="FF0000"/>
          <w:spacing w:val="191"/>
          <w:w w:val="95"/>
          <w:u w:val="double" w:color="FF0000"/>
        </w:rPr>
        <w:t xml:space="preserve"> </w:t>
      </w:r>
      <w:r>
        <w:rPr>
          <w:color w:val="FF0000"/>
          <w:u w:val="double" w:color="FF0000"/>
        </w:rPr>
        <w:t>金折扣</w:t>
      </w:r>
      <w:r>
        <w:t>。</w:t>
      </w:r>
    </w:p>
    <w:p>
      <w:pPr>
        <w:pStyle w:val="5"/>
        <w:numPr>
          <w:ilvl w:val="0"/>
          <w:numId w:val="102"/>
        </w:numPr>
        <w:tabs>
          <w:tab w:val="left" w:pos="1225"/>
        </w:tabs>
        <w:spacing w:before="4" w:after="0" w:line="240" w:lineRule="auto"/>
        <w:ind w:left="1224" w:right="0" w:hanging="502"/>
        <w:jc w:val="left"/>
      </w:pPr>
      <w:r>
        <w:t>销售退回的账务处理</w:t>
      </w:r>
    </w:p>
    <w:p>
      <w:pPr>
        <w:pStyle w:val="6"/>
        <w:spacing w:before="71" w:line="304" w:lineRule="auto"/>
        <w:ind w:left="322" w:right="720" w:firstLine="400"/>
      </w:pPr>
      <w:r>
        <mc:AlternateContent>
          <mc:Choice Requires="wpg">
            <w:drawing>
              <wp:anchor distT="0" distB="0" distL="114300" distR="114300" simplePos="0" relativeHeight="482495488" behindDoc="1" locked="0" layoutInCell="1" allowOverlap="1">
                <wp:simplePos x="0" y="0"/>
                <wp:positionH relativeFrom="page">
                  <wp:posOffset>963295</wp:posOffset>
                </wp:positionH>
                <wp:positionV relativeFrom="paragraph">
                  <wp:posOffset>415290</wp:posOffset>
                </wp:positionV>
                <wp:extent cx="5768975" cy="1461770"/>
                <wp:effectExtent l="1270" t="1270" r="1905" b="3810"/>
                <wp:wrapNone/>
                <wp:docPr id="321" name="组合 251"/>
                <wp:cNvGraphicFramePr/>
                <a:graphic xmlns:a="http://schemas.openxmlformats.org/drawingml/2006/main">
                  <a:graphicData uri="http://schemas.microsoft.com/office/word/2010/wordprocessingGroup">
                    <wpg:wgp>
                      <wpg:cNvGrpSpPr/>
                      <wpg:grpSpPr>
                        <a:xfrm>
                          <a:off x="0" y="0"/>
                          <a:ext cx="5768975" cy="1461770"/>
                          <a:chOff x="1517" y="654"/>
                          <a:chExt cx="9085" cy="2302"/>
                        </a:xfrm>
                      </wpg:grpSpPr>
                      <wps:wsp>
                        <wps:cNvPr id="319" name="文本框 252"/>
                        <wps:cNvSpPr txBox="1"/>
                        <wps:spPr>
                          <a:xfrm>
                            <a:off x="6072" y="659"/>
                            <a:ext cx="4525" cy="2292"/>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503" w:right="1362" w:firstLine="0"/>
                                <w:jc w:val="left"/>
                                <w:rPr>
                                  <w:sz w:val="20"/>
                                </w:rPr>
                              </w:pPr>
                              <w:r>
                                <w:rPr>
                                  <w:b/>
                                  <w:sz w:val="20"/>
                                </w:rPr>
                                <w:t>2.对于已确认收入的销售退回</w:t>
                              </w:r>
                              <w:r>
                                <w:rPr>
                                  <w:sz w:val="20"/>
                                </w:rPr>
                                <w:t>借：主营业务收入</w:t>
                              </w:r>
                            </w:p>
                            <w:p>
                              <w:pPr>
                                <w:spacing w:before="2" w:line="302" w:lineRule="auto"/>
                                <w:ind w:left="902" w:right="412" w:firstLine="0"/>
                                <w:jc w:val="left"/>
                                <w:rPr>
                                  <w:sz w:val="20"/>
                                </w:rPr>
                              </w:pPr>
                              <w:r>
                                <w:rPr>
                                  <w:sz w:val="20"/>
                                </w:rPr>
                                <w:t>应交税费—应交增值税（销项税额） 贷：银行存款等</w:t>
                              </w:r>
                            </w:p>
                            <w:p>
                              <w:pPr>
                                <w:spacing w:before="5" w:line="304" w:lineRule="auto"/>
                                <w:ind w:left="503" w:right="1211" w:firstLine="799"/>
                                <w:jc w:val="left"/>
                                <w:rPr>
                                  <w:sz w:val="20"/>
                                </w:rPr>
                              </w:pPr>
                              <w:r>
                                <w:rPr>
                                  <w:sz w:val="20"/>
                                </w:rPr>
                                <w:t>财务费用（现金折扣） 借：库存商品</w:t>
                              </w:r>
                            </w:p>
                            <w:p>
                              <w:pPr>
                                <w:spacing w:before="2"/>
                                <w:ind w:left="902" w:right="0" w:firstLine="0"/>
                                <w:jc w:val="left"/>
                                <w:rPr>
                                  <w:sz w:val="20"/>
                                </w:rPr>
                              </w:pPr>
                              <w:r>
                                <w:rPr>
                                  <w:sz w:val="20"/>
                                </w:rPr>
                                <w:t>贷：主营业务成本</w:t>
                              </w:r>
                            </w:p>
                          </w:txbxContent>
                        </wps:txbx>
                        <wps:bodyPr lIns="0" tIns="0" rIns="0" bIns="0" upright="1"/>
                      </wps:wsp>
                      <wps:wsp>
                        <wps:cNvPr id="320" name="文本框 253"/>
                        <wps:cNvSpPr txBox="1"/>
                        <wps:spPr>
                          <a:xfrm>
                            <a:off x="1522" y="659"/>
                            <a:ext cx="4550" cy="2292"/>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503" w:right="1827" w:firstLine="0"/>
                                <w:jc w:val="left"/>
                                <w:rPr>
                                  <w:sz w:val="20"/>
                                </w:rPr>
                              </w:pPr>
                              <w:r>
                                <w:rPr>
                                  <w:b/>
                                  <w:sz w:val="20"/>
                                </w:rPr>
                                <w:t>1.未确认收入的销售退回</w:t>
                              </w:r>
                              <w:r>
                                <w:rPr>
                                  <w:sz w:val="20"/>
                                </w:rPr>
                                <w:t>借：库存商品</w:t>
                              </w:r>
                            </w:p>
                            <w:p>
                              <w:pPr>
                                <w:spacing w:before="2"/>
                                <w:ind w:left="901" w:right="0" w:firstLine="0"/>
                                <w:jc w:val="left"/>
                                <w:rPr>
                                  <w:sz w:val="20"/>
                                </w:rPr>
                              </w:pPr>
                              <w:r>
                                <w:rPr>
                                  <w:sz w:val="20"/>
                                </w:rPr>
                                <w:t>贷：发出商品</w:t>
                              </w:r>
                            </w:p>
                            <w:p>
                              <w:pPr>
                                <w:spacing w:before="68" w:line="304" w:lineRule="auto"/>
                                <w:ind w:left="503" w:right="435" w:firstLine="0"/>
                                <w:jc w:val="left"/>
                                <w:rPr>
                                  <w:sz w:val="20"/>
                                </w:rPr>
                              </w:pPr>
                              <w:r>
                                <w:rPr>
                                  <w:sz w:val="20"/>
                                </w:rPr>
                                <w:t>假定原发出商品时增值税纳税义务已发生</w:t>
                              </w:r>
                              <w:r>
                                <w:rPr>
                                  <w:w w:val="95"/>
                                  <w:sz w:val="20"/>
                                </w:rPr>
                                <w:t>借：应交税费—应交增值税（销项税额）</w:t>
                              </w:r>
                            </w:p>
                            <w:p>
                              <w:pPr>
                                <w:spacing w:before="2"/>
                                <w:ind w:left="901" w:right="0" w:firstLine="0"/>
                                <w:jc w:val="left"/>
                                <w:rPr>
                                  <w:sz w:val="20"/>
                                </w:rPr>
                              </w:pPr>
                              <w:r>
                                <w:rPr>
                                  <w:sz w:val="20"/>
                                </w:rPr>
                                <w:t>贷：应收账款</w:t>
                              </w:r>
                            </w:p>
                          </w:txbxContent>
                        </wps:txbx>
                        <wps:bodyPr lIns="0" tIns="0" rIns="0" bIns="0" upright="1"/>
                      </wps:wsp>
                    </wpg:wgp>
                  </a:graphicData>
                </a:graphic>
              </wp:anchor>
            </w:drawing>
          </mc:Choice>
          <mc:Fallback>
            <w:pict>
              <v:group id="组合 251" o:spid="_x0000_s1026" o:spt="203" style="position:absolute;left:0pt;margin-left:75.85pt;margin-top:32.7pt;height:115.1pt;width:454.25pt;mso-position-horizontal-relative:page;z-index:-20820992;mso-width-relative:page;mso-height-relative:page;" coordorigin="1517,654" coordsize="9085,2302" o:gfxdata="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4Lsc5NoAAAALAQAADwAAAAAAAAABACAAAAAiAAAAZHJzL2Rvd25yZXYueG1s&#10;UEsBAhQAFAAAAAgAh07iQB5be/ShAgAAcgcAAA4AAAAAAAAAAQAgAAAAKQEAAGRycy9lMm9Eb2Mu&#10;eG1sUEsFBgAAAAAGAAYAWQEAADwGAAAAAA==&#10;">
                <o:lock v:ext="edit" aspectratio="f"/>
                <v:shape id="文本框 252" o:spid="_x0000_s1026" o:spt="202" type="#_x0000_t202" style="position:absolute;left:6072;top:659;height:2292;width:4525;" filled="f" stroked="t" coordsize="21600,21600" o:gfxdata="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hdvFvQAA&#10;ANwAAAAPAAAAAAAAAAEAIAAAACIAAABkcnMvZG93bnJldi54bWxQSwECFAAUAAAACACHTuJAMy8F&#10;njsAAAA5AAAAEAAAAAAAAAABACAAAAAMAQAAZHJzL3NoYXBleG1sLnhtbFBLBQYAAAAABgAGAFsB&#10;AAC2AwAAAAA=&#10;">
                  <v:fill on="f" focussize="0,0"/>
                  <v:stroke weight="0.48pt" color="#000000" joinstyle="miter"/>
                  <v:imagedata o:title=""/>
                  <o:lock v:ext="edit" aspectratio="f"/>
                  <v:textbox inset="0mm,0mm,0mm,0mm">
                    <w:txbxContent>
                      <w:p>
                        <w:pPr>
                          <w:spacing w:before="69" w:line="304" w:lineRule="auto"/>
                          <w:ind w:left="503" w:right="1362" w:firstLine="0"/>
                          <w:jc w:val="left"/>
                          <w:rPr>
                            <w:sz w:val="20"/>
                          </w:rPr>
                        </w:pPr>
                        <w:r>
                          <w:rPr>
                            <w:b/>
                            <w:sz w:val="20"/>
                          </w:rPr>
                          <w:t>2.对于已确认收入的销售退回</w:t>
                        </w:r>
                        <w:r>
                          <w:rPr>
                            <w:sz w:val="20"/>
                          </w:rPr>
                          <w:t>借：主营业务收入</w:t>
                        </w:r>
                      </w:p>
                      <w:p>
                        <w:pPr>
                          <w:spacing w:before="2" w:line="302" w:lineRule="auto"/>
                          <w:ind w:left="902" w:right="412" w:firstLine="0"/>
                          <w:jc w:val="left"/>
                          <w:rPr>
                            <w:sz w:val="20"/>
                          </w:rPr>
                        </w:pPr>
                        <w:r>
                          <w:rPr>
                            <w:sz w:val="20"/>
                          </w:rPr>
                          <w:t>应交税费—应交增值税（销项税额） 贷：银行存款等</w:t>
                        </w:r>
                      </w:p>
                      <w:p>
                        <w:pPr>
                          <w:spacing w:before="5" w:line="304" w:lineRule="auto"/>
                          <w:ind w:left="503" w:right="1211" w:firstLine="799"/>
                          <w:jc w:val="left"/>
                          <w:rPr>
                            <w:sz w:val="20"/>
                          </w:rPr>
                        </w:pPr>
                        <w:r>
                          <w:rPr>
                            <w:sz w:val="20"/>
                          </w:rPr>
                          <w:t>财务费用（现金折扣） 借：库存商品</w:t>
                        </w:r>
                      </w:p>
                      <w:p>
                        <w:pPr>
                          <w:spacing w:before="2"/>
                          <w:ind w:left="902" w:right="0" w:firstLine="0"/>
                          <w:jc w:val="left"/>
                          <w:rPr>
                            <w:sz w:val="20"/>
                          </w:rPr>
                        </w:pPr>
                        <w:r>
                          <w:rPr>
                            <w:sz w:val="20"/>
                          </w:rPr>
                          <w:t>贷：主营业务成本</w:t>
                        </w:r>
                      </w:p>
                    </w:txbxContent>
                  </v:textbox>
                </v:shape>
                <v:shape id="文本框 253" o:spid="_x0000_s1026" o:spt="202" type="#_x0000_t202" style="position:absolute;left:1522;top:659;height:2292;width:4550;" filled="f" stroked="t" coordsize="21600,21600" o:gfxdata="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PTuOW2AAAA3AAAAA8A&#10;AAAAAAAAAQAgAAAAIgAAAGRycy9kb3ducmV2LnhtbFBLAQIUABQAAAAIAIdO4kAzLwWeOwAAADkA&#10;AAAQAAAAAAAAAAEAIAAAAAUBAABkcnMvc2hhcGV4bWwueG1sUEsFBgAAAAAGAAYAWwEAAK8DAAAA&#10;AA==&#10;">
                  <v:fill on="f" focussize="0,0"/>
                  <v:stroke weight="0.48pt" color="#000000" joinstyle="miter"/>
                  <v:imagedata o:title=""/>
                  <o:lock v:ext="edit" aspectratio="f"/>
                  <v:textbox inset="0mm,0mm,0mm,0mm">
                    <w:txbxContent>
                      <w:p>
                        <w:pPr>
                          <w:spacing w:before="69" w:line="304" w:lineRule="auto"/>
                          <w:ind w:left="503" w:right="1827" w:firstLine="0"/>
                          <w:jc w:val="left"/>
                          <w:rPr>
                            <w:sz w:val="20"/>
                          </w:rPr>
                        </w:pPr>
                        <w:r>
                          <w:rPr>
                            <w:b/>
                            <w:sz w:val="20"/>
                          </w:rPr>
                          <w:t>1.未确认收入的销售退回</w:t>
                        </w:r>
                        <w:r>
                          <w:rPr>
                            <w:sz w:val="20"/>
                          </w:rPr>
                          <w:t>借：库存商品</w:t>
                        </w:r>
                      </w:p>
                      <w:p>
                        <w:pPr>
                          <w:spacing w:before="2"/>
                          <w:ind w:left="901" w:right="0" w:firstLine="0"/>
                          <w:jc w:val="left"/>
                          <w:rPr>
                            <w:sz w:val="20"/>
                          </w:rPr>
                        </w:pPr>
                        <w:r>
                          <w:rPr>
                            <w:sz w:val="20"/>
                          </w:rPr>
                          <w:t>贷：发出商品</w:t>
                        </w:r>
                      </w:p>
                      <w:p>
                        <w:pPr>
                          <w:spacing w:before="68" w:line="304" w:lineRule="auto"/>
                          <w:ind w:left="503" w:right="435" w:firstLine="0"/>
                          <w:jc w:val="left"/>
                          <w:rPr>
                            <w:sz w:val="20"/>
                          </w:rPr>
                        </w:pPr>
                        <w:r>
                          <w:rPr>
                            <w:sz w:val="20"/>
                          </w:rPr>
                          <w:t>假定原发出商品时增值税纳税义务已发生</w:t>
                        </w:r>
                        <w:r>
                          <w:rPr>
                            <w:w w:val="95"/>
                            <w:sz w:val="20"/>
                          </w:rPr>
                          <w:t>借：应交税费—应交增值税（销项税额）</w:t>
                        </w:r>
                      </w:p>
                      <w:p>
                        <w:pPr>
                          <w:spacing w:before="2"/>
                          <w:ind w:left="901" w:right="0" w:firstLine="0"/>
                          <w:jc w:val="left"/>
                          <w:rPr>
                            <w:sz w:val="20"/>
                          </w:rPr>
                        </w:pPr>
                        <w:r>
                          <w:rPr>
                            <w:sz w:val="20"/>
                          </w:rPr>
                          <w:t>贷：应收账款</w:t>
                        </w:r>
                      </w:p>
                    </w:txbxContent>
                  </v:textbox>
                </v:shape>
              </v:group>
            </w:pict>
          </mc:Fallback>
        </mc:AlternateContent>
      </w:r>
      <w:r>
        <w:rPr>
          <w:spacing w:val="-3"/>
          <w:w w:val="95"/>
        </w:rPr>
        <w:t>企业售出商品发生的销售退回，应分别不同情况进行会计处理，</w:t>
      </w:r>
      <w:r>
        <w:rPr>
          <w:color w:val="FF0000"/>
          <w:spacing w:val="-2"/>
          <w:w w:val="95"/>
          <w:u w:val="double" w:color="FF0000"/>
        </w:rPr>
        <w:t>一是尚未确认销售收入的销售退回，二是已</w:t>
      </w:r>
      <w:r>
        <w:rPr>
          <w:color w:val="FF0000"/>
          <w:spacing w:val="-199"/>
          <w:w w:val="95"/>
          <w:u w:val="double" w:color="FF0000"/>
        </w:rPr>
        <w:t>确</w:t>
      </w:r>
      <w:r>
        <w:rPr>
          <w:color w:val="FF0000"/>
          <w:spacing w:val="190"/>
          <w:w w:val="95"/>
          <w:u w:val="double" w:color="FF0000"/>
        </w:rPr>
        <w:t xml:space="preserve"> </w:t>
      </w:r>
      <w:r>
        <w:rPr>
          <w:color w:val="FF0000"/>
          <w:u w:val="double" w:color="FF0000"/>
        </w:rPr>
        <w:t>认销售收入的销售退回</w:t>
      </w:r>
      <w:r>
        <w:t>。</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2"/>
        <w:ind w:left="0"/>
        <w:rPr>
          <w:sz w:val="14"/>
        </w:rPr>
      </w:pPr>
    </w:p>
    <w:p>
      <w:pPr>
        <w:pStyle w:val="5"/>
        <w:spacing w:before="72"/>
      </w:pPr>
      <w:r>
        <w:t>（二）在某一时段履行的履约义务确认收入</w:t>
      </w:r>
    </w:p>
    <w:p>
      <w:pPr>
        <w:pStyle w:val="6"/>
      </w:pPr>
      <w:r>
        <w:t>满足下列条件之一的，属于在某一时段内履行的履约义务：</w:t>
      </w:r>
    </w:p>
    <w:p>
      <w:pPr>
        <w:pStyle w:val="6"/>
      </w:pPr>
      <w:r>
        <w:t>①客户在企业履约的同时即取得并消耗企业履约所带来的</w:t>
      </w:r>
      <w:r>
        <w:rPr>
          <w:color w:val="FF0000"/>
          <w:u w:val="double" w:color="FF0000"/>
        </w:rPr>
        <w:t>经济利益</w:t>
      </w:r>
      <w:r>
        <w:t>。</w:t>
      </w:r>
    </w:p>
    <w:p>
      <w:pPr>
        <w:pStyle w:val="6"/>
        <w:spacing w:before="68"/>
      </w:pPr>
      <w:r>
        <w:t>②客户能够</w:t>
      </w:r>
      <w:r>
        <w:rPr>
          <w:color w:val="FF0000"/>
          <w:u w:val="double" w:color="FF0000"/>
        </w:rPr>
        <w:t>控制</w:t>
      </w:r>
      <w:r>
        <w:t>企业履约过程中在建的商品。</w:t>
      </w:r>
    </w:p>
    <w:p>
      <w:pPr>
        <w:spacing w:after="0"/>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646" w:firstLine="400"/>
      </w:pPr>
      <w:r>
        <w:rPr>
          <w:w w:val="95"/>
        </w:rPr>
        <w:t xml:space="preserve">③企业履约过程中所产出的商品具有不可替代用途，且该企业在整个合同期间内有权就累计至今已完成的履   </w:t>
      </w:r>
      <w:r>
        <w:t>约部分收取款项。</w:t>
      </w:r>
    </w:p>
    <w:p>
      <w:pPr>
        <w:pStyle w:val="6"/>
        <w:spacing w:before="2" w:line="304" w:lineRule="auto"/>
        <w:ind w:left="322" w:right="647" w:firstLine="400"/>
      </w:pPr>
      <w:r>
        <w:rPr>
          <w:color w:val="FF0000"/>
          <w:w w:val="95"/>
          <w:u w:val="double" w:color="FF0000"/>
        </w:rPr>
        <w:t>对于在某一时段内履行的履约义务，企业应当在该段时间内按照履约进度确认收入</w:t>
      </w:r>
      <w:r>
        <w:rPr>
          <w:w w:val="95"/>
        </w:rPr>
        <w:t xml:space="preserve">，履约进度不能合理确定   </w:t>
      </w:r>
      <w:r>
        <w:t>的除外。</w:t>
      </w:r>
    </w:p>
    <w:p>
      <w:pPr>
        <w:pStyle w:val="6"/>
        <w:spacing w:before="2" w:line="304" w:lineRule="auto"/>
        <w:ind w:left="322" w:right="720" w:firstLine="400"/>
        <w:jc w:val="both"/>
      </w:pPr>
      <w:r>
        <w:rPr>
          <w:spacing w:val="-2"/>
          <w:w w:val="95"/>
        </w:rPr>
        <w:t>企业应当考虑商品的性质，采用</w:t>
      </w:r>
      <w:r>
        <w:rPr>
          <w:color w:val="FF0000"/>
          <w:spacing w:val="-4"/>
          <w:w w:val="95"/>
          <w:u w:val="double" w:color="FF0000"/>
        </w:rPr>
        <w:t xml:space="preserve">实际测量的完工进度、评估已实现的结果、时间进度、已完工或交付的产品   </w:t>
      </w:r>
      <w:r>
        <w:rPr>
          <w:w w:val="95"/>
        </w:rPr>
        <w:t>等</w:t>
      </w:r>
      <w:r>
        <w:rPr>
          <w:spacing w:val="-6"/>
          <w:w w:val="95"/>
        </w:rPr>
        <w:t xml:space="preserve">产岀指标，或采用投入的材料数量、花费的人工工时、机器工时、发生的成本和时间进度等投入指标确定恰当    </w:t>
      </w:r>
      <w:r>
        <w:t>的履约进度，并且在确定履约进度时，应当扣除那些控制权尚未转移给客户的商品和服务。</w:t>
      </w:r>
    </w:p>
    <w:p>
      <w:pPr>
        <w:pStyle w:val="5"/>
        <w:spacing w:before="0" w:line="304" w:lineRule="auto"/>
        <w:ind w:left="322" w:right="626" w:firstLine="400"/>
      </w:pPr>
      <w:r>
        <w:rPr>
          <w:color w:val="00AFEF"/>
          <w:w w:val="95"/>
          <w:u w:val="single" w:color="00AFEF"/>
        </w:rPr>
        <w:t xml:space="preserve">资产负债表日，企业按照合同的交易价格总额乘以履约进度扣除以前会计期间累计已确认的收入后的金额，   </w:t>
      </w:r>
      <w:r>
        <w:rPr>
          <w:color w:val="00AFEF"/>
          <w:u w:val="single" w:color="00AFEF"/>
        </w:rPr>
        <w:t>确认当期收入。</w:t>
      </w:r>
    </w:p>
    <w:p>
      <w:pPr>
        <w:spacing w:before="0" w:line="223" w:lineRule="exact"/>
        <w:ind w:left="742" w:right="0" w:firstLine="0"/>
        <w:jc w:val="left"/>
        <w:rPr>
          <w:b/>
          <w:sz w:val="21"/>
        </w:rPr>
      </w:pPr>
      <w:bookmarkStart w:id="120" w:name="四、合同成本"/>
      <w:bookmarkEnd w:id="120"/>
      <w:r>
        <w:rPr>
          <w:b/>
          <w:sz w:val="21"/>
          <w:shd w:val="clear" w:color="auto" w:fill="C0C0C0"/>
        </w:rPr>
        <w:t>四、合同成本</w:t>
      </w:r>
    </w:p>
    <w:p>
      <w:pPr>
        <w:pStyle w:val="6"/>
        <w:spacing w:before="92"/>
      </w:pPr>
      <w:r>
        <w:t>企业在与客户之间建立合同关系过程中发生的成本主要有</w:t>
      </w:r>
      <w:r>
        <w:rPr>
          <w:color w:val="FF0000"/>
          <w:u w:val="double" w:color="FF0000"/>
        </w:rPr>
        <w:t>合同取得成本</w:t>
      </w:r>
      <w:r>
        <w:t>和</w:t>
      </w:r>
      <w:r>
        <w:rPr>
          <w:color w:val="FF0000"/>
          <w:u w:val="double" w:color="FF0000"/>
        </w:rPr>
        <w:t>合同履约成本</w:t>
      </w:r>
      <w:r>
        <w:t>。</w:t>
      </w:r>
    </w:p>
    <w:p>
      <w:pPr>
        <w:pStyle w:val="5"/>
      </w:pPr>
      <w:r>
        <w:t>（一）合同取得成本</w:t>
      </w:r>
    </w:p>
    <w:p>
      <w:pPr>
        <w:pStyle w:val="6"/>
        <w:spacing w:before="68" w:line="304" w:lineRule="auto"/>
        <w:ind w:left="322" w:right="720" w:firstLine="400"/>
        <w:jc w:val="both"/>
      </w:pPr>
      <w:r>
        <w:rPr>
          <w:spacing w:val="-3"/>
          <w:w w:val="95"/>
        </w:rPr>
        <w:t xml:space="preserve">企业为取得合同发生的增量成本预期能够收回的，应作为合同取得成本确认为一项资产。增量成本是指企业   </w:t>
      </w:r>
      <w:r>
        <w:rPr>
          <w:spacing w:val="-7"/>
        </w:rPr>
        <w:t>不取得合同就不会发生的成本，也就是企业发生的与合同直接相关，但又不是所签订合同的对象或内容</w:t>
      </w:r>
      <w:r>
        <w:t>（如建造</w:t>
      </w:r>
      <w:r>
        <w:rPr>
          <w:w w:val="95"/>
        </w:rPr>
        <w:t>商品或提供服务</w:t>
      </w:r>
      <w:r>
        <w:rPr>
          <w:spacing w:val="-19"/>
          <w:w w:val="95"/>
        </w:rPr>
        <w:t>）</w:t>
      </w:r>
      <w:r>
        <w:rPr>
          <w:spacing w:val="-3"/>
          <w:w w:val="95"/>
        </w:rPr>
        <w:t xml:space="preserve">本身所直接发生的费用，例如销售佣金等，如果销售佣金等预期可通过未来的相关服务收入予    </w:t>
      </w:r>
      <w:r>
        <w:rPr>
          <w:spacing w:val="-3"/>
        </w:rPr>
        <w:t>以补偿，该销售佣金（即增量成本）应在发生时确认为一项资产，即合同取得成本。</w:t>
      </w:r>
    </w:p>
    <w:p>
      <w:pPr>
        <w:pStyle w:val="13"/>
        <w:numPr>
          <w:ilvl w:val="0"/>
          <w:numId w:val="103"/>
        </w:numPr>
        <w:tabs>
          <w:tab w:val="left" w:pos="925"/>
        </w:tabs>
        <w:spacing w:before="3" w:after="0" w:line="304" w:lineRule="auto"/>
        <w:ind w:left="322" w:right="720" w:firstLine="400"/>
        <w:jc w:val="left"/>
        <w:rPr>
          <w:sz w:val="20"/>
        </w:rPr>
      </w:pPr>
      <w:r>
        <mc:AlternateContent>
          <mc:Choice Requires="wps">
            <w:drawing>
              <wp:anchor distT="0" distB="0" distL="114300" distR="114300" simplePos="0" relativeHeight="482495488" behindDoc="1" locked="0" layoutInCell="1" allowOverlap="1">
                <wp:simplePos x="0" y="0"/>
                <wp:positionH relativeFrom="page">
                  <wp:posOffset>3989070</wp:posOffset>
                </wp:positionH>
                <wp:positionV relativeFrom="paragraph">
                  <wp:posOffset>346075</wp:posOffset>
                </wp:positionV>
                <wp:extent cx="502920" cy="5715"/>
                <wp:effectExtent l="0" t="0" r="0" b="0"/>
                <wp:wrapNone/>
                <wp:docPr id="322" name="任意多边形 254"/>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54" o:spid="_x0000_s1026" o:spt="100" style="position:absolute;left:0pt;margin-left:314.1pt;margin-top:27.25pt;height:0.45pt;width:39.6pt;mso-position-horizontal-relative:page;z-index:-20820992;mso-width-relative:page;mso-height-relative:page;" filled="f" stroked="t" coordsize="792,9" o:gfxdata="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mr+pp2AAAAAkBAAAPAAAAAAAAAAEAIAAA&#10;ACIAAABkcnMvZG93bnJldi54bWxQSwECFAAUAAAACACHTuJAdTCAivACAACbCgAADgAAAAAAAAAB&#10;ACAAAAAnAQAAZHJzL2Uyb0RvYy54bWxQSwUGAAAAAAYABgBZAQAAiQ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w w:val="95"/>
          <w:sz w:val="20"/>
          <w:u w:val="single" w:color="00AFEF"/>
        </w:rPr>
        <w:t>企业取得合同发生的增量成本已经确认为资产的</w:t>
      </w:r>
      <w:r>
        <w:rPr>
          <w:spacing w:val="-9"/>
          <w:w w:val="95"/>
          <w:sz w:val="20"/>
        </w:rPr>
        <w:t xml:space="preserve">，应当采用与该资产相关的商品收入确认相同的基础进行   </w:t>
      </w:r>
      <w:r>
        <w:rPr>
          <w:spacing w:val="-9"/>
          <w:sz w:val="20"/>
        </w:rPr>
        <w:t>摊销，计入当期损益。为简化实务操作，该资产摊销期限不</w:t>
      </w:r>
      <w:r>
        <w:rPr>
          <w:b/>
          <w:color w:val="00AFEF"/>
          <w:spacing w:val="-9"/>
          <w:sz w:val="20"/>
        </w:rPr>
        <w:t>超过一年</w:t>
      </w:r>
      <w:r>
        <w:rPr>
          <w:spacing w:val="-9"/>
          <w:sz w:val="20"/>
        </w:rPr>
        <w:t>的，可以在发生时计入当期损益。</w:t>
      </w:r>
    </w:p>
    <w:p>
      <w:pPr>
        <w:pStyle w:val="13"/>
        <w:numPr>
          <w:ilvl w:val="0"/>
          <w:numId w:val="103"/>
        </w:numPr>
        <w:tabs>
          <w:tab w:val="left" w:pos="925"/>
        </w:tabs>
        <w:spacing w:before="0" w:after="0" w:line="304" w:lineRule="auto"/>
        <w:ind w:left="322" w:right="720" w:firstLine="400"/>
        <w:jc w:val="both"/>
        <w:rPr>
          <w:sz w:val="20"/>
        </w:rPr>
      </w:pPr>
      <w:r>
        <w:rPr>
          <w:b/>
          <w:color w:val="00AFEF"/>
          <w:spacing w:val="-3"/>
          <w:w w:val="95"/>
          <w:sz w:val="20"/>
          <w:u w:val="single" w:color="00AFEF"/>
        </w:rPr>
        <w:t>企业为取得合同发生的、除预期能够收回的增量成本之外的其他支出</w:t>
      </w:r>
      <w:r>
        <w:rPr>
          <w:spacing w:val="-8"/>
          <w:w w:val="95"/>
          <w:sz w:val="20"/>
        </w:rPr>
        <w:t xml:space="preserve">，例如，无论是否取得合同均会发生   </w:t>
      </w:r>
      <w:r>
        <w:rPr>
          <w:spacing w:val="-10"/>
          <w:w w:val="95"/>
          <w:sz w:val="20"/>
        </w:rPr>
        <w:t xml:space="preserve">的差旅费、投标费、为准备投标资料发生的相关费用等，应当在发生时计入当期损益，除非这些支出明确由客户    </w:t>
      </w:r>
      <w:r>
        <w:rPr>
          <w:spacing w:val="-10"/>
          <w:sz w:val="20"/>
        </w:rPr>
        <w:t>承担。</w:t>
      </w:r>
    </w:p>
    <w:p>
      <w:pPr>
        <w:pStyle w:val="5"/>
        <w:spacing w:before="3" w:line="304" w:lineRule="auto"/>
        <w:ind w:right="8054"/>
      </w:pPr>
      <w:r>
        <w:t>（二）合同履约成本 1.</w:t>
      </w:r>
      <w:r>
        <w:rPr>
          <w:spacing w:val="-2"/>
        </w:rPr>
        <w:t>合同履约成本的判断</w:t>
      </w:r>
    </w:p>
    <w:p>
      <w:pPr>
        <w:pStyle w:val="5"/>
        <w:spacing w:before="2" w:line="302" w:lineRule="auto"/>
        <w:ind w:left="322" w:right="722" w:firstLine="400"/>
        <w:rPr>
          <w:b w:val="0"/>
        </w:rPr>
      </w:pPr>
      <w:r>
        <w:rPr>
          <w:b w:val="0"/>
          <w:w w:val="95"/>
        </w:rPr>
        <w:t>合同履约成本是</w:t>
      </w:r>
      <w:r>
        <w:rPr>
          <w:color w:val="00AFEF"/>
          <w:spacing w:val="-5"/>
          <w:w w:val="95"/>
          <w:u w:val="single" w:color="00AFEF"/>
        </w:rPr>
        <w:t xml:space="preserve">指企业为履行当前或预期取得的合同所发生的、属于收入准则规范范围并且按照该准则应当   </w:t>
      </w:r>
      <w:r>
        <w:rPr>
          <w:color w:val="00AFEF"/>
          <w:spacing w:val="-5"/>
          <w:u w:val="single" w:color="00AFEF"/>
        </w:rPr>
        <w:t>确认为一项资产的成本</w:t>
      </w:r>
      <w:r>
        <w:rPr>
          <w:b w:val="0"/>
          <w:spacing w:val="-5"/>
        </w:rPr>
        <w:t>。</w:t>
      </w:r>
    </w:p>
    <w:p>
      <w:pPr>
        <w:pStyle w:val="6"/>
        <w:spacing w:before="4" w:line="304" w:lineRule="auto"/>
        <w:ind w:left="322" w:right="647" w:firstLine="400"/>
      </w:pPr>
      <w:r>
        <w:rPr>
          <w:w w:val="95"/>
        </w:rPr>
        <w:t xml:space="preserve">企业为履行合同可能会发生各种成本，企业在确认收入的同时应当对这些成本进行分析，属于收入准则规范   </w:t>
      </w:r>
      <w:r>
        <w:t>范围且同时满足下列条件的，应当作为合同履约成本确认为一项资产：</w:t>
      </w:r>
    </w:p>
    <w:p>
      <w:pPr>
        <w:pStyle w:val="13"/>
        <w:numPr>
          <w:ilvl w:val="0"/>
          <w:numId w:val="104"/>
        </w:numPr>
        <w:tabs>
          <w:tab w:val="left" w:pos="1224"/>
        </w:tabs>
        <w:spacing w:before="2" w:after="0" w:line="240" w:lineRule="auto"/>
        <w:ind w:left="1223" w:right="0" w:hanging="501"/>
        <w:jc w:val="left"/>
        <w:rPr>
          <w:sz w:val="18"/>
        </w:rPr>
      </w:pPr>
      <w:r>
        <mc:AlternateContent>
          <mc:Choice Requires="wps">
            <w:drawing>
              <wp:anchor distT="0" distB="0" distL="114300" distR="114300" simplePos="0" relativeHeight="15861760" behindDoc="0" locked="0" layoutInCell="1" allowOverlap="1">
                <wp:simplePos x="0" y="0"/>
                <wp:positionH relativeFrom="page">
                  <wp:posOffset>3925570</wp:posOffset>
                </wp:positionH>
                <wp:positionV relativeFrom="paragraph">
                  <wp:posOffset>139065</wp:posOffset>
                </wp:positionV>
                <wp:extent cx="251460" cy="5715"/>
                <wp:effectExtent l="0" t="0" r="0" b="0"/>
                <wp:wrapNone/>
                <wp:docPr id="159" name="任意多边形 25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55" o:spid="_x0000_s1026" o:spt="100" style="position:absolute;left:0pt;margin-left:309.1pt;margin-top:10.95pt;height:0.45pt;width:19.8pt;mso-position-horizontal-relative:page;z-index:15861760;mso-width-relative:page;mso-height-relative:page;" filled="f" stroked="t" coordsize="396,9" o:gfxdata="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JIqKr&#10;2QAAAAkBAAAPAAAAAAAAAAEAIAAAACIAAABkcnMvZG93bnJldi54bWxQSwECFAAUAAAACACHTuJA&#10;RiBrQJICAABXBwAADgAAAAAAAAABACAAAAAoAQAAZHJzL2Uyb0RvYy54bWxQSwUGAAAAAAYABgBZ&#10;AQAALA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z w:val="20"/>
        </w:rPr>
        <w:t>该成本与一份当前或预期取得的合同直接相关。</w:t>
      </w:r>
      <w:r>
        <w:rPr>
          <w:b/>
          <w:color w:val="00AFEF"/>
          <w:sz w:val="20"/>
        </w:rPr>
        <w:t>包括</w:t>
      </w:r>
      <w:r>
        <w:rPr>
          <w:sz w:val="20"/>
        </w:rPr>
        <w:t>：</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51"/>
        <w:gridCol w:w="72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2" w:hRule="atLeast"/>
        </w:trPr>
        <w:tc>
          <w:tcPr>
            <w:tcW w:w="2851" w:type="dxa"/>
          </w:tcPr>
          <w:p>
            <w:pPr>
              <w:pStyle w:val="14"/>
              <w:rPr>
                <w:sz w:val="20"/>
              </w:rPr>
            </w:pPr>
          </w:p>
          <w:p>
            <w:pPr>
              <w:pStyle w:val="14"/>
              <w:rPr>
                <w:sz w:val="20"/>
              </w:rPr>
            </w:pPr>
          </w:p>
          <w:p>
            <w:pPr>
              <w:pStyle w:val="14"/>
              <w:rPr>
                <w:sz w:val="20"/>
              </w:rPr>
            </w:pPr>
          </w:p>
          <w:p>
            <w:pPr>
              <w:pStyle w:val="14"/>
              <w:spacing w:before="8"/>
              <w:rPr>
                <w:sz w:val="21"/>
              </w:rPr>
            </w:pPr>
          </w:p>
          <w:p>
            <w:pPr>
              <w:pStyle w:val="14"/>
              <w:ind w:left="423"/>
              <w:rPr>
                <w:sz w:val="20"/>
              </w:rPr>
            </w:pPr>
            <w:r>
              <w:rPr>
                <w:sz w:val="20"/>
              </w:rPr>
              <w:t>与合同直接相关的成本</w:t>
            </w:r>
          </w:p>
        </w:tc>
        <w:tc>
          <w:tcPr>
            <w:tcW w:w="7200" w:type="dxa"/>
          </w:tcPr>
          <w:p>
            <w:pPr>
              <w:pStyle w:val="14"/>
              <w:spacing w:before="69" w:line="304" w:lineRule="auto"/>
              <w:ind w:left="508"/>
              <w:rPr>
                <w:sz w:val="20"/>
              </w:rPr>
            </w:pPr>
            <w:r>
              <w:rPr>
                <w:spacing w:val="1"/>
                <w:w w:val="99"/>
                <w:sz w:val="20"/>
              </w:rPr>
              <w:t>a</w:t>
            </w:r>
            <w:r>
              <w:rPr>
                <w:spacing w:val="-2"/>
                <w:w w:val="99"/>
                <w:sz w:val="20"/>
              </w:rPr>
              <w:t>.直接人工</w:t>
            </w:r>
            <w:r>
              <w:rPr>
                <w:w w:val="99"/>
                <w:sz w:val="20"/>
              </w:rPr>
              <w:t>（</w:t>
            </w:r>
            <w:r>
              <w:rPr>
                <w:spacing w:val="-1"/>
                <w:w w:val="99"/>
                <w:sz w:val="20"/>
              </w:rPr>
              <w:t>如支付给直接为客户提供所承诺服务的人员的工资、奖金等</w:t>
            </w:r>
            <w:r>
              <w:rPr>
                <w:spacing w:val="-101"/>
                <w:w w:val="99"/>
                <w:sz w:val="20"/>
              </w:rPr>
              <w:t>）</w:t>
            </w:r>
            <w:r>
              <w:rPr>
                <w:w w:val="99"/>
                <w:sz w:val="20"/>
              </w:rPr>
              <w:t xml:space="preserve">； </w:t>
            </w:r>
            <w:r>
              <w:rPr>
                <w:sz w:val="20"/>
              </w:rPr>
              <w:t>b</w:t>
            </w:r>
            <w:r>
              <w:rPr>
                <w:spacing w:val="-1"/>
                <w:sz w:val="20"/>
              </w:rPr>
              <w:t>.直接材料</w:t>
            </w:r>
            <w:r>
              <w:rPr>
                <w:sz w:val="20"/>
              </w:rPr>
              <w:t>（</w:t>
            </w:r>
            <w:r>
              <w:rPr>
                <w:spacing w:val="-3"/>
                <w:sz w:val="20"/>
              </w:rPr>
              <w:t>如为履行合同耗用的原材料、辅助材料、构配件、零件、半成</w:t>
            </w:r>
          </w:p>
          <w:p>
            <w:pPr>
              <w:pStyle w:val="14"/>
              <w:spacing w:before="2"/>
              <w:ind w:left="107"/>
              <w:rPr>
                <w:sz w:val="20"/>
              </w:rPr>
            </w:pPr>
            <w:r>
              <w:rPr>
                <w:w w:val="99"/>
                <w:sz w:val="20"/>
              </w:rPr>
              <w:t>品的成本和周转材料的摊销及租赁费用等</w:t>
            </w:r>
            <w:r>
              <w:rPr>
                <w:spacing w:val="-99"/>
                <w:w w:val="99"/>
                <w:sz w:val="20"/>
              </w:rPr>
              <w:t>）</w:t>
            </w:r>
            <w:r>
              <w:rPr>
                <w:w w:val="99"/>
                <w:sz w:val="20"/>
              </w:rPr>
              <w:t>；</w:t>
            </w:r>
          </w:p>
          <w:p>
            <w:pPr>
              <w:pStyle w:val="14"/>
              <w:spacing w:before="7" w:line="326" w:lineRule="exact"/>
              <w:ind w:left="107" w:right="96" w:firstLine="400"/>
              <w:jc w:val="both"/>
              <w:rPr>
                <w:sz w:val="20"/>
              </w:rPr>
            </w:pPr>
            <w:r>
              <w:rPr>
                <w:w w:val="95"/>
                <w:sz w:val="20"/>
              </w:rPr>
              <w:t>c</w:t>
            </w:r>
            <w:r>
              <w:rPr>
                <w:spacing w:val="-1"/>
                <w:w w:val="95"/>
                <w:sz w:val="20"/>
              </w:rPr>
              <w:t>.制造费用或类似费用</w:t>
            </w:r>
            <w:r>
              <w:rPr>
                <w:w w:val="95"/>
                <w:sz w:val="20"/>
              </w:rPr>
              <w:t>（</w:t>
            </w:r>
            <w:r>
              <w:rPr>
                <w:spacing w:val="-2"/>
                <w:w w:val="95"/>
                <w:sz w:val="20"/>
              </w:rPr>
              <w:t xml:space="preserve">如组织和管理相关生产、施工、服务等活动发生的  </w:t>
            </w:r>
            <w:r>
              <w:rPr>
                <w:spacing w:val="-4"/>
                <w:w w:val="95"/>
                <w:sz w:val="20"/>
              </w:rPr>
              <w:t xml:space="preserve">费用，包括管理人员的职工薪酬、劳动保护费、固定资产折旧费及修理费、物料  </w:t>
            </w:r>
            <w:r>
              <w:rPr>
                <w:spacing w:val="-3"/>
                <w:w w:val="95"/>
                <w:sz w:val="20"/>
              </w:rPr>
              <w:t xml:space="preserve">消耗、取暖费、水电费、办公费、差旅费、财产保险费、工程保修费、临时设施  </w:t>
            </w:r>
            <w:r>
              <w:rPr>
                <w:spacing w:val="-3"/>
                <w:sz w:val="20"/>
              </w:rPr>
              <w:t>摊销费等</w:t>
            </w:r>
            <w:r>
              <w:rPr>
                <w:spacing w:val="-99"/>
                <w:sz w:val="20"/>
              </w:rPr>
              <w:t>）</w:t>
            </w:r>
            <w:r>
              <w:rPr>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2851" w:type="dxa"/>
          </w:tcPr>
          <w:p>
            <w:pPr>
              <w:pStyle w:val="14"/>
              <w:spacing w:before="7"/>
              <w:rPr>
                <w:sz w:val="17"/>
              </w:rPr>
            </w:pPr>
          </w:p>
          <w:p>
            <w:pPr>
              <w:pStyle w:val="14"/>
              <w:spacing w:line="304" w:lineRule="auto"/>
              <w:ind w:left="107" w:right="132"/>
              <w:rPr>
                <w:sz w:val="20"/>
              </w:rPr>
            </w:pPr>
            <w:r>
              <w:rPr>
                <w:sz w:val="20"/>
              </w:rPr>
              <w:t>明确由客户承担的成本以及仅因该合同而发生的其他成本</w:t>
            </w:r>
          </w:p>
        </w:tc>
        <w:tc>
          <w:tcPr>
            <w:tcW w:w="7200" w:type="dxa"/>
          </w:tcPr>
          <w:p>
            <w:pPr>
              <w:pStyle w:val="14"/>
              <w:spacing w:before="1" w:line="326" w:lineRule="exact"/>
              <w:ind w:left="107" w:right="99"/>
              <w:jc w:val="both"/>
              <w:rPr>
                <w:sz w:val="20"/>
              </w:rPr>
            </w:pPr>
            <w:r>
              <w:rPr>
                <w:spacing w:val="-3"/>
                <w:w w:val="95"/>
                <w:sz w:val="20"/>
              </w:rPr>
              <w:t xml:space="preserve">如支付给分包商的成本、机械使用费、设计和技术援助费用、施工现场二次搬运  </w:t>
            </w:r>
            <w:r>
              <w:rPr>
                <w:spacing w:val="-4"/>
                <w:w w:val="95"/>
                <w:sz w:val="20"/>
              </w:rPr>
              <w:t xml:space="preserve">费、生产工具和用具使用费、检验试验费、工程定位复测费、工程点交费用、场  </w:t>
            </w:r>
            <w:r>
              <w:rPr>
                <w:spacing w:val="-4"/>
                <w:sz w:val="20"/>
              </w:rPr>
              <w:t>地清理费等</w:t>
            </w:r>
          </w:p>
        </w:tc>
      </w:tr>
    </w:tbl>
    <w:p>
      <w:pPr>
        <w:spacing w:after="0" w:line="326" w:lineRule="exact"/>
        <w:jc w:val="both"/>
        <w:rPr>
          <w:sz w:val="20"/>
        </w:rPr>
        <w:sectPr>
          <w:pgSz w:w="11910" w:h="16160"/>
          <w:pgMar w:top="1680" w:right="360" w:bottom="860" w:left="760" w:header="0" w:footer="548" w:gutter="0"/>
        </w:sectPr>
      </w:pPr>
    </w:p>
    <w:p>
      <w:pPr>
        <w:pStyle w:val="6"/>
        <w:spacing w:before="11"/>
        <w:ind w:left="0"/>
        <w:rPr>
          <w:sz w:val="13"/>
        </w:rPr>
      </w:pPr>
    </w:p>
    <w:p>
      <w:pPr>
        <w:pStyle w:val="13"/>
        <w:numPr>
          <w:ilvl w:val="0"/>
          <w:numId w:val="104"/>
        </w:numPr>
        <w:tabs>
          <w:tab w:val="left" w:pos="1224"/>
        </w:tabs>
        <w:spacing w:before="71" w:after="0" w:line="240" w:lineRule="auto"/>
        <w:ind w:left="1223" w:right="0" w:hanging="501"/>
        <w:jc w:val="left"/>
        <w:rPr>
          <w:sz w:val="18"/>
        </w:rPr>
      </w:pPr>
      <w:r>
        <w:rPr>
          <w:sz w:val="20"/>
        </w:rPr>
        <w:t>该成本增加了企业未来用于履行（包括持续履行）履约义务的资源。</w:t>
      </w:r>
    </w:p>
    <w:p>
      <w:pPr>
        <w:pStyle w:val="4"/>
        <w:numPr>
          <w:ilvl w:val="0"/>
          <w:numId w:val="104"/>
        </w:numPr>
        <w:tabs>
          <w:tab w:val="left" w:pos="850"/>
        </w:tabs>
        <w:spacing w:before="24" w:after="0" w:line="240" w:lineRule="auto"/>
        <w:ind w:left="849" w:right="0" w:hanging="528"/>
        <w:jc w:val="left"/>
        <w:rPr>
          <w:sz w:val="19"/>
        </w:rPr>
      </w:pPr>
      <w:r>
        <w:t>该成本预期能够收回。</w:t>
      </w:r>
    </w:p>
    <w:p>
      <w:pPr>
        <w:pStyle w:val="6"/>
        <w:spacing w:before="89"/>
      </w:pPr>
      <w:r>
        <w:t>企业应当在下列支出发生时，将其计入当期损益：</w:t>
      </w:r>
    </w:p>
    <w:p>
      <w:pPr>
        <w:pStyle w:val="6"/>
        <w:spacing w:line="304" w:lineRule="auto"/>
        <w:ind w:left="322" w:right="621" w:firstLine="400"/>
      </w:pPr>
      <w:r>
        <w:rPr>
          <w:spacing w:val="-15"/>
          <w:w w:val="99"/>
        </w:rPr>
        <w:t>①管理费用，除非这些费用明确由客户承担。②非正常消耗的直接材料、直接人工和制造费用</w:t>
      </w:r>
      <w:r>
        <w:rPr>
          <w:spacing w:val="2"/>
          <w:w w:val="99"/>
        </w:rPr>
        <w:t>（</w:t>
      </w:r>
      <w:r>
        <w:rPr>
          <w:w w:val="99"/>
        </w:rPr>
        <w:t>或类似费用</w:t>
      </w:r>
      <w:r>
        <w:rPr>
          <w:spacing w:val="-99"/>
          <w:w w:val="99"/>
        </w:rPr>
        <w:t>）</w:t>
      </w:r>
      <w:r>
        <w:rPr>
          <w:w w:val="99"/>
        </w:rPr>
        <w:t>，</w:t>
      </w:r>
      <w:r>
        <w:rPr>
          <w:spacing w:val="-4"/>
        </w:rPr>
        <w:t>这些支出为履行合同发生，但未反映在合同价格中。③与履约义务中已履行</w:t>
      </w:r>
      <w:r>
        <w:t>（包括已全部履行或部分履行</w:t>
      </w:r>
      <w:r>
        <w:rPr>
          <w:spacing w:val="-15"/>
        </w:rPr>
        <w:t>）</w:t>
      </w:r>
      <w:r>
        <w:t>部分</w:t>
      </w:r>
      <w:r>
        <w:rPr>
          <w:spacing w:val="-5"/>
        </w:rPr>
        <w:t>相关的支出，即该支出与企业过去的履约活动相关。④无法在尚未履行的与已履行</w:t>
      </w:r>
      <w:r>
        <w:t>（或已部分履行</w:t>
      </w:r>
      <w:r>
        <w:rPr>
          <w:spacing w:val="-15"/>
        </w:rPr>
        <w:t>）</w:t>
      </w:r>
      <w:r>
        <w:t>的履约义务之间区分的相关支出。</w:t>
      </w:r>
    </w:p>
    <w:p>
      <w:pPr>
        <w:pStyle w:val="6"/>
        <w:spacing w:before="2"/>
      </w:pPr>
      <w:r>
        <w:t>2.合同履约成本的账务处理</w:t>
      </w:r>
    </w:p>
    <w:p>
      <w:pPr>
        <w:pStyle w:val="6"/>
        <w:spacing w:before="0"/>
        <w:ind w:left="757"/>
      </w:pPr>
      <w:r>
        <mc:AlternateContent>
          <mc:Choice Requires="wpg">
            <w:drawing>
              <wp:inline distT="0" distB="0" distL="114300" distR="114300">
                <wp:extent cx="5657850" cy="840740"/>
                <wp:effectExtent l="1905" t="1905" r="17145" b="14605"/>
                <wp:docPr id="199" name="组合 256"/>
                <wp:cNvGraphicFramePr/>
                <a:graphic xmlns:a="http://schemas.openxmlformats.org/drawingml/2006/main">
                  <a:graphicData uri="http://schemas.microsoft.com/office/word/2010/wordprocessingGroup">
                    <wpg:wgp>
                      <wpg:cNvGrpSpPr/>
                      <wpg:grpSpPr>
                        <a:xfrm>
                          <a:off x="0" y="0"/>
                          <a:ext cx="5657850" cy="840740"/>
                          <a:chOff x="0" y="0"/>
                          <a:chExt cx="8910" cy="1324"/>
                        </a:xfrm>
                      </wpg:grpSpPr>
                      <wps:wsp>
                        <wps:cNvPr id="197" name="文本框 257"/>
                        <wps:cNvSpPr txBox="1"/>
                        <wps:spPr>
                          <a:xfrm>
                            <a:off x="4554" y="4"/>
                            <a:ext cx="4350" cy="1314"/>
                          </a:xfrm>
                          <a:prstGeom prst="rect">
                            <a:avLst/>
                          </a:prstGeom>
                          <a:noFill/>
                          <a:ln w="6096" cap="flat" cmpd="sng">
                            <a:solidFill>
                              <a:srgbClr val="000000"/>
                            </a:solidFill>
                            <a:prstDash val="solid"/>
                            <a:miter/>
                            <a:headEnd type="none" w="med" len="med"/>
                            <a:tailEnd type="none" w="med" len="med"/>
                          </a:ln>
                        </wps:spPr>
                        <wps:txbx>
                          <w:txbxContent>
                            <w:p>
                              <w:pPr>
                                <w:spacing w:before="69"/>
                                <w:ind w:left="503" w:right="0" w:firstLine="0"/>
                                <w:jc w:val="left"/>
                                <w:rPr>
                                  <w:sz w:val="20"/>
                                </w:rPr>
                              </w:pPr>
                              <w:r>
                                <w:rPr>
                                  <w:w w:val="95"/>
                                  <w:sz w:val="20"/>
                                </w:rPr>
                                <w:t>②摊销合同履约成本时</w:t>
                              </w:r>
                            </w:p>
                            <w:p>
                              <w:pPr>
                                <w:spacing w:before="70" w:line="304" w:lineRule="auto"/>
                                <w:ind w:left="902" w:right="935" w:hanging="399"/>
                                <w:jc w:val="left"/>
                                <w:rPr>
                                  <w:sz w:val="20"/>
                                </w:rPr>
                              </w:pPr>
                              <w:r>
                                <w:rPr>
                                  <w:sz w:val="20"/>
                                </w:rPr>
                                <w:t>借：主营业务成本/</w:t>
                              </w:r>
                              <w:r>
                                <w:rPr>
                                  <w:spacing w:val="-3"/>
                                  <w:sz w:val="20"/>
                                </w:rPr>
                                <w:t>其他业务成本</w:t>
                              </w:r>
                              <w:r>
                                <w:rPr>
                                  <w:sz w:val="20"/>
                                </w:rPr>
                                <w:t>贷：合同履约成本</w:t>
                              </w:r>
                            </w:p>
                            <w:p>
                              <w:pPr>
                                <w:spacing w:before="2"/>
                                <w:ind w:left="503" w:right="0" w:firstLine="0"/>
                                <w:jc w:val="left"/>
                                <w:rPr>
                                  <w:sz w:val="20"/>
                                </w:rPr>
                              </w:pPr>
                              <w:r>
                                <w:rPr>
                                  <w:sz w:val="20"/>
                                </w:rPr>
                                <w:t>涉及增值税的，还应进行相应的会计处理。</w:t>
                              </w:r>
                            </w:p>
                          </w:txbxContent>
                        </wps:txbx>
                        <wps:bodyPr lIns="0" tIns="0" rIns="0" bIns="0" upright="1"/>
                      </wps:wsp>
                      <wps:wsp>
                        <wps:cNvPr id="198" name="文本框 258"/>
                        <wps:cNvSpPr txBox="1"/>
                        <wps:spPr>
                          <a:xfrm>
                            <a:off x="4" y="4"/>
                            <a:ext cx="4550" cy="1314"/>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503" w:right="2035" w:firstLine="0"/>
                                <w:jc w:val="left"/>
                                <w:rPr>
                                  <w:sz w:val="20"/>
                                </w:rPr>
                              </w:pPr>
                              <w:r>
                                <w:rPr>
                                  <w:sz w:val="20"/>
                                </w:rPr>
                                <w:t>①发生合同履约成本时借：合同履约成本</w:t>
                              </w:r>
                            </w:p>
                            <w:p>
                              <w:pPr>
                                <w:spacing w:before="1"/>
                                <w:ind w:left="702" w:right="0" w:firstLine="0"/>
                                <w:jc w:val="left"/>
                                <w:rPr>
                                  <w:sz w:val="20"/>
                                </w:rPr>
                              </w:pPr>
                              <w:r>
                                <w:rPr>
                                  <w:sz w:val="20"/>
                                </w:rPr>
                                <w:t>贷：银行存款/应付职工薪酬/原材料等</w:t>
                              </w:r>
                            </w:p>
                          </w:txbxContent>
                        </wps:txbx>
                        <wps:bodyPr lIns="0" tIns="0" rIns="0" bIns="0" upright="1"/>
                      </wps:wsp>
                    </wpg:wgp>
                  </a:graphicData>
                </a:graphic>
              </wp:inline>
            </w:drawing>
          </mc:Choice>
          <mc:Fallback>
            <w:pict>
              <v:group id="组合 256" o:spid="_x0000_s1026" o:spt="203" style="height:66.2pt;width:445.5pt;" coordsize="8910,1324" o:gfxdata="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I+LD3VAAAA&#10;BQEAAA8AAAAAAAAAAQAgAAAAIgAAAGRycy9kb3ducmV2LnhtbFBLAQIUABQAAAAIAIdO4kBL4+Y5&#10;kgIAAGUHAAAOAAAAAAAAAAEAIAAAACQBAABkcnMvZTJvRG9jLnhtbFBLBQYAAAAABgAGAFkBAAAo&#10;BgAAAAA=&#10;">
                <o:lock v:ext="edit" aspectratio="f"/>
                <v:shape id="文本框 257" o:spid="_x0000_s1026" o:spt="202" type="#_x0000_t202" style="position:absolute;left:4554;top:4;height:1314;width:4350;" filled="f" stroked="t" coordsize="21600,21600" o:gfxdata="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QYeXtwAAANwAAAAP&#10;AAAAAAAAAAEAIAAAACIAAABkcnMvZG93bnJldi54bWxQSwECFAAUAAAACACHTuJAMy8FnjsAAAA5&#10;AAAAEAAAAAAAAAABACAAAAAGAQAAZHJzL3NoYXBleG1sLnhtbFBLBQYAAAAABgAGAFsBAACwAwAA&#10;AAA=&#10;">
                  <v:fill on="f" focussize="0,0"/>
                  <v:stroke weight="0.48pt" color="#000000" joinstyle="miter"/>
                  <v:imagedata o:title=""/>
                  <o:lock v:ext="edit" aspectratio="f"/>
                  <v:textbox inset="0mm,0mm,0mm,0mm">
                    <w:txbxContent>
                      <w:p>
                        <w:pPr>
                          <w:spacing w:before="69"/>
                          <w:ind w:left="503" w:right="0" w:firstLine="0"/>
                          <w:jc w:val="left"/>
                          <w:rPr>
                            <w:sz w:val="20"/>
                          </w:rPr>
                        </w:pPr>
                        <w:r>
                          <w:rPr>
                            <w:w w:val="95"/>
                            <w:sz w:val="20"/>
                          </w:rPr>
                          <w:t>②摊销合同履约成本时</w:t>
                        </w:r>
                      </w:p>
                      <w:p>
                        <w:pPr>
                          <w:spacing w:before="70" w:line="304" w:lineRule="auto"/>
                          <w:ind w:left="902" w:right="935" w:hanging="399"/>
                          <w:jc w:val="left"/>
                          <w:rPr>
                            <w:sz w:val="20"/>
                          </w:rPr>
                        </w:pPr>
                        <w:r>
                          <w:rPr>
                            <w:sz w:val="20"/>
                          </w:rPr>
                          <w:t>借：主营业务成本/</w:t>
                        </w:r>
                        <w:r>
                          <w:rPr>
                            <w:spacing w:val="-3"/>
                            <w:sz w:val="20"/>
                          </w:rPr>
                          <w:t>其他业务成本</w:t>
                        </w:r>
                        <w:r>
                          <w:rPr>
                            <w:sz w:val="20"/>
                          </w:rPr>
                          <w:t>贷：合同履约成本</w:t>
                        </w:r>
                      </w:p>
                      <w:p>
                        <w:pPr>
                          <w:spacing w:before="2"/>
                          <w:ind w:left="503" w:right="0" w:firstLine="0"/>
                          <w:jc w:val="left"/>
                          <w:rPr>
                            <w:sz w:val="20"/>
                          </w:rPr>
                        </w:pPr>
                        <w:r>
                          <w:rPr>
                            <w:sz w:val="20"/>
                          </w:rPr>
                          <w:t>涉及增值税的，还应进行相应的会计处理。</w:t>
                        </w:r>
                      </w:p>
                    </w:txbxContent>
                  </v:textbox>
                </v:shape>
                <v:shape id="文本框 258" o:spid="_x0000_s1026" o:spt="202" type="#_x0000_t202" style="position:absolute;left:4;top:4;height:1314;width:4550;" filled="f" stroked="t" coordsize="21600,21600" o:gfxdata="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eE+W8AAAA&#10;3AAAAA8AAAAAAAAAAQAgAAAAIgAAAGRycy9kb3ducmV2LnhtbFBLAQIUABQAAAAIAIdO4kAzLwWe&#10;OwAAADkAAAAQAAAAAAAAAAEAIAAAAAsBAABkcnMvc2hhcGV4bWwueG1sUEsFBgAAAAAGAAYAWwEA&#10;ALUDAAAAAA==&#10;">
                  <v:fill on="f" focussize="0,0"/>
                  <v:stroke weight="0.48pt" color="#000000" joinstyle="miter"/>
                  <v:imagedata o:title=""/>
                  <o:lock v:ext="edit" aspectratio="f"/>
                  <v:textbox inset="0mm,0mm,0mm,0mm">
                    <w:txbxContent>
                      <w:p>
                        <w:pPr>
                          <w:spacing w:before="69" w:line="304" w:lineRule="auto"/>
                          <w:ind w:left="503" w:right="2035" w:firstLine="0"/>
                          <w:jc w:val="left"/>
                          <w:rPr>
                            <w:sz w:val="20"/>
                          </w:rPr>
                        </w:pPr>
                        <w:r>
                          <w:rPr>
                            <w:sz w:val="20"/>
                          </w:rPr>
                          <w:t>①发生合同履约成本时借：合同履约成本</w:t>
                        </w:r>
                      </w:p>
                      <w:p>
                        <w:pPr>
                          <w:spacing w:before="1"/>
                          <w:ind w:left="702" w:right="0" w:firstLine="0"/>
                          <w:jc w:val="left"/>
                          <w:rPr>
                            <w:sz w:val="20"/>
                          </w:rPr>
                        </w:pPr>
                        <w:r>
                          <w:rPr>
                            <w:sz w:val="20"/>
                          </w:rPr>
                          <w:t>贷：银行存款/应付职工薪酬/原材料等</w:t>
                        </w:r>
                      </w:p>
                    </w:txbxContent>
                  </v:textbox>
                </v:shape>
                <w10:wrap type="none"/>
                <w10:anchorlock/>
              </v:group>
            </w:pict>
          </mc:Fallback>
        </mc:AlternateContent>
      </w:r>
    </w:p>
    <w:p>
      <w:pPr>
        <w:pStyle w:val="6"/>
        <w:spacing w:before="5"/>
        <w:ind w:left="0"/>
        <w:rPr>
          <w:sz w:val="29"/>
        </w:rPr>
      </w:pPr>
    </w:p>
    <w:p>
      <w:pPr>
        <w:pStyle w:val="3"/>
        <w:tabs>
          <w:tab w:val="left" w:pos="839"/>
        </w:tabs>
        <w:spacing w:before="45"/>
        <w:ind w:left="0" w:right="399"/>
        <w:jc w:val="center"/>
        <w:rPr>
          <w:rFonts w:hint="eastAsia" w:ascii="微软雅黑" w:eastAsia="微软雅黑"/>
        </w:rPr>
      </w:pPr>
      <w:bookmarkStart w:id="121" w:name="_bookmark26"/>
      <w:bookmarkEnd w:id="121"/>
      <w:bookmarkStart w:id="122" w:name="第二节　费用"/>
      <w:bookmarkEnd w:id="122"/>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费用</w:t>
      </w:r>
    </w:p>
    <w:p>
      <w:pPr>
        <w:spacing w:before="138"/>
        <w:ind w:left="742" w:right="0" w:firstLine="0"/>
        <w:jc w:val="left"/>
        <w:rPr>
          <w:b/>
          <w:sz w:val="21"/>
        </w:rPr>
      </w:pPr>
      <w:bookmarkStart w:id="123" w:name="一、营业成本"/>
      <w:bookmarkEnd w:id="123"/>
      <w:r>
        <w:rPr>
          <w:b/>
          <w:sz w:val="21"/>
          <w:shd w:val="clear" w:color="auto" w:fill="C0C0C0"/>
        </w:rPr>
        <w:t>一、营业成本</w:t>
      </w:r>
    </w:p>
    <w:p>
      <w:pPr>
        <w:pStyle w:val="5"/>
        <w:spacing w:before="91"/>
      </w:pPr>
      <w:r>
        <w:t>（一）主营业务成本</w:t>
      </w:r>
    </w:p>
    <w:p>
      <w:pPr>
        <w:pStyle w:val="6"/>
        <w:spacing w:before="71"/>
      </w:pPr>
      <w:r>
        <w:t>主营业务成本是指</w:t>
      </w:r>
      <w:r>
        <w:rPr>
          <w:color w:val="FF0000"/>
          <w:u w:val="double" w:color="FF0000"/>
        </w:rPr>
        <w:t>企业销售商品、提供劳务等经常性活动所发生的成本</w:t>
      </w:r>
      <w:r>
        <w:t>。</w:t>
      </w:r>
    </w:p>
    <w:p>
      <w:pPr>
        <w:pStyle w:val="6"/>
        <w:spacing w:before="0"/>
        <w:ind w:left="0"/>
      </w:pPr>
    </w:p>
    <w:p>
      <w:pPr>
        <w:pStyle w:val="5"/>
        <w:spacing w:before="137"/>
      </w:pPr>
      <w:r>
        <w:t>（二）其他业务成本</w:t>
      </w:r>
    </w:p>
    <w:p>
      <w:pPr>
        <w:pStyle w:val="6"/>
        <w:spacing w:before="71" w:line="304" w:lineRule="auto"/>
        <w:ind w:left="322" w:right="722" w:firstLine="400"/>
        <w:jc w:val="both"/>
      </w:pPr>
      <w:r>
        <mc:AlternateContent>
          <mc:Choice Requires="wps">
            <w:drawing>
              <wp:anchor distT="0" distB="0" distL="114300" distR="114300" simplePos="0" relativeHeight="15863808" behindDoc="0" locked="0" layoutInCell="1" allowOverlap="1">
                <wp:simplePos x="0" y="0"/>
                <wp:positionH relativeFrom="page">
                  <wp:posOffset>615950</wp:posOffset>
                </wp:positionH>
                <wp:positionV relativeFrom="paragraph">
                  <wp:posOffset>622300</wp:posOffset>
                </wp:positionV>
                <wp:extent cx="6391910" cy="3155950"/>
                <wp:effectExtent l="0" t="0" r="0" b="0"/>
                <wp:wrapNone/>
                <wp:docPr id="160" name="文本框 259"/>
                <wp:cNvGraphicFramePr/>
                <a:graphic xmlns:a="http://schemas.openxmlformats.org/drawingml/2006/main">
                  <a:graphicData uri="http://schemas.microsoft.com/office/word/2010/wordprocessingShape">
                    <wps:wsp>
                      <wps:cNvSpPr txBox="1"/>
                      <wps:spPr>
                        <a:xfrm>
                          <a:off x="0" y="0"/>
                          <a:ext cx="6391910" cy="315595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85"/>
                              <w:gridCol w:w="68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185" w:type="dxa"/>
                                </w:tcPr>
                                <w:p>
                                  <w:pPr>
                                    <w:pStyle w:val="14"/>
                                    <w:spacing w:before="2"/>
                                    <w:rPr>
                                      <w:sz w:val="18"/>
                                    </w:rPr>
                                  </w:pPr>
                                </w:p>
                                <w:p>
                                  <w:pPr>
                                    <w:pStyle w:val="14"/>
                                    <w:ind w:left="470" w:right="460"/>
                                    <w:jc w:val="center"/>
                                    <w:rPr>
                                      <w:sz w:val="20"/>
                                    </w:rPr>
                                  </w:pPr>
                                  <w:r>
                                    <w:rPr>
                                      <w:sz w:val="20"/>
                                    </w:rPr>
                                    <w:t>销售材料成本</w:t>
                                  </w:r>
                                </w:p>
                              </w:tc>
                              <w:tc>
                                <w:tcPr>
                                  <w:tcW w:w="6866" w:type="dxa"/>
                                </w:tcPr>
                                <w:p>
                                  <w:pPr>
                                    <w:pStyle w:val="14"/>
                                    <w:spacing w:before="9" w:line="326" w:lineRule="exact"/>
                                    <w:ind w:left="908" w:right="4748" w:hanging="401"/>
                                    <w:rPr>
                                      <w:sz w:val="20"/>
                                    </w:rPr>
                                  </w:pPr>
                                  <w:r>
                                    <w:rPr>
                                      <w:sz w:val="20"/>
                                    </w:rPr>
                                    <w:t>借：其他业务成本贷：原材料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3185" w:type="dxa"/>
                                </w:tcPr>
                                <w:p>
                                  <w:pPr>
                                    <w:pStyle w:val="14"/>
                                    <w:spacing w:before="4"/>
                                    <w:rPr>
                                      <w:sz w:val="17"/>
                                    </w:rPr>
                                  </w:pPr>
                                </w:p>
                                <w:p>
                                  <w:pPr>
                                    <w:pStyle w:val="14"/>
                                    <w:ind w:left="470" w:right="465"/>
                                    <w:jc w:val="center"/>
                                    <w:rPr>
                                      <w:sz w:val="20"/>
                                    </w:rPr>
                                  </w:pPr>
                                  <w:r>
                                    <w:rPr>
                                      <w:sz w:val="20"/>
                                    </w:rPr>
                                    <w:t>出租固定资产折旧</w:t>
                                  </w:r>
                                </w:p>
                              </w:tc>
                              <w:tc>
                                <w:tcPr>
                                  <w:tcW w:w="6866" w:type="dxa"/>
                                </w:tcPr>
                                <w:p>
                                  <w:pPr>
                                    <w:pStyle w:val="14"/>
                                    <w:spacing w:before="2" w:line="324" w:lineRule="exact"/>
                                    <w:ind w:left="908" w:right="4745" w:hanging="401"/>
                                    <w:rPr>
                                      <w:sz w:val="20"/>
                                    </w:rPr>
                                  </w:pPr>
                                  <w:r>
                                    <w:rPr>
                                      <w:sz w:val="20"/>
                                    </w:rPr>
                                    <w:t>借：其他业务成本贷：累计折旧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185" w:type="dxa"/>
                                </w:tcPr>
                                <w:p>
                                  <w:pPr>
                                    <w:pStyle w:val="14"/>
                                    <w:spacing w:before="6"/>
                                    <w:rPr>
                                      <w:sz w:val="17"/>
                                    </w:rPr>
                                  </w:pPr>
                                </w:p>
                                <w:p>
                                  <w:pPr>
                                    <w:pStyle w:val="14"/>
                                    <w:ind w:left="470" w:right="465"/>
                                    <w:jc w:val="center"/>
                                    <w:rPr>
                                      <w:sz w:val="20"/>
                                    </w:rPr>
                                  </w:pPr>
                                  <w:r>
                                    <w:rPr>
                                      <w:sz w:val="20"/>
                                    </w:rPr>
                                    <w:t>出租无形资产摊销</w:t>
                                  </w:r>
                                </w:p>
                              </w:tc>
                              <w:tc>
                                <w:tcPr>
                                  <w:tcW w:w="6866" w:type="dxa"/>
                                </w:tcPr>
                                <w:p>
                                  <w:pPr>
                                    <w:pStyle w:val="14"/>
                                    <w:spacing w:line="326" w:lineRule="exact"/>
                                    <w:ind w:left="908" w:right="4745" w:hanging="401"/>
                                    <w:rPr>
                                      <w:sz w:val="20"/>
                                    </w:rPr>
                                  </w:pPr>
                                  <w:r>
                                    <w:rPr>
                                      <w:sz w:val="20"/>
                                    </w:rPr>
                                    <w:t>借：其他业务成本贷：累计摊销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185" w:type="dxa"/>
                                </w:tcPr>
                                <w:p>
                                  <w:pPr>
                                    <w:pStyle w:val="14"/>
                                    <w:spacing w:line="326" w:lineRule="exact"/>
                                    <w:ind w:left="891" w:right="882"/>
                                    <w:rPr>
                                      <w:sz w:val="20"/>
                                    </w:rPr>
                                  </w:pPr>
                                  <w:r>
                                    <w:rPr>
                                      <w:sz w:val="20"/>
                                    </w:rPr>
                                    <w:t>出租包装物摊销出售包装物成本</w:t>
                                  </w:r>
                                </w:p>
                              </w:tc>
                              <w:tc>
                                <w:tcPr>
                                  <w:tcW w:w="6866" w:type="dxa"/>
                                </w:tcPr>
                                <w:p>
                                  <w:pPr>
                                    <w:pStyle w:val="14"/>
                                    <w:spacing w:line="326" w:lineRule="exact"/>
                                    <w:ind w:left="908" w:right="4745" w:hanging="401"/>
                                    <w:rPr>
                                      <w:sz w:val="20"/>
                                    </w:rPr>
                                  </w:pPr>
                                  <w:r>
                                    <w:rPr>
                                      <w:sz w:val="20"/>
                                    </w:rPr>
                                    <w:t>借：其他业务成本贷：周转材料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185" w:type="dxa"/>
                                </w:tcPr>
                                <w:p>
                                  <w:pPr>
                                    <w:pStyle w:val="14"/>
                                    <w:spacing w:before="7"/>
                                    <w:rPr>
                                      <w:sz w:val="17"/>
                                    </w:rPr>
                                  </w:pPr>
                                </w:p>
                                <w:p>
                                  <w:pPr>
                                    <w:pStyle w:val="14"/>
                                    <w:ind w:left="470" w:right="465"/>
                                    <w:jc w:val="center"/>
                                    <w:rPr>
                                      <w:sz w:val="20"/>
                                    </w:rPr>
                                  </w:pPr>
                                  <w:r>
                                    <w:rPr>
                                      <w:sz w:val="20"/>
                                    </w:rPr>
                                    <w:t>投资性房地产折旧或摊销</w:t>
                                  </w:r>
                                </w:p>
                              </w:tc>
                              <w:tc>
                                <w:tcPr>
                                  <w:tcW w:w="6866" w:type="dxa"/>
                                </w:tcPr>
                                <w:p>
                                  <w:pPr>
                                    <w:pStyle w:val="14"/>
                                    <w:spacing w:before="62"/>
                                    <w:ind w:left="507"/>
                                    <w:rPr>
                                      <w:sz w:val="20"/>
                                    </w:rPr>
                                  </w:pPr>
                                  <w:r>
                                    <w:rPr>
                                      <w:sz w:val="20"/>
                                    </w:rPr>
                                    <w:t>借：其他业务成本</w:t>
                                  </w:r>
                                </w:p>
                                <w:p>
                                  <w:pPr>
                                    <w:pStyle w:val="14"/>
                                    <w:spacing w:before="70" w:line="237" w:lineRule="exact"/>
                                    <w:ind w:left="908"/>
                                    <w:rPr>
                                      <w:sz w:val="20"/>
                                    </w:rPr>
                                  </w:pPr>
                                  <w:r>
                                    <w:rPr>
                                      <w:sz w:val="20"/>
                                    </w:rPr>
                                    <w:t>贷：投资性房地产累计折旧/摊销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3185" w:type="dxa"/>
                                </w:tcPr>
                                <w:p>
                                  <w:pPr>
                                    <w:pStyle w:val="14"/>
                                    <w:rPr>
                                      <w:sz w:val="20"/>
                                    </w:rPr>
                                  </w:pPr>
                                </w:p>
                                <w:p>
                                  <w:pPr>
                                    <w:pStyle w:val="14"/>
                                    <w:spacing w:before="139"/>
                                    <w:ind w:left="470" w:right="465"/>
                                    <w:jc w:val="center"/>
                                    <w:rPr>
                                      <w:sz w:val="20"/>
                                    </w:rPr>
                                  </w:pPr>
                                  <w:r>
                                    <w:rPr>
                                      <w:sz w:val="20"/>
                                    </w:rPr>
                                    <w:t>处置投资性房地产</w:t>
                                  </w:r>
                                </w:p>
                              </w:tc>
                              <w:tc>
                                <w:tcPr>
                                  <w:tcW w:w="6866" w:type="dxa"/>
                                </w:tcPr>
                                <w:p>
                                  <w:pPr>
                                    <w:pStyle w:val="14"/>
                                    <w:spacing w:before="69"/>
                                    <w:ind w:left="507"/>
                                    <w:rPr>
                                      <w:sz w:val="20"/>
                                    </w:rPr>
                                  </w:pPr>
                                  <w:r>
                                    <w:rPr>
                                      <w:sz w:val="20"/>
                                    </w:rPr>
                                    <w:t>借：其他业务成本</w:t>
                                  </w:r>
                                </w:p>
                                <w:p>
                                  <w:pPr>
                                    <w:pStyle w:val="14"/>
                                    <w:spacing w:before="7" w:line="320" w:lineRule="atLeast"/>
                                    <w:ind w:left="908" w:right="2908"/>
                                    <w:rPr>
                                      <w:sz w:val="20"/>
                                    </w:rPr>
                                  </w:pPr>
                                  <w:r>
                                    <w:rPr>
                                      <w:sz w:val="20"/>
                                    </w:rPr>
                                    <w:t>投资性房地产累计折旧/摊销/准备贷：投资性房地产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185" w:type="dxa"/>
                                </w:tcPr>
                                <w:p>
                                  <w:pPr>
                                    <w:pStyle w:val="14"/>
                                    <w:rPr>
                                      <w:sz w:val="18"/>
                                    </w:rPr>
                                  </w:pPr>
                                </w:p>
                                <w:p>
                                  <w:pPr>
                                    <w:pStyle w:val="14"/>
                                    <w:ind w:left="470" w:right="460"/>
                                    <w:jc w:val="center"/>
                                    <w:rPr>
                                      <w:sz w:val="20"/>
                                    </w:rPr>
                                  </w:pPr>
                                  <w:r>
                                    <w:rPr>
                                      <w:sz w:val="20"/>
                                    </w:rPr>
                                    <w:t>转入本年利润</w:t>
                                  </w:r>
                                </w:p>
                              </w:tc>
                              <w:tc>
                                <w:tcPr>
                                  <w:tcW w:w="6866" w:type="dxa"/>
                                </w:tcPr>
                                <w:p>
                                  <w:pPr>
                                    <w:pStyle w:val="14"/>
                                    <w:spacing w:before="70"/>
                                    <w:ind w:left="507"/>
                                    <w:rPr>
                                      <w:sz w:val="20"/>
                                    </w:rPr>
                                  </w:pPr>
                                  <w:r>
                                    <w:rPr>
                                      <w:sz w:val="20"/>
                                    </w:rPr>
                                    <w:t>借：本年利润</w:t>
                                  </w:r>
                                </w:p>
                                <w:p>
                                  <w:pPr>
                                    <w:pStyle w:val="14"/>
                                    <w:spacing w:before="68" w:line="238" w:lineRule="exact"/>
                                    <w:ind w:left="908"/>
                                    <w:rPr>
                                      <w:sz w:val="20"/>
                                    </w:rPr>
                                  </w:pPr>
                                  <w:r>
                                    <w:rPr>
                                      <w:sz w:val="20"/>
                                    </w:rPr>
                                    <w:t>贷：其他业务成本</w:t>
                                  </w:r>
                                </w:p>
                              </w:tc>
                            </w:tr>
                          </w:tbl>
                          <w:p>
                            <w:pPr>
                              <w:pStyle w:val="6"/>
                              <w:spacing w:before="0"/>
                              <w:ind w:left="0"/>
                            </w:pPr>
                          </w:p>
                        </w:txbxContent>
                      </wps:txbx>
                      <wps:bodyPr lIns="0" tIns="0" rIns="0" bIns="0" upright="1"/>
                    </wps:wsp>
                  </a:graphicData>
                </a:graphic>
              </wp:anchor>
            </w:drawing>
          </mc:Choice>
          <mc:Fallback>
            <w:pict>
              <v:shape id="文本框 259" o:spid="_x0000_s1026" o:spt="202" type="#_x0000_t202" style="position:absolute;left:0pt;margin-left:48.5pt;margin-top:49pt;height:248.5pt;width:503.3pt;mso-position-horizontal-relative:page;z-index:15863808;mso-width-relative:page;mso-height-relative:page;" filled="f" stroked="f" coordsize="21600,21600" o:gfxdata="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hHYY82AAAAAoBAAAPAAAA&#10;AAAAAAEAIAAAACIAAABkcnMvZG93bnJldi54bWxQSwECFAAUAAAACACHTuJAG/Y6naMBAAApAwAA&#10;DgAAAAAAAAABACAAAAAn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85"/>
                        <w:gridCol w:w="68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185" w:type="dxa"/>
                          </w:tcPr>
                          <w:p>
                            <w:pPr>
                              <w:pStyle w:val="14"/>
                              <w:spacing w:before="2"/>
                              <w:rPr>
                                <w:sz w:val="18"/>
                              </w:rPr>
                            </w:pPr>
                          </w:p>
                          <w:p>
                            <w:pPr>
                              <w:pStyle w:val="14"/>
                              <w:ind w:left="470" w:right="460"/>
                              <w:jc w:val="center"/>
                              <w:rPr>
                                <w:sz w:val="20"/>
                              </w:rPr>
                            </w:pPr>
                            <w:r>
                              <w:rPr>
                                <w:sz w:val="20"/>
                              </w:rPr>
                              <w:t>销售材料成本</w:t>
                            </w:r>
                          </w:p>
                        </w:tc>
                        <w:tc>
                          <w:tcPr>
                            <w:tcW w:w="6866" w:type="dxa"/>
                          </w:tcPr>
                          <w:p>
                            <w:pPr>
                              <w:pStyle w:val="14"/>
                              <w:spacing w:before="9" w:line="326" w:lineRule="exact"/>
                              <w:ind w:left="908" w:right="4748" w:hanging="401"/>
                              <w:rPr>
                                <w:sz w:val="20"/>
                              </w:rPr>
                            </w:pPr>
                            <w:r>
                              <w:rPr>
                                <w:sz w:val="20"/>
                              </w:rPr>
                              <w:t>借：其他业务成本贷：原材料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3185" w:type="dxa"/>
                          </w:tcPr>
                          <w:p>
                            <w:pPr>
                              <w:pStyle w:val="14"/>
                              <w:spacing w:before="4"/>
                              <w:rPr>
                                <w:sz w:val="17"/>
                              </w:rPr>
                            </w:pPr>
                          </w:p>
                          <w:p>
                            <w:pPr>
                              <w:pStyle w:val="14"/>
                              <w:ind w:left="470" w:right="465"/>
                              <w:jc w:val="center"/>
                              <w:rPr>
                                <w:sz w:val="20"/>
                              </w:rPr>
                            </w:pPr>
                            <w:r>
                              <w:rPr>
                                <w:sz w:val="20"/>
                              </w:rPr>
                              <w:t>出租固定资产折旧</w:t>
                            </w:r>
                          </w:p>
                        </w:tc>
                        <w:tc>
                          <w:tcPr>
                            <w:tcW w:w="6866" w:type="dxa"/>
                          </w:tcPr>
                          <w:p>
                            <w:pPr>
                              <w:pStyle w:val="14"/>
                              <w:spacing w:before="2" w:line="324" w:lineRule="exact"/>
                              <w:ind w:left="908" w:right="4745" w:hanging="401"/>
                              <w:rPr>
                                <w:sz w:val="20"/>
                              </w:rPr>
                            </w:pPr>
                            <w:r>
                              <w:rPr>
                                <w:sz w:val="20"/>
                              </w:rPr>
                              <w:t>借：其他业务成本贷：累计折旧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185" w:type="dxa"/>
                          </w:tcPr>
                          <w:p>
                            <w:pPr>
                              <w:pStyle w:val="14"/>
                              <w:spacing w:before="6"/>
                              <w:rPr>
                                <w:sz w:val="17"/>
                              </w:rPr>
                            </w:pPr>
                          </w:p>
                          <w:p>
                            <w:pPr>
                              <w:pStyle w:val="14"/>
                              <w:ind w:left="470" w:right="465"/>
                              <w:jc w:val="center"/>
                              <w:rPr>
                                <w:sz w:val="20"/>
                              </w:rPr>
                            </w:pPr>
                            <w:r>
                              <w:rPr>
                                <w:sz w:val="20"/>
                              </w:rPr>
                              <w:t>出租无形资产摊销</w:t>
                            </w:r>
                          </w:p>
                        </w:tc>
                        <w:tc>
                          <w:tcPr>
                            <w:tcW w:w="6866" w:type="dxa"/>
                          </w:tcPr>
                          <w:p>
                            <w:pPr>
                              <w:pStyle w:val="14"/>
                              <w:spacing w:line="326" w:lineRule="exact"/>
                              <w:ind w:left="908" w:right="4745" w:hanging="401"/>
                              <w:rPr>
                                <w:sz w:val="20"/>
                              </w:rPr>
                            </w:pPr>
                            <w:r>
                              <w:rPr>
                                <w:sz w:val="20"/>
                              </w:rPr>
                              <w:t>借：其他业务成本贷：累计摊销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185" w:type="dxa"/>
                          </w:tcPr>
                          <w:p>
                            <w:pPr>
                              <w:pStyle w:val="14"/>
                              <w:spacing w:line="326" w:lineRule="exact"/>
                              <w:ind w:left="891" w:right="882"/>
                              <w:rPr>
                                <w:sz w:val="20"/>
                              </w:rPr>
                            </w:pPr>
                            <w:r>
                              <w:rPr>
                                <w:sz w:val="20"/>
                              </w:rPr>
                              <w:t>出租包装物摊销出售包装物成本</w:t>
                            </w:r>
                          </w:p>
                        </w:tc>
                        <w:tc>
                          <w:tcPr>
                            <w:tcW w:w="6866" w:type="dxa"/>
                          </w:tcPr>
                          <w:p>
                            <w:pPr>
                              <w:pStyle w:val="14"/>
                              <w:spacing w:line="326" w:lineRule="exact"/>
                              <w:ind w:left="908" w:right="4745" w:hanging="401"/>
                              <w:rPr>
                                <w:sz w:val="20"/>
                              </w:rPr>
                            </w:pPr>
                            <w:r>
                              <w:rPr>
                                <w:sz w:val="20"/>
                              </w:rPr>
                              <w:t>借：其他业务成本贷：周转材料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3185" w:type="dxa"/>
                          </w:tcPr>
                          <w:p>
                            <w:pPr>
                              <w:pStyle w:val="14"/>
                              <w:spacing w:before="7"/>
                              <w:rPr>
                                <w:sz w:val="17"/>
                              </w:rPr>
                            </w:pPr>
                          </w:p>
                          <w:p>
                            <w:pPr>
                              <w:pStyle w:val="14"/>
                              <w:ind w:left="470" w:right="465"/>
                              <w:jc w:val="center"/>
                              <w:rPr>
                                <w:sz w:val="20"/>
                              </w:rPr>
                            </w:pPr>
                            <w:r>
                              <w:rPr>
                                <w:sz w:val="20"/>
                              </w:rPr>
                              <w:t>投资性房地产折旧或摊销</w:t>
                            </w:r>
                          </w:p>
                        </w:tc>
                        <w:tc>
                          <w:tcPr>
                            <w:tcW w:w="6866" w:type="dxa"/>
                          </w:tcPr>
                          <w:p>
                            <w:pPr>
                              <w:pStyle w:val="14"/>
                              <w:spacing w:before="62"/>
                              <w:ind w:left="507"/>
                              <w:rPr>
                                <w:sz w:val="20"/>
                              </w:rPr>
                            </w:pPr>
                            <w:r>
                              <w:rPr>
                                <w:sz w:val="20"/>
                              </w:rPr>
                              <w:t>借：其他业务成本</w:t>
                            </w:r>
                          </w:p>
                          <w:p>
                            <w:pPr>
                              <w:pStyle w:val="14"/>
                              <w:spacing w:before="70" w:line="237" w:lineRule="exact"/>
                              <w:ind w:left="908"/>
                              <w:rPr>
                                <w:sz w:val="20"/>
                              </w:rPr>
                            </w:pPr>
                            <w:r>
                              <w:rPr>
                                <w:sz w:val="20"/>
                              </w:rPr>
                              <w:t>贷：投资性房地产累计折旧/摊销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3185" w:type="dxa"/>
                          </w:tcPr>
                          <w:p>
                            <w:pPr>
                              <w:pStyle w:val="14"/>
                              <w:rPr>
                                <w:sz w:val="20"/>
                              </w:rPr>
                            </w:pPr>
                          </w:p>
                          <w:p>
                            <w:pPr>
                              <w:pStyle w:val="14"/>
                              <w:spacing w:before="139"/>
                              <w:ind w:left="470" w:right="465"/>
                              <w:jc w:val="center"/>
                              <w:rPr>
                                <w:sz w:val="20"/>
                              </w:rPr>
                            </w:pPr>
                            <w:r>
                              <w:rPr>
                                <w:sz w:val="20"/>
                              </w:rPr>
                              <w:t>处置投资性房地产</w:t>
                            </w:r>
                          </w:p>
                        </w:tc>
                        <w:tc>
                          <w:tcPr>
                            <w:tcW w:w="6866" w:type="dxa"/>
                          </w:tcPr>
                          <w:p>
                            <w:pPr>
                              <w:pStyle w:val="14"/>
                              <w:spacing w:before="69"/>
                              <w:ind w:left="507"/>
                              <w:rPr>
                                <w:sz w:val="20"/>
                              </w:rPr>
                            </w:pPr>
                            <w:r>
                              <w:rPr>
                                <w:sz w:val="20"/>
                              </w:rPr>
                              <w:t>借：其他业务成本</w:t>
                            </w:r>
                          </w:p>
                          <w:p>
                            <w:pPr>
                              <w:pStyle w:val="14"/>
                              <w:spacing w:before="7" w:line="320" w:lineRule="atLeast"/>
                              <w:ind w:left="908" w:right="2908"/>
                              <w:rPr>
                                <w:sz w:val="20"/>
                              </w:rPr>
                            </w:pPr>
                            <w:r>
                              <w:rPr>
                                <w:sz w:val="20"/>
                              </w:rPr>
                              <w:t>投资性房地产累计折旧/摊销/准备贷：投资性房地产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185" w:type="dxa"/>
                          </w:tcPr>
                          <w:p>
                            <w:pPr>
                              <w:pStyle w:val="14"/>
                              <w:rPr>
                                <w:sz w:val="18"/>
                              </w:rPr>
                            </w:pPr>
                          </w:p>
                          <w:p>
                            <w:pPr>
                              <w:pStyle w:val="14"/>
                              <w:ind w:left="470" w:right="460"/>
                              <w:jc w:val="center"/>
                              <w:rPr>
                                <w:sz w:val="20"/>
                              </w:rPr>
                            </w:pPr>
                            <w:r>
                              <w:rPr>
                                <w:sz w:val="20"/>
                              </w:rPr>
                              <w:t>转入本年利润</w:t>
                            </w:r>
                          </w:p>
                        </w:tc>
                        <w:tc>
                          <w:tcPr>
                            <w:tcW w:w="6866" w:type="dxa"/>
                          </w:tcPr>
                          <w:p>
                            <w:pPr>
                              <w:pStyle w:val="14"/>
                              <w:spacing w:before="70"/>
                              <w:ind w:left="507"/>
                              <w:rPr>
                                <w:sz w:val="20"/>
                              </w:rPr>
                            </w:pPr>
                            <w:r>
                              <w:rPr>
                                <w:sz w:val="20"/>
                              </w:rPr>
                              <w:t>借：本年利润</w:t>
                            </w:r>
                          </w:p>
                          <w:p>
                            <w:pPr>
                              <w:pStyle w:val="14"/>
                              <w:spacing w:before="68" w:line="238" w:lineRule="exact"/>
                              <w:ind w:left="908"/>
                              <w:rPr>
                                <w:sz w:val="20"/>
                              </w:rPr>
                            </w:pPr>
                            <w:r>
                              <w:rPr>
                                <w:sz w:val="20"/>
                              </w:rPr>
                              <w:t>贷：其他业务成本</w:t>
                            </w:r>
                          </w:p>
                        </w:tc>
                      </w:tr>
                    </w:tbl>
                    <w:p>
                      <w:pPr>
                        <w:pStyle w:val="6"/>
                        <w:spacing w:before="0"/>
                        <w:ind w:left="0"/>
                      </w:pPr>
                    </w:p>
                  </w:txbxContent>
                </v:textbox>
              </v:shape>
            </w:pict>
          </mc:Fallback>
        </mc:AlternateContent>
      </w:r>
      <w:r>
        <w:rPr>
          <w:w w:val="95"/>
        </w:rPr>
        <w:t>其他业务成本核算内容包括</w:t>
      </w:r>
      <w:r>
        <w:rPr>
          <w:color w:val="FF0000"/>
          <w:spacing w:val="-5"/>
          <w:w w:val="95"/>
          <w:u w:val="double" w:color="FF0000"/>
        </w:rPr>
        <w:t>销售材料的成本、出租固定资产的折旧额、出租无形资产的摊销额、出租包装物</w:t>
      </w:r>
      <w:r>
        <w:rPr>
          <w:color w:val="FF0000"/>
          <w:spacing w:val="-199"/>
          <w:w w:val="95"/>
          <w:u w:val="double" w:color="FF0000"/>
        </w:rPr>
        <w:t>的</w:t>
      </w:r>
      <w:r>
        <w:rPr>
          <w:color w:val="FF0000"/>
          <w:spacing w:val="188"/>
          <w:w w:val="95"/>
          <w:u w:val="double" w:color="FF0000"/>
        </w:rPr>
        <w:t xml:space="preserve"> </w:t>
      </w:r>
      <w:r>
        <w:rPr>
          <w:color w:val="FF0000"/>
          <w:u w:val="double" w:color="FF0000"/>
        </w:rPr>
        <w:t>成本或摊销额等</w:t>
      </w:r>
      <w:r>
        <w:rPr>
          <w:spacing w:val="-10"/>
        </w:rPr>
        <w:t>，采用</w:t>
      </w:r>
      <w:r>
        <w:rPr>
          <w:color w:val="FF0000"/>
          <w:u w:val="double" w:color="FF0000"/>
        </w:rPr>
        <w:t>成本模式</w:t>
      </w:r>
      <w:r>
        <w:rPr>
          <w:spacing w:val="-3"/>
        </w:rPr>
        <w:t>计量投资性房地产的，其投资性房地产计提的</w:t>
      </w:r>
      <w:r>
        <w:rPr>
          <w:color w:val="FF0000"/>
          <w:u w:val="double" w:color="FF0000"/>
        </w:rPr>
        <w:t>折旧额或摊销额</w:t>
      </w:r>
      <w:r>
        <w:t>也构成其他业务 成本。</w:t>
      </w:r>
    </w:p>
    <w:p>
      <w:pPr>
        <w:spacing w:after="0" w:line="304" w:lineRule="auto"/>
        <w:jc w:val="both"/>
        <w:sectPr>
          <w:pgSz w:w="11910" w:h="16160"/>
          <w:pgMar w:top="1680" w:right="360" w:bottom="860" w:left="760" w:header="0" w:footer="548" w:gutter="0"/>
        </w:sectPr>
      </w:pPr>
    </w:p>
    <w:p>
      <w:pPr>
        <w:pStyle w:val="6"/>
        <w:spacing w:before="2"/>
        <w:ind w:left="0"/>
        <w:rPr>
          <w:sz w:val="10"/>
        </w:rPr>
      </w:pPr>
    </w:p>
    <w:p>
      <w:pPr>
        <w:spacing w:before="70"/>
        <w:ind w:left="742" w:right="0" w:firstLine="0"/>
        <w:jc w:val="left"/>
        <w:rPr>
          <w:b/>
          <w:sz w:val="21"/>
        </w:rPr>
      </w:pPr>
      <w:bookmarkStart w:id="124" w:name="二、税金及附加"/>
      <w:bookmarkEnd w:id="124"/>
      <w:r>
        <w:rPr>
          <w:b/>
          <w:sz w:val="21"/>
          <w:shd w:val="clear" w:color="auto" w:fill="C0C0C0"/>
        </w:rPr>
        <w:t>二、税金及附加</w:t>
      </w:r>
    </w:p>
    <w:p>
      <w:pPr>
        <w:spacing w:before="91" w:line="304" w:lineRule="auto"/>
        <w:ind w:left="322" w:right="722" w:firstLine="400"/>
        <w:jc w:val="left"/>
        <w:rPr>
          <w:sz w:val="20"/>
        </w:rPr>
      </w:pPr>
      <w:r>
        <mc:AlternateContent>
          <mc:Choice Requires="wps">
            <w:drawing>
              <wp:anchor distT="0" distB="0" distL="114300" distR="114300" simplePos="0" relativeHeight="15865856" behindDoc="0" locked="0" layoutInCell="1" allowOverlap="1">
                <wp:simplePos x="0" y="0"/>
                <wp:positionH relativeFrom="page">
                  <wp:posOffset>615950</wp:posOffset>
                </wp:positionH>
                <wp:positionV relativeFrom="paragraph">
                  <wp:posOffset>427990</wp:posOffset>
                </wp:positionV>
                <wp:extent cx="6391910" cy="1286510"/>
                <wp:effectExtent l="0" t="0" r="0" b="0"/>
                <wp:wrapNone/>
                <wp:docPr id="161" name="文本框 260"/>
                <wp:cNvGraphicFramePr/>
                <a:graphic xmlns:a="http://schemas.openxmlformats.org/drawingml/2006/main">
                  <a:graphicData uri="http://schemas.microsoft.com/office/word/2010/wordprocessingShape">
                    <wps:wsp>
                      <wps:cNvSpPr txBox="1"/>
                      <wps:spPr>
                        <a:xfrm>
                          <a:off x="0" y="0"/>
                          <a:ext cx="6391910" cy="128651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1"/>
                              <w:gridCol w:w="4260"/>
                              <w:gridCol w:w="240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tcPr>
                                <w:p>
                                  <w:pPr>
                                    <w:pStyle w:val="14"/>
                                    <w:spacing w:before="69" w:line="237" w:lineRule="exact"/>
                                    <w:ind w:left="393" w:right="388"/>
                                    <w:jc w:val="center"/>
                                    <w:rPr>
                                      <w:sz w:val="20"/>
                                    </w:rPr>
                                  </w:pPr>
                                  <w:r>
                                    <w:rPr>
                                      <w:sz w:val="20"/>
                                    </w:rPr>
                                    <w:t>税种</w:t>
                                  </w:r>
                                </w:p>
                              </w:tc>
                              <w:tc>
                                <w:tcPr>
                                  <w:tcW w:w="6660" w:type="dxa"/>
                                  <w:gridSpan w:val="2"/>
                                </w:tcPr>
                                <w:p>
                                  <w:pPr>
                                    <w:pStyle w:val="14"/>
                                    <w:spacing w:before="69" w:line="237" w:lineRule="exact"/>
                                    <w:ind w:left="2909" w:right="2901"/>
                                    <w:jc w:val="center"/>
                                    <w:rPr>
                                      <w:sz w:val="20"/>
                                    </w:rPr>
                                  </w:pPr>
                                  <w:r>
                                    <w:rPr>
                                      <w:sz w:val="20"/>
                                    </w:rPr>
                                    <w:t>处理原则</w:t>
                                  </w:r>
                                </w:p>
                              </w:tc>
                              <w:tc>
                                <w:tcPr>
                                  <w:tcW w:w="2160" w:type="dxa"/>
                                </w:tcPr>
                                <w:p>
                                  <w:pPr>
                                    <w:pStyle w:val="14"/>
                                    <w:spacing w:before="69" w:line="237" w:lineRule="exact"/>
                                    <w:ind w:left="880"/>
                                    <w:rPr>
                                      <w:sz w:val="20"/>
                                    </w:rPr>
                                  </w:pPr>
                                  <w:r>
                                    <w:rPr>
                                      <w:sz w:val="20"/>
                                    </w:rPr>
                                    <w:t>交税分录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31" w:type="dxa"/>
                                  <w:vMerge w:val="restart"/>
                                </w:tcPr>
                                <w:p>
                                  <w:pPr>
                                    <w:pStyle w:val="14"/>
                                    <w:rPr>
                                      <w:sz w:val="20"/>
                                    </w:rPr>
                                  </w:pPr>
                                </w:p>
                                <w:p>
                                  <w:pPr>
                                    <w:pStyle w:val="14"/>
                                    <w:spacing w:before="148"/>
                                    <w:ind w:left="313"/>
                                    <w:rPr>
                                      <w:sz w:val="20"/>
                                    </w:rPr>
                                  </w:pPr>
                                  <w:r>
                                    <w:rPr>
                                      <w:sz w:val="20"/>
                                    </w:rPr>
                                    <w:t>消费税</w:t>
                                  </w:r>
                                </w:p>
                              </w:tc>
                              <w:tc>
                                <w:tcPr>
                                  <w:tcW w:w="4260" w:type="dxa"/>
                                </w:tcPr>
                                <w:p>
                                  <w:pPr>
                                    <w:pStyle w:val="14"/>
                                    <w:spacing w:before="69" w:line="237" w:lineRule="exact"/>
                                    <w:ind w:left="508"/>
                                    <w:rPr>
                                      <w:sz w:val="20"/>
                                    </w:rPr>
                                  </w:pPr>
                                  <w:r>
                                    <w:rPr>
                                      <w:sz w:val="20"/>
                                    </w:rPr>
                                    <w:t>①销售、职工福利、个人消费</w:t>
                                  </w:r>
                                </w:p>
                              </w:tc>
                              <w:tc>
                                <w:tcPr>
                                  <w:tcW w:w="2400" w:type="dxa"/>
                                </w:tcPr>
                                <w:p>
                                  <w:pPr>
                                    <w:pStyle w:val="14"/>
                                    <w:spacing w:before="69" w:line="237" w:lineRule="exact"/>
                                    <w:ind w:left="178" w:right="170"/>
                                    <w:jc w:val="center"/>
                                    <w:rPr>
                                      <w:sz w:val="20"/>
                                    </w:rPr>
                                  </w:pPr>
                                  <w:r>
                                    <w:rPr>
                                      <w:sz w:val="20"/>
                                    </w:rPr>
                                    <w:t>税金及附加</w:t>
                                  </w:r>
                                </w:p>
                              </w:tc>
                              <w:tc>
                                <w:tcPr>
                                  <w:tcW w:w="2160" w:type="dxa"/>
                                  <w:vMerge w:val="restart"/>
                                </w:tcPr>
                                <w:p>
                                  <w:pPr>
                                    <w:pStyle w:val="14"/>
                                    <w:rPr>
                                      <w:sz w:val="20"/>
                                    </w:rPr>
                                  </w:pPr>
                                </w:p>
                                <w:p>
                                  <w:pPr>
                                    <w:pStyle w:val="14"/>
                                    <w:spacing w:before="1"/>
                                    <w:rPr>
                                      <w:sz w:val="25"/>
                                    </w:rPr>
                                  </w:pPr>
                                </w:p>
                                <w:p>
                                  <w:pPr>
                                    <w:pStyle w:val="14"/>
                                    <w:ind w:left="107"/>
                                    <w:rPr>
                                      <w:sz w:val="20"/>
                                    </w:rPr>
                                  </w:pPr>
                                  <w:r>
                                    <w:rPr>
                                      <w:sz w:val="20"/>
                                    </w:rPr>
                                    <w:t>借：应交税费</w:t>
                                  </w:r>
                                </w:p>
                                <w:p>
                                  <w:pPr>
                                    <w:pStyle w:val="14"/>
                                    <w:spacing w:before="70"/>
                                    <w:ind w:left="508"/>
                                    <w:rPr>
                                      <w:sz w:val="20"/>
                                    </w:rPr>
                                  </w:pP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vMerge w:val="continue"/>
                                  <w:tcBorders>
                                    <w:top w:val="nil"/>
                                  </w:tcBorders>
                                </w:tcPr>
                                <w:p>
                                  <w:pPr>
                                    <w:rPr>
                                      <w:sz w:val="2"/>
                                      <w:szCs w:val="2"/>
                                    </w:rPr>
                                  </w:pPr>
                                </w:p>
                              </w:tc>
                              <w:tc>
                                <w:tcPr>
                                  <w:tcW w:w="4260" w:type="dxa"/>
                                </w:tcPr>
                                <w:p>
                                  <w:pPr>
                                    <w:pStyle w:val="14"/>
                                    <w:spacing w:before="69" w:line="237" w:lineRule="exact"/>
                                    <w:ind w:left="508"/>
                                    <w:rPr>
                                      <w:sz w:val="20"/>
                                    </w:rPr>
                                  </w:pPr>
                                  <w:r>
                                    <w:rPr>
                                      <w:sz w:val="20"/>
                                    </w:rPr>
                                    <w:t>②固定资产、委托加工直接销售、进口</w:t>
                                  </w:r>
                                </w:p>
                              </w:tc>
                              <w:tc>
                                <w:tcPr>
                                  <w:tcW w:w="2400" w:type="dxa"/>
                                </w:tcPr>
                                <w:p>
                                  <w:pPr>
                                    <w:pStyle w:val="14"/>
                                    <w:spacing w:before="69" w:line="237" w:lineRule="exact"/>
                                    <w:ind w:left="178" w:right="170"/>
                                    <w:jc w:val="center"/>
                                    <w:rPr>
                                      <w:sz w:val="20"/>
                                    </w:rPr>
                                  </w:pPr>
                                  <w:r>
                                    <w:rPr>
                                      <w:sz w:val="20"/>
                                    </w:rPr>
                                    <w:t>成本</w:t>
                                  </w:r>
                                </w:p>
                              </w:tc>
                              <w:tc>
                                <w:tcPr>
                                  <w:tcW w:w="216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vMerge w:val="continue"/>
                                  <w:tcBorders>
                                    <w:top w:val="nil"/>
                                  </w:tcBorders>
                                </w:tcPr>
                                <w:p>
                                  <w:pPr>
                                    <w:rPr>
                                      <w:sz w:val="2"/>
                                      <w:szCs w:val="2"/>
                                    </w:rPr>
                                  </w:pPr>
                                </w:p>
                              </w:tc>
                              <w:tc>
                                <w:tcPr>
                                  <w:tcW w:w="4260" w:type="dxa"/>
                                </w:tcPr>
                                <w:p>
                                  <w:pPr>
                                    <w:pStyle w:val="14"/>
                                    <w:spacing w:before="69" w:line="237" w:lineRule="exact"/>
                                    <w:ind w:left="508"/>
                                    <w:rPr>
                                      <w:sz w:val="20"/>
                                    </w:rPr>
                                  </w:pPr>
                                  <w:r>
                                    <w:rPr>
                                      <w:sz w:val="20"/>
                                    </w:rPr>
                                    <w:t>③委托加工收回连续加工</w:t>
                                  </w:r>
                                </w:p>
                              </w:tc>
                              <w:tc>
                                <w:tcPr>
                                  <w:tcW w:w="2400" w:type="dxa"/>
                                </w:tcPr>
                                <w:p>
                                  <w:pPr>
                                    <w:pStyle w:val="14"/>
                                    <w:spacing w:before="69" w:line="237" w:lineRule="exact"/>
                                    <w:ind w:left="178" w:right="170"/>
                                    <w:jc w:val="center"/>
                                    <w:rPr>
                                      <w:sz w:val="20"/>
                                    </w:rPr>
                                  </w:pPr>
                                  <w:r>
                                    <w:rPr>
                                      <w:sz w:val="20"/>
                                    </w:rPr>
                                    <w:t>应交消费税</w:t>
                                  </w:r>
                                </w:p>
                              </w:tc>
                              <w:tc>
                                <w:tcPr>
                                  <w:tcW w:w="216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31" w:type="dxa"/>
                                  <w:vMerge w:val="restart"/>
                                </w:tcPr>
                                <w:p>
                                  <w:pPr>
                                    <w:pStyle w:val="14"/>
                                    <w:spacing w:before="6"/>
                                    <w:rPr>
                                      <w:sz w:val="18"/>
                                    </w:rPr>
                                  </w:pPr>
                                </w:p>
                                <w:p>
                                  <w:pPr>
                                    <w:pStyle w:val="14"/>
                                    <w:ind w:left="313"/>
                                    <w:rPr>
                                      <w:sz w:val="20"/>
                                    </w:rPr>
                                  </w:pPr>
                                  <w:r>
                                    <w:rPr>
                                      <w:sz w:val="20"/>
                                    </w:rPr>
                                    <w:t>资源税</w:t>
                                  </w:r>
                                </w:p>
                              </w:tc>
                              <w:tc>
                                <w:tcPr>
                                  <w:tcW w:w="4260" w:type="dxa"/>
                                </w:tcPr>
                                <w:p>
                                  <w:pPr>
                                    <w:pStyle w:val="14"/>
                                    <w:spacing w:before="69" w:line="237" w:lineRule="exact"/>
                                    <w:ind w:left="508"/>
                                    <w:rPr>
                                      <w:sz w:val="20"/>
                                    </w:rPr>
                                  </w:pPr>
                                  <w:r>
                                    <w:rPr>
                                      <w:sz w:val="20"/>
                                    </w:rPr>
                                    <w:t>①销售</w:t>
                                  </w:r>
                                </w:p>
                              </w:tc>
                              <w:tc>
                                <w:tcPr>
                                  <w:tcW w:w="2400" w:type="dxa"/>
                                </w:tcPr>
                                <w:p>
                                  <w:pPr>
                                    <w:pStyle w:val="14"/>
                                    <w:spacing w:before="69" w:line="237" w:lineRule="exact"/>
                                    <w:ind w:left="178" w:right="170"/>
                                    <w:jc w:val="center"/>
                                    <w:rPr>
                                      <w:sz w:val="20"/>
                                    </w:rPr>
                                  </w:pPr>
                                  <w:r>
                                    <w:rPr>
                                      <w:sz w:val="20"/>
                                    </w:rPr>
                                    <w:t>税金及附加</w:t>
                                  </w:r>
                                </w:p>
                              </w:tc>
                              <w:tc>
                                <w:tcPr>
                                  <w:tcW w:w="216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vMerge w:val="continue"/>
                                  <w:tcBorders>
                                    <w:top w:val="nil"/>
                                  </w:tcBorders>
                                </w:tcPr>
                                <w:p>
                                  <w:pPr>
                                    <w:rPr>
                                      <w:sz w:val="2"/>
                                      <w:szCs w:val="2"/>
                                    </w:rPr>
                                  </w:pPr>
                                </w:p>
                              </w:tc>
                              <w:tc>
                                <w:tcPr>
                                  <w:tcW w:w="4260" w:type="dxa"/>
                                </w:tcPr>
                                <w:p>
                                  <w:pPr>
                                    <w:pStyle w:val="14"/>
                                    <w:spacing w:before="69" w:line="237" w:lineRule="exact"/>
                                    <w:ind w:left="508"/>
                                    <w:rPr>
                                      <w:sz w:val="20"/>
                                    </w:rPr>
                                  </w:pPr>
                                  <w:r>
                                    <w:rPr>
                                      <w:sz w:val="20"/>
                                    </w:rPr>
                                    <w:t>②自产自用</w:t>
                                  </w:r>
                                </w:p>
                              </w:tc>
                              <w:tc>
                                <w:tcPr>
                                  <w:tcW w:w="2400" w:type="dxa"/>
                                </w:tcPr>
                                <w:p>
                                  <w:pPr>
                                    <w:pStyle w:val="14"/>
                                    <w:spacing w:before="69" w:line="237" w:lineRule="exact"/>
                                    <w:ind w:left="178" w:right="172"/>
                                    <w:jc w:val="center"/>
                                    <w:rPr>
                                      <w:sz w:val="20"/>
                                    </w:rPr>
                                  </w:pPr>
                                  <w:r>
                                    <w:rPr>
                                      <w:sz w:val="20"/>
                                    </w:rPr>
                                    <w:t>生产成本、制造费用等</w:t>
                                  </w:r>
                                </w:p>
                              </w:tc>
                              <w:tc>
                                <w:tcPr>
                                  <w:tcW w:w="2160" w:type="dxa"/>
                                  <w:vMerge w:val="continue"/>
                                  <w:tcBorders>
                                    <w:top w:val="nil"/>
                                  </w:tcBorders>
                                </w:tcPr>
                                <w:p>
                                  <w:pPr>
                                    <w:rPr>
                                      <w:sz w:val="2"/>
                                      <w:szCs w:val="2"/>
                                    </w:rPr>
                                  </w:pPr>
                                </w:p>
                              </w:tc>
                            </w:tr>
                          </w:tbl>
                          <w:p>
                            <w:pPr>
                              <w:pStyle w:val="6"/>
                              <w:spacing w:before="0"/>
                              <w:ind w:left="0"/>
                            </w:pPr>
                          </w:p>
                        </w:txbxContent>
                      </wps:txbx>
                      <wps:bodyPr lIns="0" tIns="0" rIns="0" bIns="0" upright="1"/>
                    </wps:wsp>
                  </a:graphicData>
                </a:graphic>
              </wp:anchor>
            </w:drawing>
          </mc:Choice>
          <mc:Fallback>
            <w:pict>
              <v:shape id="文本框 260" o:spid="_x0000_s1026" o:spt="202" type="#_x0000_t202" style="position:absolute;left:0pt;margin-left:48.5pt;margin-top:33.7pt;height:101.3pt;width:503.3pt;mso-position-horizontal-relative:page;z-index:15865856;mso-width-relative:page;mso-height-relative:page;" filled="f" stroked="f" coordsize="21600,21600" o:gfxdata="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DgT8VHYAAAACgEAAA8AAAAAAAAA&#10;AQAgAAAAIgAAAGRycy9kb3ducmV2LnhtbFBLAQIUABQAAAAIAIdO4kDs+aACnwEAACkDAAAOAAAA&#10;AAAAAAEAIAAAACcBAABkcnMvZTJvRG9jLnhtbFBLBQYAAAAABgAGAFkBAAA4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31"/>
                        <w:gridCol w:w="4260"/>
                        <w:gridCol w:w="2400"/>
                        <w:gridCol w:w="2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tcPr>
                          <w:p>
                            <w:pPr>
                              <w:pStyle w:val="14"/>
                              <w:spacing w:before="69" w:line="237" w:lineRule="exact"/>
                              <w:ind w:left="393" w:right="388"/>
                              <w:jc w:val="center"/>
                              <w:rPr>
                                <w:sz w:val="20"/>
                              </w:rPr>
                            </w:pPr>
                            <w:r>
                              <w:rPr>
                                <w:sz w:val="20"/>
                              </w:rPr>
                              <w:t>税种</w:t>
                            </w:r>
                          </w:p>
                        </w:tc>
                        <w:tc>
                          <w:tcPr>
                            <w:tcW w:w="6660" w:type="dxa"/>
                            <w:gridSpan w:val="2"/>
                          </w:tcPr>
                          <w:p>
                            <w:pPr>
                              <w:pStyle w:val="14"/>
                              <w:spacing w:before="69" w:line="237" w:lineRule="exact"/>
                              <w:ind w:left="2909" w:right="2901"/>
                              <w:jc w:val="center"/>
                              <w:rPr>
                                <w:sz w:val="20"/>
                              </w:rPr>
                            </w:pPr>
                            <w:r>
                              <w:rPr>
                                <w:sz w:val="20"/>
                              </w:rPr>
                              <w:t>处理原则</w:t>
                            </w:r>
                          </w:p>
                        </w:tc>
                        <w:tc>
                          <w:tcPr>
                            <w:tcW w:w="2160" w:type="dxa"/>
                          </w:tcPr>
                          <w:p>
                            <w:pPr>
                              <w:pStyle w:val="14"/>
                              <w:spacing w:before="69" w:line="237" w:lineRule="exact"/>
                              <w:ind w:left="880"/>
                              <w:rPr>
                                <w:sz w:val="20"/>
                              </w:rPr>
                            </w:pPr>
                            <w:r>
                              <w:rPr>
                                <w:sz w:val="20"/>
                              </w:rPr>
                              <w:t>交税分录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31" w:type="dxa"/>
                            <w:vMerge w:val="restart"/>
                          </w:tcPr>
                          <w:p>
                            <w:pPr>
                              <w:pStyle w:val="14"/>
                              <w:rPr>
                                <w:sz w:val="20"/>
                              </w:rPr>
                            </w:pPr>
                          </w:p>
                          <w:p>
                            <w:pPr>
                              <w:pStyle w:val="14"/>
                              <w:spacing w:before="148"/>
                              <w:ind w:left="313"/>
                              <w:rPr>
                                <w:sz w:val="20"/>
                              </w:rPr>
                            </w:pPr>
                            <w:r>
                              <w:rPr>
                                <w:sz w:val="20"/>
                              </w:rPr>
                              <w:t>消费税</w:t>
                            </w:r>
                          </w:p>
                        </w:tc>
                        <w:tc>
                          <w:tcPr>
                            <w:tcW w:w="4260" w:type="dxa"/>
                          </w:tcPr>
                          <w:p>
                            <w:pPr>
                              <w:pStyle w:val="14"/>
                              <w:spacing w:before="69" w:line="237" w:lineRule="exact"/>
                              <w:ind w:left="508"/>
                              <w:rPr>
                                <w:sz w:val="20"/>
                              </w:rPr>
                            </w:pPr>
                            <w:r>
                              <w:rPr>
                                <w:sz w:val="20"/>
                              </w:rPr>
                              <w:t>①销售、职工福利、个人消费</w:t>
                            </w:r>
                          </w:p>
                        </w:tc>
                        <w:tc>
                          <w:tcPr>
                            <w:tcW w:w="2400" w:type="dxa"/>
                          </w:tcPr>
                          <w:p>
                            <w:pPr>
                              <w:pStyle w:val="14"/>
                              <w:spacing w:before="69" w:line="237" w:lineRule="exact"/>
                              <w:ind w:left="178" w:right="170"/>
                              <w:jc w:val="center"/>
                              <w:rPr>
                                <w:sz w:val="20"/>
                              </w:rPr>
                            </w:pPr>
                            <w:r>
                              <w:rPr>
                                <w:sz w:val="20"/>
                              </w:rPr>
                              <w:t>税金及附加</w:t>
                            </w:r>
                          </w:p>
                        </w:tc>
                        <w:tc>
                          <w:tcPr>
                            <w:tcW w:w="2160" w:type="dxa"/>
                            <w:vMerge w:val="restart"/>
                          </w:tcPr>
                          <w:p>
                            <w:pPr>
                              <w:pStyle w:val="14"/>
                              <w:rPr>
                                <w:sz w:val="20"/>
                              </w:rPr>
                            </w:pPr>
                          </w:p>
                          <w:p>
                            <w:pPr>
                              <w:pStyle w:val="14"/>
                              <w:spacing w:before="1"/>
                              <w:rPr>
                                <w:sz w:val="25"/>
                              </w:rPr>
                            </w:pPr>
                          </w:p>
                          <w:p>
                            <w:pPr>
                              <w:pStyle w:val="14"/>
                              <w:ind w:left="107"/>
                              <w:rPr>
                                <w:sz w:val="20"/>
                              </w:rPr>
                            </w:pPr>
                            <w:r>
                              <w:rPr>
                                <w:sz w:val="20"/>
                              </w:rPr>
                              <w:t>借：应交税费</w:t>
                            </w:r>
                          </w:p>
                          <w:p>
                            <w:pPr>
                              <w:pStyle w:val="14"/>
                              <w:spacing w:before="70"/>
                              <w:ind w:left="508"/>
                              <w:rPr>
                                <w:sz w:val="20"/>
                              </w:rPr>
                            </w:pP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vMerge w:val="continue"/>
                            <w:tcBorders>
                              <w:top w:val="nil"/>
                            </w:tcBorders>
                          </w:tcPr>
                          <w:p>
                            <w:pPr>
                              <w:rPr>
                                <w:sz w:val="2"/>
                                <w:szCs w:val="2"/>
                              </w:rPr>
                            </w:pPr>
                          </w:p>
                        </w:tc>
                        <w:tc>
                          <w:tcPr>
                            <w:tcW w:w="4260" w:type="dxa"/>
                          </w:tcPr>
                          <w:p>
                            <w:pPr>
                              <w:pStyle w:val="14"/>
                              <w:spacing w:before="69" w:line="237" w:lineRule="exact"/>
                              <w:ind w:left="508"/>
                              <w:rPr>
                                <w:sz w:val="20"/>
                              </w:rPr>
                            </w:pPr>
                            <w:r>
                              <w:rPr>
                                <w:sz w:val="20"/>
                              </w:rPr>
                              <w:t>②固定资产、委托加工直接销售、进口</w:t>
                            </w:r>
                          </w:p>
                        </w:tc>
                        <w:tc>
                          <w:tcPr>
                            <w:tcW w:w="2400" w:type="dxa"/>
                          </w:tcPr>
                          <w:p>
                            <w:pPr>
                              <w:pStyle w:val="14"/>
                              <w:spacing w:before="69" w:line="237" w:lineRule="exact"/>
                              <w:ind w:left="178" w:right="170"/>
                              <w:jc w:val="center"/>
                              <w:rPr>
                                <w:sz w:val="20"/>
                              </w:rPr>
                            </w:pPr>
                            <w:r>
                              <w:rPr>
                                <w:sz w:val="20"/>
                              </w:rPr>
                              <w:t>成本</w:t>
                            </w:r>
                          </w:p>
                        </w:tc>
                        <w:tc>
                          <w:tcPr>
                            <w:tcW w:w="216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vMerge w:val="continue"/>
                            <w:tcBorders>
                              <w:top w:val="nil"/>
                            </w:tcBorders>
                          </w:tcPr>
                          <w:p>
                            <w:pPr>
                              <w:rPr>
                                <w:sz w:val="2"/>
                                <w:szCs w:val="2"/>
                              </w:rPr>
                            </w:pPr>
                          </w:p>
                        </w:tc>
                        <w:tc>
                          <w:tcPr>
                            <w:tcW w:w="4260" w:type="dxa"/>
                          </w:tcPr>
                          <w:p>
                            <w:pPr>
                              <w:pStyle w:val="14"/>
                              <w:spacing w:before="69" w:line="237" w:lineRule="exact"/>
                              <w:ind w:left="508"/>
                              <w:rPr>
                                <w:sz w:val="20"/>
                              </w:rPr>
                            </w:pPr>
                            <w:r>
                              <w:rPr>
                                <w:sz w:val="20"/>
                              </w:rPr>
                              <w:t>③委托加工收回连续加工</w:t>
                            </w:r>
                          </w:p>
                        </w:tc>
                        <w:tc>
                          <w:tcPr>
                            <w:tcW w:w="2400" w:type="dxa"/>
                          </w:tcPr>
                          <w:p>
                            <w:pPr>
                              <w:pStyle w:val="14"/>
                              <w:spacing w:before="69" w:line="237" w:lineRule="exact"/>
                              <w:ind w:left="178" w:right="170"/>
                              <w:jc w:val="center"/>
                              <w:rPr>
                                <w:sz w:val="20"/>
                              </w:rPr>
                            </w:pPr>
                            <w:r>
                              <w:rPr>
                                <w:sz w:val="20"/>
                              </w:rPr>
                              <w:t>应交消费税</w:t>
                            </w:r>
                          </w:p>
                        </w:tc>
                        <w:tc>
                          <w:tcPr>
                            <w:tcW w:w="216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31" w:type="dxa"/>
                            <w:vMerge w:val="restart"/>
                          </w:tcPr>
                          <w:p>
                            <w:pPr>
                              <w:pStyle w:val="14"/>
                              <w:spacing w:before="6"/>
                              <w:rPr>
                                <w:sz w:val="18"/>
                              </w:rPr>
                            </w:pPr>
                          </w:p>
                          <w:p>
                            <w:pPr>
                              <w:pStyle w:val="14"/>
                              <w:ind w:left="313"/>
                              <w:rPr>
                                <w:sz w:val="20"/>
                              </w:rPr>
                            </w:pPr>
                            <w:r>
                              <w:rPr>
                                <w:sz w:val="20"/>
                              </w:rPr>
                              <w:t>资源税</w:t>
                            </w:r>
                          </w:p>
                        </w:tc>
                        <w:tc>
                          <w:tcPr>
                            <w:tcW w:w="4260" w:type="dxa"/>
                          </w:tcPr>
                          <w:p>
                            <w:pPr>
                              <w:pStyle w:val="14"/>
                              <w:spacing w:before="69" w:line="237" w:lineRule="exact"/>
                              <w:ind w:left="508"/>
                              <w:rPr>
                                <w:sz w:val="20"/>
                              </w:rPr>
                            </w:pPr>
                            <w:r>
                              <w:rPr>
                                <w:sz w:val="20"/>
                              </w:rPr>
                              <w:t>①销售</w:t>
                            </w:r>
                          </w:p>
                        </w:tc>
                        <w:tc>
                          <w:tcPr>
                            <w:tcW w:w="2400" w:type="dxa"/>
                          </w:tcPr>
                          <w:p>
                            <w:pPr>
                              <w:pStyle w:val="14"/>
                              <w:spacing w:before="69" w:line="237" w:lineRule="exact"/>
                              <w:ind w:left="178" w:right="170"/>
                              <w:jc w:val="center"/>
                              <w:rPr>
                                <w:sz w:val="20"/>
                              </w:rPr>
                            </w:pPr>
                            <w:r>
                              <w:rPr>
                                <w:sz w:val="20"/>
                              </w:rPr>
                              <w:t>税金及附加</w:t>
                            </w:r>
                          </w:p>
                        </w:tc>
                        <w:tc>
                          <w:tcPr>
                            <w:tcW w:w="216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231" w:type="dxa"/>
                            <w:vMerge w:val="continue"/>
                            <w:tcBorders>
                              <w:top w:val="nil"/>
                            </w:tcBorders>
                          </w:tcPr>
                          <w:p>
                            <w:pPr>
                              <w:rPr>
                                <w:sz w:val="2"/>
                                <w:szCs w:val="2"/>
                              </w:rPr>
                            </w:pPr>
                          </w:p>
                        </w:tc>
                        <w:tc>
                          <w:tcPr>
                            <w:tcW w:w="4260" w:type="dxa"/>
                          </w:tcPr>
                          <w:p>
                            <w:pPr>
                              <w:pStyle w:val="14"/>
                              <w:spacing w:before="69" w:line="237" w:lineRule="exact"/>
                              <w:ind w:left="508"/>
                              <w:rPr>
                                <w:sz w:val="20"/>
                              </w:rPr>
                            </w:pPr>
                            <w:r>
                              <w:rPr>
                                <w:sz w:val="20"/>
                              </w:rPr>
                              <w:t>②自产自用</w:t>
                            </w:r>
                          </w:p>
                        </w:tc>
                        <w:tc>
                          <w:tcPr>
                            <w:tcW w:w="2400" w:type="dxa"/>
                          </w:tcPr>
                          <w:p>
                            <w:pPr>
                              <w:pStyle w:val="14"/>
                              <w:spacing w:before="69" w:line="237" w:lineRule="exact"/>
                              <w:ind w:left="178" w:right="172"/>
                              <w:jc w:val="center"/>
                              <w:rPr>
                                <w:sz w:val="20"/>
                              </w:rPr>
                            </w:pPr>
                            <w:r>
                              <w:rPr>
                                <w:sz w:val="20"/>
                              </w:rPr>
                              <w:t>生产成本、制造费用等</w:t>
                            </w:r>
                          </w:p>
                        </w:tc>
                        <w:tc>
                          <w:tcPr>
                            <w:tcW w:w="2160" w:type="dxa"/>
                            <w:vMerge w:val="continue"/>
                            <w:tcBorders>
                              <w:top w:val="nil"/>
                            </w:tcBorders>
                          </w:tcPr>
                          <w:p>
                            <w:pPr>
                              <w:rPr>
                                <w:sz w:val="2"/>
                                <w:szCs w:val="2"/>
                              </w:rPr>
                            </w:pPr>
                          </w:p>
                        </w:tc>
                      </w:tr>
                    </w:tbl>
                    <w:p>
                      <w:pPr>
                        <w:pStyle w:val="6"/>
                        <w:spacing w:before="0"/>
                        <w:ind w:left="0"/>
                      </w:pPr>
                    </w:p>
                  </w:txbxContent>
                </v:textbox>
              </v:shape>
            </w:pict>
          </mc:Fallback>
        </mc:AlternateContent>
      </w:r>
      <w:r>
        <w:rPr>
          <w:w w:val="95"/>
          <w:sz w:val="20"/>
        </w:rPr>
        <w:t>税金及附加是</w:t>
      </w:r>
      <w:r>
        <w:rPr>
          <w:b/>
          <w:color w:val="00AFEF"/>
          <w:w w:val="95"/>
          <w:sz w:val="20"/>
          <w:u w:val="single" w:color="00AFEF"/>
        </w:rPr>
        <w:t>指企业经营活动应负担的相关税费</w:t>
      </w:r>
      <w:r>
        <w:rPr>
          <w:spacing w:val="-4"/>
          <w:w w:val="95"/>
          <w:sz w:val="20"/>
        </w:rPr>
        <w:t>，包括</w:t>
      </w:r>
      <w:r>
        <w:rPr>
          <w:color w:val="FF0000"/>
          <w:spacing w:val="-7"/>
          <w:w w:val="95"/>
          <w:sz w:val="20"/>
          <w:u w:val="double" w:color="FF0000"/>
        </w:rPr>
        <w:t>消费税，城市维护建设税、教育费附加、资源税、房</w:t>
      </w:r>
      <w:r>
        <w:rPr>
          <w:color w:val="FF0000"/>
          <w:spacing w:val="-198"/>
          <w:w w:val="95"/>
          <w:sz w:val="20"/>
          <w:u w:val="double" w:color="FF0000"/>
        </w:rPr>
        <w:t>产</w:t>
      </w:r>
      <w:r>
        <w:rPr>
          <w:color w:val="FF0000"/>
          <w:spacing w:val="184"/>
          <w:w w:val="95"/>
          <w:sz w:val="20"/>
          <w:u w:val="double" w:color="FF0000"/>
        </w:rPr>
        <w:t xml:space="preserve"> </w:t>
      </w:r>
      <w:r>
        <w:rPr>
          <w:color w:val="FF0000"/>
          <w:sz w:val="20"/>
          <w:u w:val="double" w:color="FF0000"/>
        </w:rPr>
        <w:t>税、城镇土地使用税、车船税、印花税、环境保护税</w:t>
      </w:r>
      <w:r>
        <w:rPr>
          <w:sz w:val="20"/>
        </w:rPr>
        <w:t>等。</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4"/>
        <w:ind w:left="0"/>
        <w:rPr>
          <w:sz w:val="18"/>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30"/>
        <w:gridCol w:w="2956"/>
        <w:gridCol w:w="2805"/>
        <w:gridCol w:w="2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5086" w:type="dxa"/>
            <w:gridSpan w:val="2"/>
          </w:tcPr>
          <w:p>
            <w:pPr>
              <w:pStyle w:val="14"/>
              <w:spacing w:before="69" w:line="237" w:lineRule="exact"/>
              <w:ind w:left="2020" w:right="2015"/>
              <w:jc w:val="center"/>
              <w:rPr>
                <w:sz w:val="20"/>
              </w:rPr>
            </w:pPr>
            <w:r>
              <w:rPr>
                <w:sz w:val="20"/>
              </w:rPr>
              <w:t>税种</w:t>
            </w:r>
          </w:p>
        </w:tc>
        <w:tc>
          <w:tcPr>
            <w:tcW w:w="2805" w:type="dxa"/>
          </w:tcPr>
          <w:p>
            <w:pPr>
              <w:pStyle w:val="14"/>
              <w:spacing w:before="69" w:line="237" w:lineRule="exact"/>
              <w:ind w:left="479" w:right="472"/>
              <w:jc w:val="center"/>
              <w:rPr>
                <w:sz w:val="20"/>
              </w:rPr>
            </w:pPr>
            <w:r>
              <w:rPr>
                <w:sz w:val="20"/>
              </w:rPr>
              <w:t>处理原则</w:t>
            </w:r>
          </w:p>
        </w:tc>
        <w:tc>
          <w:tcPr>
            <w:tcW w:w="2115" w:type="dxa"/>
          </w:tcPr>
          <w:p>
            <w:pPr>
              <w:pStyle w:val="14"/>
              <w:spacing w:before="69" w:line="237" w:lineRule="exact"/>
              <w:ind w:left="656"/>
              <w:rPr>
                <w:sz w:val="20"/>
              </w:rPr>
            </w:pPr>
            <w:r>
              <w:rPr>
                <w:sz w:val="20"/>
              </w:rPr>
              <w:t>交税分录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5086" w:type="dxa"/>
            <w:gridSpan w:val="2"/>
          </w:tcPr>
          <w:p>
            <w:pPr>
              <w:pStyle w:val="14"/>
              <w:spacing w:before="8" w:line="326" w:lineRule="exact"/>
              <w:ind w:left="443" w:right="133" w:firstLine="98"/>
              <w:rPr>
                <w:sz w:val="20"/>
              </w:rPr>
            </w:pPr>
            <w:r>
              <w:rPr>
                <w:w w:val="95"/>
                <w:sz w:val="20"/>
              </w:rPr>
              <w:t xml:space="preserve">城市维护建设税、教育费附加、房产税、车船税、 </w:t>
            </w:r>
            <w:r>
              <w:rPr>
                <w:sz w:val="20"/>
              </w:rPr>
              <w:t>城镇土地使用税、环境保护税、矿产资源补偿费</w:t>
            </w:r>
          </w:p>
        </w:tc>
        <w:tc>
          <w:tcPr>
            <w:tcW w:w="2805" w:type="dxa"/>
          </w:tcPr>
          <w:p>
            <w:pPr>
              <w:pStyle w:val="14"/>
              <w:spacing w:before="1"/>
              <w:rPr>
                <w:sz w:val="18"/>
              </w:rPr>
            </w:pPr>
          </w:p>
          <w:p>
            <w:pPr>
              <w:pStyle w:val="14"/>
              <w:ind w:left="477" w:right="472"/>
              <w:jc w:val="center"/>
              <w:rPr>
                <w:sz w:val="20"/>
              </w:rPr>
            </w:pPr>
            <w:r>
              <w:rPr>
                <w:sz w:val="20"/>
              </w:rPr>
              <w:t>税金及附加</w:t>
            </w:r>
          </w:p>
        </w:tc>
        <w:tc>
          <w:tcPr>
            <w:tcW w:w="2115" w:type="dxa"/>
            <w:vMerge w:val="restart"/>
          </w:tcPr>
          <w:p>
            <w:pPr>
              <w:pStyle w:val="14"/>
              <w:spacing w:before="69"/>
              <w:ind w:left="107"/>
              <w:rPr>
                <w:sz w:val="20"/>
              </w:rPr>
            </w:pPr>
            <w:r>
              <w:rPr>
                <w:sz w:val="20"/>
              </w:rPr>
              <w:t>借：应交税费</w:t>
            </w:r>
          </w:p>
          <w:p>
            <w:pPr>
              <w:pStyle w:val="14"/>
              <w:spacing w:before="70"/>
              <w:ind w:left="707"/>
              <w:rPr>
                <w:sz w:val="20"/>
              </w:rPr>
            </w:pP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2130" w:type="dxa"/>
            <w:vMerge w:val="restart"/>
          </w:tcPr>
          <w:p>
            <w:pPr>
              <w:pStyle w:val="14"/>
              <w:spacing w:before="1"/>
              <w:rPr>
                <w:sz w:val="20"/>
              </w:rPr>
            </w:pPr>
          </w:p>
          <w:p>
            <w:pPr>
              <w:pStyle w:val="14"/>
              <w:spacing w:before="1"/>
              <w:ind w:left="565"/>
              <w:rPr>
                <w:sz w:val="20"/>
              </w:rPr>
            </w:pPr>
            <w:r>
              <w:rPr>
                <w:sz w:val="20"/>
              </w:rPr>
              <w:t>土地增值税</w:t>
            </w:r>
          </w:p>
        </w:tc>
        <w:tc>
          <w:tcPr>
            <w:tcW w:w="2956" w:type="dxa"/>
          </w:tcPr>
          <w:p>
            <w:pPr>
              <w:pStyle w:val="14"/>
              <w:spacing w:before="61" w:line="237" w:lineRule="exact"/>
              <w:ind w:left="1077"/>
              <w:rPr>
                <w:sz w:val="20"/>
              </w:rPr>
            </w:pPr>
            <w:r>
              <w:rPr>
                <w:sz w:val="20"/>
              </w:rPr>
              <w:t>固定资产</w:t>
            </w:r>
          </w:p>
        </w:tc>
        <w:tc>
          <w:tcPr>
            <w:tcW w:w="2805" w:type="dxa"/>
          </w:tcPr>
          <w:p>
            <w:pPr>
              <w:pStyle w:val="14"/>
              <w:spacing w:before="61" w:line="237" w:lineRule="exact"/>
              <w:ind w:left="482" w:right="472"/>
              <w:jc w:val="center"/>
              <w:rPr>
                <w:sz w:val="20"/>
              </w:rPr>
            </w:pPr>
            <w:r>
              <w:rPr>
                <w:sz w:val="20"/>
              </w:rPr>
              <w:t>固定资产清理</w:t>
            </w:r>
          </w:p>
        </w:tc>
        <w:tc>
          <w:tcPr>
            <w:tcW w:w="211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6" w:hRule="atLeast"/>
        </w:trPr>
        <w:tc>
          <w:tcPr>
            <w:tcW w:w="2130" w:type="dxa"/>
            <w:vMerge w:val="continue"/>
            <w:tcBorders>
              <w:top w:val="nil"/>
            </w:tcBorders>
          </w:tcPr>
          <w:p>
            <w:pPr>
              <w:rPr>
                <w:sz w:val="2"/>
                <w:szCs w:val="2"/>
              </w:rPr>
            </w:pPr>
          </w:p>
        </w:tc>
        <w:tc>
          <w:tcPr>
            <w:tcW w:w="2956" w:type="dxa"/>
          </w:tcPr>
          <w:p>
            <w:pPr>
              <w:pStyle w:val="14"/>
              <w:spacing w:before="98"/>
              <w:ind w:left="1077"/>
              <w:rPr>
                <w:sz w:val="20"/>
              </w:rPr>
            </w:pPr>
            <w:r>
              <w:rPr>
                <w:sz w:val="20"/>
              </w:rPr>
              <w:t>无形资产</w:t>
            </w:r>
          </w:p>
        </w:tc>
        <w:tc>
          <w:tcPr>
            <w:tcW w:w="2805" w:type="dxa"/>
          </w:tcPr>
          <w:p>
            <w:pPr>
              <w:pStyle w:val="14"/>
              <w:spacing w:before="98"/>
              <w:ind w:left="477" w:right="472"/>
              <w:jc w:val="center"/>
              <w:rPr>
                <w:sz w:val="20"/>
              </w:rPr>
            </w:pPr>
            <w:r>
              <w:rPr>
                <w:sz w:val="20"/>
              </w:rPr>
              <w:t>营业外收支</w:t>
            </w:r>
          </w:p>
        </w:tc>
        <w:tc>
          <w:tcPr>
            <w:tcW w:w="211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5086" w:type="dxa"/>
            <w:gridSpan w:val="2"/>
          </w:tcPr>
          <w:p>
            <w:pPr>
              <w:pStyle w:val="14"/>
              <w:spacing w:before="68" w:line="238" w:lineRule="exact"/>
              <w:ind w:left="2020" w:right="2015"/>
              <w:jc w:val="center"/>
              <w:rPr>
                <w:sz w:val="20"/>
              </w:rPr>
            </w:pPr>
            <w:r>
              <w:rPr>
                <w:sz w:val="20"/>
              </w:rPr>
              <w:t>个人所得税</w:t>
            </w:r>
          </w:p>
        </w:tc>
        <w:tc>
          <w:tcPr>
            <w:tcW w:w="2805" w:type="dxa"/>
          </w:tcPr>
          <w:p>
            <w:pPr>
              <w:pStyle w:val="14"/>
              <w:spacing w:before="68" w:line="238" w:lineRule="exact"/>
              <w:ind w:left="482" w:right="472"/>
              <w:jc w:val="center"/>
              <w:rPr>
                <w:sz w:val="20"/>
              </w:rPr>
            </w:pPr>
            <w:r>
              <w:rPr>
                <w:sz w:val="20"/>
              </w:rPr>
              <w:t>应付职工薪酬</w:t>
            </w:r>
          </w:p>
        </w:tc>
        <w:tc>
          <w:tcPr>
            <w:tcW w:w="211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5086" w:type="dxa"/>
            <w:gridSpan w:val="2"/>
          </w:tcPr>
          <w:p>
            <w:pPr>
              <w:pStyle w:val="14"/>
              <w:rPr>
                <w:sz w:val="18"/>
              </w:rPr>
            </w:pPr>
          </w:p>
          <w:p>
            <w:pPr>
              <w:pStyle w:val="14"/>
              <w:spacing w:before="1"/>
              <w:ind w:left="1141"/>
              <w:rPr>
                <w:sz w:val="20"/>
              </w:rPr>
            </w:pPr>
            <w:r>
              <w:rPr>
                <w:sz w:val="20"/>
              </w:rPr>
              <w:t>契税、车辆购置税、耕地占用税</w:t>
            </w:r>
          </w:p>
        </w:tc>
        <w:tc>
          <w:tcPr>
            <w:tcW w:w="2805" w:type="dxa"/>
          </w:tcPr>
          <w:p>
            <w:pPr>
              <w:pStyle w:val="14"/>
              <w:rPr>
                <w:sz w:val="18"/>
              </w:rPr>
            </w:pPr>
          </w:p>
          <w:p>
            <w:pPr>
              <w:pStyle w:val="14"/>
              <w:spacing w:before="1"/>
              <w:ind w:left="482" w:right="472"/>
              <w:jc w:val="center"/>
              <w:rPr>
                <w:sz w:val="20"/>
              </w:rPr>
            </w:pPr>
            <w:r>
              <w:rPr>
                <w:sz w:val="20"/>
              </w:rPr>
              <w:t>固定资产、无形资产</w:t>
            </w:r>
          </w:p>
        </w:tc>
        <w:tc>
          <w:tcPr>
            <w:tcW w:w="2115" w:type="dxa"/>
          </w:tcPr>
          <w:p>
            <w:pPr>
              <w:pStyle w:val="14"/>
              <w:spacing w:before="68"/>
              <w:ind w:left="107"/>
              <w:rPr>
                <w:sz w:val="20"/>
              </w:rPr>
            </w:pPr>
            <w:r>
              <w:rPr>
                <w:sz w:val="20"/>
              </w:rPr>
              <w:t>借：固定/无形</w:t>
            </w:r>
          </w:p>
          <w:p>
            <w:pPr>
              <w:pStyle w:val="14"/>
              <w:spacing w:before="70" w:line="237" w:lineRule="exact"/>
              <w:ind w:left="707"/>
              <w:rPr>
                <w:sz w:val="20"/>
              </w:rPr>
            </w:pPr>
            <w:r>
              <w:rPr>
                <w:sz w:val="20"/>
              </w:rPr>
              <w:t>贷：银行存款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5086" w:type="dxa"/>
            <w:gridSpan w:val="2"/>
          </w:tcPr>
          <w:p>
            <w:pPr>
              <w:pStyle w:val="14"/>
              <w:spacing w:before="1"/>
              <w:rPr>
                <w:sz w:val="18"/>
              </w:rPr>
            </w:pPr>
          </w:p>
          <w:p>
            <w:pPr>
              <w:pStyle w:val="14"/>
              <w:ind w:left="2020" w:right="2010"/>
              <w:jc w:val="center"/>
              <w:rPr>
                <w:sz w:val="20"/>
              </w:rPr>
            </w:pPr>
            <w:r>
              <w:rPr>
                <w:sz w:val="20"/>
              </w:rPr>
              <w:t>印花税</w:t>
            </w:r>
          </w:p>
        </w:tc>
        <w:tc>
          <w:tcPr>
            <w:tcW w:w="2805" w:type="dxa"/>
          </w:tcPr>
          <w:p>
            <w:pPr>
              <w:pStyle w:val="14"/>
              <w:spacing w:before="1"/>
              <w:rPr>
                <w:sz w:val="18"/>
              </w:rPr>
            </w:pPr>
          </w:p>
          <w:p>
            <w:pPr>
              <w:pStyle w:val="14"/>
              <w:ind w:left="477" w:right="472"/>
              <w:jc w:val="center"/>
              <w:rPr>
                <w:sz w:val="20"/>
              </w:rPr>
            </w:pPr>
            <w:r>
              <w:rPr>
                <w:sz w:val="20"/>
              </w:rPr>
              <w:t>税金及附加</w:t>
            </w:r>
          </w:p>
        </w:tc>
        <w:tc>
          <w:tcPr>
            <w:tcW w:w="2115" w:type="dxa"/>
          </w:tcPr>
          <w:p>
            <w:pPr>
              <w:pStyle w:val="14"/>
              <w:spacing w:before="69"/>
              <w:ind w:left="107"/>
              <w:rPr>
                <w:sz w:val="20"/>
              </w:rPr>
            </w:pPr>
            <w:r>
              <w:rPr>
                <w:sz w:val="20"/>
              </w:rPr>
              <w:t>借：税金及附加</w:t>
            </w:r>
          </w:p>
          <w:p>
            <w:pPr>
              <w:pStyle w:val="14"/>
              <w:spacing w:before="70" w:line="237" w:lineRule="exact"/>
              <w:ind w:left="707"/>
              <w:rPr>
                <w:sz w:val="20"/>
              </w:rPr>
            </w:pPr>
            <w:r>
              <w:rPr>
                <w:sz w:val="20"/>
              </w:rPr>
              <w:t>贷：银行存款</w:t>
            </w:r>
          </w:p>
        </w:tc>
      </w:tr>
    </w:tbl>
    <w:p>
      <w:pPr>
        <w:pStyle w:val="6"/>
        <w:spacing w:before="0"/>
        <w:ind w:left="743"/>
      </w:pPr>
      <w:r>
        <mc:AlternateContent>
          <mc:Choice Requires="wps">
            <w:drawing>
              <wp:inline distT="0" distB="0" distL="114300" distR="114300">
                <wp:extent cx="802640" cy="185420"/>
                <wp:effectExtent l="0" t="0" r="16510" b="5080"/>
                <wp:docPr id="192" name="文本框 261"/>
                <wp:cNvGraphicFramePr/>
                <a:graphic xmlns:a="http://schemas.openxmlformats.org/drawingml/2006/main">
                  <a:graphicData uri="http://schemas.microsoft.com/office/word/2010/wordprocessingShape">
                    <wps:wsp>
                      <wps:cNvSpPr txBox="1"/>
                      <wps:spPr>
                        <a:xfrm>
                          <a:off x="0" y="0"/>
                          <a:ext cx="802640" cy="185420"/>
                        </a:xfrm>
                        <a:prstGeom prst="rect">
                          <a:avLst/>
                        </a:prstGeom>
                        <a:solidFill>
                          <a:srgbClr val="C0C0C0"/>
                        </a:solidFill>
                        <a:ln>
                          <a:noFill/>
                        </a:ln>
                      </wps:spPr>
                      <wps:txbx>
                        <w:txbxContent>
                          <w:p>
                            <w:pPr>
                              <w:spacing w:before="20"/>
                              <w:ind w:left="-1" w:right="0" w:firstLine="0"/>
                              <w:jc w:val="left"/>
                              <w:rPr>
                                <w:b/>
                                <w:sz w:val="21"/>
                              </w:rPr>
                            </w:pPr>
                            <w:bookmarkStart w:id="184" w:name="三、期间费用"/>
                            <w:bookmarkEnd w:id="184"/>
                            <w:r>
                              <w:rPr>
                                <w:b/>
                                <w:sz w:val="21"/>
                              </w:rPr>
                              <w:t>三、期间费用</w:t>
                            </w:r>
                          </w:p>
                        </w:txbxContent>
                      </wps:txbx>
                      <wps:bodyPr lIns="0" tIns="0" rIns="0" bIns="0" upright="1"/>
                    </wps:wsp>
                  </a:graphicData>
                </a:graphic>
              </wp:inline>
            </w:drawing>
          </mc:Choice>
          <mc:Fallback>
            <w:pict>
              <v:shape id="文本框 261" o:spid="_x0000_s1026" o:spt="202" type="#_x0000_t202" style="height:14.6pt;width:63.2pt;" fillcolor="#C0C0C0" filled="t" stroked="f" coordsize="21600,21600" o:gfxdata="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93bpH1AAAAAQBAAAPAAAAAAAAAAEAIAAAACIAAABkcnMvZG93bnJldi54bWxQSwECFAAUAAAA&#10;CACHTuJAt/Xoy7kBAABQAwAADgAAAAAAAAABACAAAAAjAQAAZHJzL2Uyb0RvYy54bWxQSwUGAAAA&#10;AAYABgBZAQAATgUAAAAA&#10;">
                <v:fill on="t" focussize="0,0"/>
                <v:stroke on="f"/>
                <v:imagedata o:title=""/>
                <o:lock v:ext="edit" aspectratio="f"/>
                <v:textbox inset="0mm,0mm,0mm,0mm">
                  <w:txbxContent>
                    <w:p>
                      <w:pPr>
                        <w:spacing w:before="20"/>
                        <w:ind w:left="-1" w:right="0" w:firstLine="0"/>
                        <w:jc w:val="left"/>
                        <w:rPr>
                          <w:b/>
                          <w:sz w:val="21"/>
                        </w:rPr>
                      </w:pPr>
                      <w:bookmarkStart w:id="184" w:name="三、期间费用"/>
                      <w:bookmarkEnd w:id="184"/>
                      <w:r>
                        <w:rPr>
                          <w:b/>
                          <w:sz w:val="21"/>
                        </w:rPr>
                        <w:t>三、期间费用</w:t>
                      </w:r>
                    </w:p>
                  </w:txbxContent>
                </v:textbox>
                <w10:wrap type="none"/>
                <w10:anchorlock/>
              </v:shape>
            </w:pict>
          </mc:Fallback>
        </mc:AlternateContent>
      </w:r>
    </w:p>
    <w:p>
      <w:pPr>
        <w:pStyle w:val="5"/>
        <w:spacing w:before="66"/>
      </w:pPr>
      <w:r>
        <w:t>（一）期间费用概述</w:t>
      </w:r>
    </w:p>
    <w:p>
      <w:pPr>
        <w:spacing w:before="70" w:line="304" w:lineRule="auto"/>
        <w:ind w:left="723" w:right="1445" w:firstLine="0"/>
        <w:jc w:val="left"/>
        <w:rPr>
          <w:sz w:val="20"/>
        </w:rPr>
      </w:pPr>
      <w:r>
        <w:rPr>
          <w:w w:val="95"/>
          <w:sz w:val="20"/>
        </w:rPr>
        <w:t>期间费用是指</w:t>
      </w:r>
      <w:r>
        <w:rPr>
          <w:b/>
          <w:color w:val="00AFEF"/>
          <w:w w:val="95"/>
          <w:sz w:val="20"/>
          <w:u w:val="single" w:color="00AFEF"/>
        </w:rPr>
        <w:t>企业日常活动发生的不能计入特定核算对象的成本</w:t>
      </w:r>
      <w:r>
        <w:rPr>
          <w:w w:val="95"/>
          <w:sz w:val="20"/>
        </w:rPr>
        <w:t xml:space="preserve">，而应计入发生当期损益的费用。   </w:t>
      </w:r>
      <w:r>
        <w:rPr>
          <w:sz w:val="20"/>
        </w:rPr>
        <w:t>期间费用包括</w:t>
      </w:r>
      <w:r>
        <w:rPr>
          <w:color w:val="FF0000"/>
          <w:sz w:val="20"/>
          <w:u w:val="double" w:color="FF0000"/>
        </w:rPr>
        <w:t>销售费用、管理费用、财务费用</w:t>
      </w:r>
      <w:r>
        <w:rPr>
          <w:sz w:val="20"/>
        </w:rPr>
        <w:t>。</w:t>
      </w:r>
    </w:p>
    <w:p>
      <w:pPr>
        <w:pStyle w:val="5"/>
        <w:spacing w:before="0" w:line="304" w:lineRule="auto"/>
        <w:ind w:right="7653"/>
      </w:pPr>
      <w:r>
        <w:t>（二）期间费用的账务处理1.销售费用</w:t>
      </w:r>
    </w:p>
    <w:p>
      <w:pPr>
        <w:pStyle w:val="6"/>
        <w:spacing w:before="1" w:line="304" w:lineRule="auto"/>
        <w:ind w:left="322" w:right="720" w:firstLine="400"/>
        <w:jc w:val="both"/>
      </w:pPr>
      <w:r>
        <w:rPr>
          <w:w w:val="95"/>
        </w:rPr>
        <w:t>销售费用是指</w:t>
      </w:r>
      <w:r>
        <w:rPr>
          <w:b/>
          <w:color w:val="00AFEF"/>
          <w:spacing w:val="-5"/>
          <w:w w:val="95"/>
          <w:u w:val="single" w:color="00AFEF"/>
        </w:rPr>
        <w:t>企业销售商品和材料、提供服务的过程中发生的各种费用</w:t>
      </w:r>
      <w:r>
        <w:rPr>
          <w:spacing w:val="-6"/>
          <w:w w:val="95"/>
        </w:rPr>
        <w:t xml:space="preserve">，包括企业在销售商品过程中发生的    </w:t>
      </w:r>
      <w:r>
        <w:rPr>
          <w:color w:val="FF0000"/>
          <w:spacing w:val="-9"/>
          <w:w w:val="95"/>
          <w:u w:val="double" w:color="FF0000"/>
        </w:rPr>
        <w:t>保险费、包装费、展览费和广告费、商品维修费、预计产品质量保证损失、运输费、装卸费等以及为销售本企业</w:t>
      </w:r>
      <w:r>
        <w:rPr>
          <w:color w:val="FF0000"/>
          <w:spacing w:val="-199"/>
          <w:w w:val="95"/>
          <w:u w:val="double" w:color="FF0000"/>
        </w:rPr>
        <w:t>商</w:t>
      </w:r>
      <w:r>
        <w:rPr>
          <w:color w:val="FF0000"/>
          <w:spacing w:val="207"/>
          <w:w w:val="95"/>
          <w:u w:val="double" w:color="FF0000"/>
        </w:rPr>
        <w:t xml:space="preserve"> </w:t>
      </w:r>
      <w:r>
        <w:rPr>
          <w:color w:val="FF0000"/>
          <w:spacing w:val="-2"/>
          <w:u w:val="double" w:color="FF0000"/>
        </w:rPr>
        <w:t>品而专设的销售机构</w:t>
      </w:r>
      <w:r>
        <w:rPr>
          <w:color w:val="FF0000"/>
          <w:u w:val="double" w:color="FF0000"/>
        </w:rPr>
        <w:t>（</w:t>
      </w:r>
      <w:r>
        <w:rPr>
          <w:color w:val="FF0000"/>
          <w:spacing w:val="-2"/>
          <w:u w:val="double" w:color="FF0000"/>
        </w:rPr>
        <w:t>含销售网点、售后服务网点等</w:t>
      </w:r>
      <w:r>
        <w:rPr>
          <w:color w:val="FF0000"/>
          <w:spacing w:val="-10"/>
          <w:u w:val="double" w:color="FF0000"/>
        </w:rPr>
        <w:t>）</w:t>
      </w:r>
      <w:r>
        <w:rPr>
          <w:color w:val="FF0000"/>
          <w:spacing w:val="-3"/>
          <w:u w:val="double" w:color="FF0000"/>
        </w:rPr>
        <w:t>的职工薪酬、业务费、折旧费等经营费用</w:t>
      </w:r>
      <w:r>
        <w:rPr>
          <w:spacing w:val="-3"/>
        </w:rPr>
        <w:t>。企业发生的 与专设销售机构相关的固定资产修理费用等后续支出也属于销售费用。</w:t>
      </w:r>
    </w:p>
    <w:p>
      <w:pPr>
        <w:pStyle w:val="13"/>
        <w:numPr>
          <w:ilvl w:val="0"/>
          <w:numId w:val="105"/>
        </w:numPr>
        <w:tabs>
          <w:tab w:val="left" w:pos="925"/>
        </w:tabs>
        <w:spacing w:before="2" w:after="0" w:line="304" w:lineRule="auto"/>
        <w:ind w:left="322" w:right="720" w:firstLine="400"/>
        <w:jc w:val="both"/>
        <w:rPr>
          <w:sz w:val="20"/>
        </w:rPr>
      </w:pPr>
      <w:r>
        <w:rPr>
          <w:b/>
          <w:spacing w:val="-4"/>
          <w:w w:val="95"/>
          <w:sz w:val="20"/>
        </w:rPr>
        <w:t>管理费用：</w:t>
      </w:r>
      <w:r>
        <w:rPr>
          <w:w w:val="95"/>
          <w:sz w:val="20"/>
        </w:rPr>
        <w:t>企业在筹建期间内发生的</w:t>
      </w:r>
      <w:r>
        <w:rPr>
          <w:color w:val="FF0000"/>
          <w:spacing w:val="-4"/>
          <w:w w:val="95"/>
          <w:sz w:val="20"/>
          <w:u w:val="double" w:color="FF0000"/>
        </w:rPr>
        <w:t>开办费、董事会</w:t>
      </w:r>
      <w:r>
        <w:rPr>
          <w:w w:val="95"/>
          <w:sz w:val="20"/>
        </w:rPr>
        <w:t>和</w:t>
      </w:r>
      <w:r>
        <w:rPr>
          <w:color w:val="FF0000"/>
          <w:w w:val="95"/>
          <w:sz w:val="20"/>
          <w:u w:val="double" w:color="FF0000"/>
        </w:rPr>
        <w:t>行政管理部门</w:t>
      </w:r>
      <w:r>
        <w:rPr>
          <w:spacing w:val="-2"/>
          <w:w w:val="95"/>
          <w:sz w:val="20"/>
        </w:rPr>
        <w:t>在企业的经营管理中发生的，以及应   由企业统一负担的公司经费。工会经费、董事会费（包括董事会成员津贴、会议费和差旅费等</w:t>
      </w:r>
      <w:r>
        <w:rPr>
          <w:spacing w:val="-99"/>
          <w:w w:val="95"/>
          <w:sz w:val="20"/>
        </w:rPr>
        <w:t>）</w:t>
      </w:r>
      <w:r>
        <w:rPr>
          <w:w w:val="95"/>
          <w:sz w:val="20"/>
        </w:rPr>
        <w:t>、聘请</w:t>
      </w:r>
      <w:r>
        <w:rPr>
          <w:color w:val="FF0000"/>
          <w:w w:val="95"/>
          <w:sz w:val="20"/>
          <w:u w:val="double" w:color="FF0000"/>
        </w:rPr>
        <w:t>中介机构</w:t>
      </w:r>
      <w:r>
        <w:rPr>
          <w:color w:val="FF0000"/>
          <w:spacing w:val="-159"/>
          <w:w w:val="95"/>
          <w:sz w:val="20"/>
          <w:u w:val="double" w:color="FF0000"/>
        </w:rPr>
        <w:t>费</w:t>
      </w:r>
      <w:r>
        <w:rPr>
          <w:color w:val="FF0000"/>
          <w:spacing w:val="212"/>
          <w:w w:val="95"/>
          <w:sz w:val="20"/>
          <w:u w:val="double" w:color="FF0000"/>
        </w:rPr>
        <w:t xml:space="preserve"> </w:t>
      </w:r>
      <w:r>
        <w:rPr>
          <w:color w:val="FF0000"/>
          <w:sz w:val="20"/>
          <w:u w:val="double" w:color="FF0000"/>
        </w:rPr>
        <w:t>、咨询费</w:t>
      </w:r>
      <w:r>
        <w:rPr>
          <w:sz w:val="20"/>
        </w:rPr>
        <w:t>（含顾问费</w:t>
      </w:r>
      <w:r>
        <w:rPr>
          <w:spacing w:val="-101"/>
          <w:sz w:val="20"/>
        </w:rPr>
        <w:t>）</w:t>
      </w:r>
      <w:r>
        <w:rPr>
          <w:sz w:val="20"/>
        </w:rPr>
        <w:t>、</w:t>
      </w:r>
      <w:r>
        <w:rPr>
          <w:color w:val="FF0000"/>
          <w:sz w:val="20"/>
          <w:u w:val="double" w:color="FF0000"/>
        </w:rPr>
        <w:t>诉讼费、业务招待费、技术转让费、研究费用</w:t>
      </w:r>
      <w:r>
        <w:rPr>
          <w:sz w:val="20"/>
        </w:rPr>
        <w:t>等。</w:t>
      </w:r>
    </w:p>
    <w:p>
      <w:pPr>
        <w:pStyle w:val="6"/>
        <w:spacing w:before="3" w:line="304" w:lineRule="auto"/>
        <w:ind w:left="322" w:right="646" w:firstLine="400"/>
      </w:pPr>
      <w:r>
        <mc:AlternateContent>
          <mc:Choice Requires="wps">
            <w:drawing>
              <wp:anchor distT="0" distB="0" distL="114300" distR="114300" simplePos="0" relativeHeight="482499584" behindDoc="1" locked="0" layoutInCell="1" allowOverlap="1">
                <wp:simplePos x="0" y="0"/>
                <wp:positionH relativeFrom="page">
                  <wp:posOffset>1068705</wp:posOffset>
                </wp:positionH>
                <wp:positionV relativeFrom="paragraph">
                  <wp:posOffset>140335</wp:posOffset>
                </wp:positionV>
                <wp:extent cx="251460" cy="5715"/>
                <wp:effectExtent l="0" t="0" r="0" b="0"/>
                <wp:wrapNone/>
                <wp:docPr id="323" name="任意多边形 262"/>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62" o:spid="_x0000_s1026" o:spt="100" style="position:absolute;left:0pt;margin-left:84.15pt;margin-top:11.05pt;height:0.45pt;width:19.8pt;mso-position-horizontal-relative:page;z-index:-20816896;mso-width-relative:page;mso-height-relative:page;" filled="f" stroked="t" coordsize="396,9" o:gfxdata="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8Gz4&#10;DdkAAAAJAQAADwAAAAAAAAABACAAAAAiAAAAZHJzL2Rvd25yZXYueG1sUEsBAhQAFAAAAAgAh07i&#10;QMB/Oo+TAgAAVwcAAA4AAAAAAAAAAQAgAAAAKAEAAGRycy9lMm9Eb2MueG1sUEsFBgAAAAAGAAYA&#10;WQEAAC0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w w:val="95"/>
        </w:rPr>
        <w:t xml:space="preserve">】1.企业生产车间（部门）和行政管理部门等发生的固定资产修理费用等后续支出，应在发生时计入   </w:t>
      </w:r>
      <w:r>
        <w:t>管理费用。2.商品流通企业管理费用不多的，可并入销售费用核算。</w:t>
      </w:r>
    </w:p>
    <w:p>
      <w:pPr>
        <w:pStyle w:val="13"/>
        <w:numPr>
          <w:ilvl w:val="0"/>
          <w:numId w:val="105"/>
        </w:numPr>
        <w:tabs>
          <w:tab w:val="left" w:pos="925"/>
        </w:tabs>
        <w:spacing w:before="2" w:after="0" w:line="302" w:lineRule="auto"/>
        <w:ind w:left="322" w:right="758" w:firstLine="400"/>
        <w:jc w:val="left"/>
        <w:rPr>
          <w:sz w:val="20"/>
        </w:rPr>
      </w:pPr>
      <w:r>
        <w:rPr>
          <w:b/>
          <w:w w:val="95"/>
          <w:sz w:val="20"/>
        </w:rPr>
        <w:t>财务费用：</w:t>
      </w:r>
      <w:r>
        <w:rPr>
          <w:w w:val="95"/>
          <w:sz w:val="20"/>
        </w:rPr>
        <w:t>企业为筹集生产经营所需资金等而发生的筹资费用，包括</w:t>
      </w:r>
      <w:r>
        <w:rPr>
          <w:color w:val="FF0000"/>
          <w:w w:val="95"/>
          <w:sz w:val="20"/>
          <w:u w:val="double" w:color="FF0000"/>
        </w:rPr>
        <w:t>利息支出（减利息收入</w:t>
      </w:r>
      <w:r>
        <w:rPr>
          <w:color w:val="FF0000"/>
          <w:spacing w:val="-101"/>
          <w:w w:val="95"/>
          <w:sz w:val="20"/>
          <w:u w:val="double" w:color="FF0000"/>
        </w:rPr>
        <w:t>）</w:t>
      </w:r>
      <w:r>
        <w:rPr>
          <w:color w:val="FF0000"/>
          <w:w w:val="95"/>
          <w:sz w:val="20"/>
          <w:u w:val="double" w:color="FF0000"/>
        </w:rPr>
        <w:t>、汇兑损益</w:t>
      </w:r>
      <w:r>
        <w:rPr>
          <w:color w:val="FF0000"/>
          <w:spacing w:val="-199"/>
          <w:w w:val="95"/>
          <w:sz w:val="20"/>
          <w:u w:val="double" w:color="FF0000"/>
        </w:rPr>
        <w:t>以</w:t>
      </w:r>
      <w:r>
        <w:rPr>
          <w:color w:val="FF0000"/>
          <w:spacing w:val="180"/>
          <w:w w:val="95"/>
          <w:sz w:val="20"/>
          <w:u w:val="double" w:color="FF0000"/>
        </w:rPr>
        <w:t xml:space="preserve"> </w:t>
      </w:r>
      <w:r>
        <w:rPr>
          <w:color w:val="FF0000"/>
          <w:sz w:val="20"/>
          <w:u w:val="double" w:color="FF0000"/>
        </w:rPr>
        <w:t>及相关的手续费、企业发生或收到的现金折扣</w:t>
      </w:r>
      <w:r>
        <w:rPr>
          <w:sz w:val="20"/>
        </w:rPr>
        <w:t>等。</w:t>
      </w:r>
    </w:p>
    <w:p>
      <w:pPr>
        <w:pStyle w:val="6"/>
        <w:spacing w:before="4"/>
      </w:pPr>
      <w:r>
        <w:t>【</w:t>
      </w:r>
      <w:r>
        <w:rPr>
          <w:color w:val="FF0000"/>
          <w:u w:val="double" w:color="FF0000"/>
        </w:rPr>
        <w:t>提示</w:t>
      </w:r>
      <w:r>
        <w:t>】1.资本化利息支出计入在建工程。2.企业筹建期间的利息支出计入管理费用</w:t>
      </w:r>
    </w:p>
    <w:p>
      <w:pPr>
        <w:spacing w:after="0"/>
        <w:sectPr>
          <w:pgSz w:w="11910" w:h="16160"/>
          <w:pgMar w:top="1680" w:right="360" w:bottom="860" w:left="760" w:header="0" w:footer="548" w:gutter="0"/>
        </w:sectPr>
      </w:pPr>
    </w:p>
    <w:p>
      <w:pPr>
        <w:pStyle w:val="6"/>
        <w:spacing w:before="11"/>
        <w:ind w:left="0"/>
        <w:rPr>
          <w:sz w:val="19"/>
        </w:rPr>
      </w:pPr>
      <w:r>
        <w:drawing>
          <wp:anchor distT="0" distB="0" distL="0" distR="0" simplePos="0" relativeHeight="15866880" behindDoc="0" locked="0" layoutInCell="1" allowOverlap="1">
            <wp:simplePos x="0" y="0"/>
            <wp:positionH relativeFrom="page">
              <wp:posOffset>802005</wp:posOffset>
            </wp:positionH>
            <wp:positionV relativeFrom="page">
              <wp:posOffset>8884920</wp:posOffset>
            </wp:positionV>
            <wp:extent cx="2274570" cy="1374140"/>
            <wp:effectExtent l="0" t="0" r="0" b="0"/>
            <wp:wrapNone/>
            <wp:docPr id="9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8.png"/>
                    <pic:cNvPicPr>
                      <a:picLocks noChangeAspect="1"/>
                    </pic:cNvPicPr>
                  </pic:nvPicPr>
                  <pic:blipFill>
                    <a:blip r:embed="rId56" cstate="print"/>
                    <a:stretch>
                      <a:fillRect/>
                    </a:stretch>
                  </pic:blipFill>
                  <pic:spPr>
                    <a:xfrm>
                      <a:off x="0" y="0"/>
                      <a:ext cx="2274688" cy="1374197"/>
                    </a:xfrm>
                    <a:prstGeom prst="rect">
                      <a:avLst/>
                    </a:prstGeom>
                  </pic:spPr>
                </pic:pic>
              </a:graphicData>
            </a:graphic>
          </wp:anchor>
        </w:drawing>
      </w:r>
    </w:p>
    <w:p>
      <w:pPr>
        <w:pStyle w:val="3"/>
        <w:tabs>
          <w:tab w:val="left" w:pos="839"/>
        </w:tabs>
        <w:spacing w:before="44"/>
        <w:ind w:left="0" w:right="399"/>
        <w:jc w:val="center"/>
        <w:rPr>
          <w:rFonts w:hint="eastAsia" w:ascii="微软雅黑" w:eastAsia="微软雅黑"/>
        </w:rPr>
      </w:pPr>
      <w:bookmarkStart w:id="125" w:name="第三节　利润"/>
      <w:bookmarkEnd w:id="125"/>
      <w:bookmarkStart w:id="126" w:name="_bookmark27"/>
      <w:bookmarkEnd w:id="126"/>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利润</w:t>
      </w:r>
    </w:p>
    <w:p>
      <w:pPr>
        <w:spacing w:before="139"/>
        <w:ind w:left="742" w:right="0" w:firstLine="0"/>
        <w:jc w:val="left"/>
        <w:rPr>
          <w:b/>
          <w:sz w:val="21"/>
        </w:rPr>
      </w:pPr>
      <w:bookmarkStart w:id="127" w:name="一、利润的构成"/>
      <w:bookmarkEnd w:id="127"/>
      <w:r>
        <w:rPr>
          <w:b/>
          <w:sz w:val="21"/>
          <w:shd w:val="clear" w:color="auto" w:fill="C0C0C0"/>
        </w:rPr>
        <w:t>一、利润的构成</w:t>
      </w:r>
    </w:p>
    <w:p>
      <w:pPr>
        <w:pStyle w:val="5"/>
        <w:spacing w:before="91"/>
      </w:pPr>
      <w:r>
        <w:t>1.概念</w:t>
      </w:r>
    </w:p>
    <w:p>
      <w:pPr>
        <w:spacing w:before="70"/>
        <w:ind w:left="716" w:right="0" w:firstLine="0"/>
        <w:jc w:val="left"/>
        <w:rPr>
          <w:sz w:val="20"/>
        </w:rPr>
      </w:pPr>
      <w:r>
        <w:rPr>
          <w:sz w:val="20"/>
        </w:rPr>
        <w:t>利润是</w:t>
      </w:r>
      <w:r>
        <w:rPr>
          <w:b/>
          <w:color w:val="00AFEF"/>
          <w:sz w:val="20"/>
          <w:u w:val="single" w:color="00AFEF"/>
        </w:rPr>
        <w:t>指企业在一定会计期间的经营成果，</w:t>
      </w:r>
      <w:r>
        <w:rPr>
          <w:sz w:val="20"/>
        </w:rPr>
        <w:t>利润包括</w:t>
      </w:r>
      <w:r>
        <w:rPr>
          <w:color w:val="FF0000"/>
          <w:sz w:val="20"/>
          <w:u w:val="double" w:color="FF0000"/>
        </w:rPr>
        <w:t>收入减去费用后的净额、直接计入当期利润的利得和损失</w:t>
      </w:r>
    </w:p>
    <w:p>
      <w:pPr>
        <w:pStyle w:val="6"/>
        <w:ind w:left="322"/>
      </w:pPr>
      <w:r>
        <w:rPr>
          <w:w w:val="97"/>
        </w:rPr>
        <w:t>等</w:t>
      </w:r>
    </w:p>
    <w:p>
      <w:pPr>
        <w:pStyle w:val="6"/>
        <w:spacing w:line="304" w:lineRule="auto"/>
        <w:ind w:right="621"/>
        <w:rPr>
          <w:b/>
        </w:rPr>
      </w:pPr>
      <w:r>
        <w:t>利得是指由企业</w:t>
      </w:r>
      <w:r>
        <w:rPr>
          <w:color w:val="FF0000"/>
          <w:u w:val="double" w:color="FF0000"/>
        </w:rPr>
        <w:t>非日常活动</w:t>
      </w:r>
      <w:r>
        <w:rPr>
          <w:spacing w:val="-7"/>
        </w:rPr>
        <w:t>所形成的、会导致所有者权益增加的、与所有者投资资本无关的经济利润的流入</w:t>
      </w:r>
      <w:r>
        <w:rPr>
          <w:spacing w:val="-7"/>
          <w:w w:val="95"/>
        </w:rPr>
        <w:t>损失是指由企业</w:t>
      </w:r>
      <w:r>
        <w:rPr>
          <w:color w:val="FF0000"/>
          <w:spacing w:val="-7"/>
          <w:w w:val="95"/>
          <w:u w:val="double" w:color="FF0000"/>
        </w:rPr>
        <w:t>非日常活动</w:t>
      </w:r>
      <w:r>
        <w:rPr>
          <w:spacing w:val="-16"/>
          <w:w w:val="95"/>
        </w:rPr>
        <w:t xml:space="preserve">所发生的、会导致所有者权益减少、与向所有者分配利润无关的经济利润的流出。   </w:t>
      </w:r>
      <w:r>
        <w:rPr>
          <w:b/>
          <w:spacing w:val="-16"/>
        </w:rPr>
        <w:t>2.利润的构成</w:t>
      </w:r>
    </w:p>
    <w:p>
      <w:pPr>
        <w:pStyle w:val="6"/>
        <w:spacing w:before="1"/>
      </w:pPr>
      <w:r>
        <w:rPr>
          <w:color w:val="FF0000"/>
          <w:u w:val="double" w:color="FF0000"/>
        </w:rPr>
        <w:t>①营业利润＝营业收入-营业成本-税金及附加-销售费用-管理费用-研发费用-财务费用+其他收益+投资收</w:t>
      </w:r>
    </w:p>
    <w:p>
      <w:pPr>
        <w:pStyle w:val="6"/>
        <w:spacing w:line="304" w:lineRule="auto"/>
        <w:ind w:left="322" w:right="722"/>
      </w:pPr>
      <w:r>
        <w:rPr>
          <w:color w:val="FF0000"/>
          <w:spacing w:val="-10"/>
          <w:w w:val="95"/>
          <w:u w:val="double" w:color="FF0000"/>
        </w:rPr>
        <w:t>益</w:t>
      </w:r>
      <w:r>
        <w:rPr>
          <w:color w:val="FF0000"/>
          <w:w w:val="95"/>
          <w:u w:val="double" w:color="FF0000"/>
        </w:rPr>
        <w:t>（-投资损失</w:t>
      </w:r>
      <w:r>
        <w:rPr>
          <w:color w:val="FF0000"/>
          <w:spacing w:val="-5"/>
          <w:w w:val="95"/>
          <w:u w:val="double" w:color="FF0000"/>
        </w:rPr>
        <w:t>）</w:t>
      </w:r>
      <w:r>
        <w:rPr>
          <w:color w:val="FF0000"/>
          <w:spacing w:val="-3"/>
          <w:w w:val="95"/>
          <w:u w:val="double" w:color="FF0000"/>
        </w:rPr>
        <w:t>+净敞口套期收益</w:t>
      </w:r>
      <w:r>
        <w:rPr>
          <w:color w:val="FF0000"/>
          <w:w w:val="95"/>
          <w:u w:val="double" w:color="FF0000"/>
        </w:rPr>
        <w:t>（-净敞口套期损失</w:t>
      </w:r>
      <w:r>
        <w:rPr>
          <w:color w:val="FF0000"/>
          <w:spacing w:val="-5"/>
          <w:w w:val="95"/>
          <w:u w:val="double" w:color="FF0000"/>
        </w:rPr>
        <w:t>）</w:t>
      </w:r>
      <w:r>
        <w:rPr>
          <w:color w:val="FF0000"/>
          <w:spacing w:val="-3"/>
          <w:w w:val="95"/>
          <w:u w:val="double" w:color="FF0000"/>
        </w:rPr>
        <w:t>+公允价值变动收益</w:t>
      </w:r>
      <w:r>
        <w:rPr>
          <w:color w:val="FF0000"/>
          <w:w w:val="95"/>
          <w:u w:val="double" w:color="FF0000"/>
        </w:rPr>
        <w:t>（-公允价值变动损失</w:t>
      </w:r>
      <w:r>
        <w:rPr>
          <w:color w:val="FF0000"/>
          <w:spacing w:val="-5"/>
          <w:w w:val="95"/>
          <w:u w:val="double" w:color="FF0000"/>
        </w:rPr>
        <w:t>）</w:t>
      </w:r>
      <w:r>
        <w:rPr>
          <w:color w:val="FF0000"/>
          <w:spacing w:val="-2"/>
          <w:w w:val="95"/>
          <w:u w:val="double" w:color="FF0000"/>
        </w:rPr>
        <w:t xml:space="preserve">-信用减值损    </w:t>
      </w:r>
      <w:r>
        <w:rPr>
          <w:color w:val="FF0000"/>
          <w:spacing w:val="-2"/>
          <w:u w:val="double" w:color="FF0000"/>
        </w:rPr>
        <w:t>失-资产减值损失+资产处置收益（-资产处置损失）</w:t>
      </w:r>
    </w:p>
    <w:p>
      <w:pPr>
        <w:pStyle w:val="6"/>
        <w:spacing w:before="2"/>
      </w:pPr>
      <w:r>
        <w:rPr>
          <w:color w:val="FF0000"/>
          <w:u w:val="double" w:color="FF0000"/>
        </w:rPr>
        <w:t>②利润总额＝营业利润+营业外收入-营业外支出</w:t>
      </w:r>
    </w:p>
    <w:p>
      <w:pPr>
        <w:pStyle w:val="6"/>
      </w:pPr>
      <w:r>
        <w:rPr>
          <w:color w:val="FF0000"/>
          <w:u w:val="double" w:color="FF0000"/>
        </w:rPr>
        <w:t>③净利润＝利润总额-所得税费用</w:t>
      </w:r>
    </w:p>
    <w:p>
      <w:pPr>
        <w:spacing w:before="22"/>
        <w:ind w:left="742" w:right="0" w:firstLine="0"/>
        <w:jc w:val="left"/>
        <w:rPr>
          <w:b/>
          <w:sz w:val="21"/>
        </w:rPr>
      </w:pPr>
      <w:bookmarkStart w:id="128" w:name="二、营业外收支的账务处理"/>
      <w:bookmarkEnd w:id="128"/>
      <w:r>
        <w:rPr>
          <w:b/>
          <w:sz w:val="21"/>
          <w:shd w:val="clear" w:color="auto" w:fill="C0C0C0"/>
        </w:rPr>
        <w:t>二、营业外收支的账务处理</w:t>
      </w:r>
    </w:p>
    <w:p>
      <w:pPr>
        <w:pStyle w:val="5"/>
        <w:spacing w:before="89" w:line="304" w:lineRule="auto"/>
        <w:ind w:right="7653"/>
      </w:pPr>
      <w:r>
        <w:t>（一）营业外收入账务处理1.处置非流动资产利得</w:t>
      </w:r>
    </w:p>
    <w:p>
      <w:pPr>
        <w:spacing w:before="2" w:line="304" w:lineRule="auto"/>
        <w:ind w:left="723" w:right="662" w:firstLine="0"/>
        <w:jc w:val="left"/>
        <w:rPr>
          <w:b/>
          <w:sz w:val="20"/>
        </w:rPr>
      </w:pPr>
      <w:r>
        <w:rPr>
          <w:w w:val="95"/>
          <w:sz w:val="20"/>
        </w:rPr>
        <w:t xml:space="preserve">处置固定资产通过“固定资产清理”科目核算，其账户余额转入资产处置损益、营业外收入或营业外支出；   </w:t>
      </w:r>
      <w:r>
        <w:rPr>
          <w:b/>
          <w:sz w:val="20"/>
        </w:rPr>
        <w:t>2.确认盘盈利得、捐赠利得</w:t>
      </w:r>
    </w:p>
    <w:p>
      <w:pPr>
        <w:pStyle w:val="6"/>
        <w:spacing w:before="2"/>
      </w:pPr>
      <w:r>
        <w:t>盘盈利得应通过“待处理财产损溢”科目核算</w:t>
      </w:r>
    </w:p>
    <w:p>
      <w:pPr>
        <w:spacing w:before="70" w:line="302" w:lineRule="auto"/>
        <w:ind w:left="723" w:right="7653" w:firstLine="0"/>
        <w:jc w:val="left"/>
        <w:rPr>
          <w:sz w:val="20"/>
        </w:rPr>
      </w:pPr>
      <w:r>
        <w:rPr>
          <w:b/>
          <w:sz w:val="20"/>
        </w:rPr>
        <w:t>（二）营业外支出账务处理</w:t>
      </w:r>
      <w:r>
        <w:rPr>
          <w:sz w:val="20"/>
        </w:rPr>
        <w:t>借：营业外支出</w:t>
      </w:r>
    </w:p>
    <w:p>
      <w:pPr>
        <w:pStyle w:val="6"/>
        <w:spacing w:before="4" w:line="304" w:lineRule="auto"/>
        <w:ind w:left="1522" w:right="6060" w:hanging="399"/>
      </w:pPr>
      <w:r>
        <w:t>贷：固定资产清理（报废毁损固定资产） 无形资产（报废无形资产）</w:t>
      </w:r>
    </w:p>
    <w:p>
      <w:pPr>
        <w:pStyle w:val="6"/>
        <w:spacing w:before="2" w:line="304" w:lineRule="auto"/>
        <w:ind w:left="1522" w:right="5661"/>
      </w:pPr>
      <w:r>
        <w:t>待处理财产损溢（存货、固定资产盘亏） 库存现金（支付罚款、滞纳金等）</w:t>
      </w:r>
    </w:p>
    <w:p>
      <w:pPr>
        <w:pStyle w:val="6"/>
        <w:spacing w:before="2" w:line="302" w:lineRule="auto"/>
        <w:ind w:right="8861" w:firstLine="799"/>
      </w:pPr>
      <w:r>
        <w:t>…… 借：本年利润</w:t>
      </w:r>
    </w:p>
    <w:p>
      <w:pPr>
        <w:pStyle w:val="6"/>
        <w:spacing w:before="5"/>
        <w:ind w:left="1123"/>
      </w:pPr>
      <w:r>
        <w:t>贷：营业外支出</w:t>
      </w:r>
    </w:p>
    <w:p>
      <w:pPr>
        <w:spacing w:before="22"/>
        <w:ind w:left="742" w:right="0" w:firstLine="0"/>
        <w:jc w:val="left"/>
        <w:rPr>
          <w:b/>
          <w:sz w:val="21"/>
        </w:rPr>
      </w:pPr>
      <w:bookmarkStart w:id="129" w:name="三、所得税费用"/>
      <w:bookmarkEnd w:id="129"/>
      <w:r>
        <w:rPr>
          <w:b/>
          <w:sz w:val="21"/>
          <w:shd w:val="clear" w:color="auto" w:fill="C0C0C0"/>
        </w:rPr>
        <w:t>三、所得税费用</w:t>
      </w:r>
    </w:p>
    <w:p>
      <w:pPr>
        <w:pStyle w:val="5"/>
        <w:spacing w:before="91"/>
      </w:pPr>
      <w:r>
        <w:t>（一）所得税费用的构成</w:t>
      </w:r>
    </w:p>
    <w:p>
      <w:pPr>
        <w:spacing w:before="70" w:line="304" w:lineRule="auto"/>
        <w:ind w:left="723" w:right="4044" w:firstLine="0"/>
        <w:jc w:val="left"/>
        <w:rPr>
          <w:sz w:val="20"/>
        </w:rPr>
      </w:pPr>
      <w:r>
        <w:rPr>
          <w:w w:val="95"/>
          <w:sz w:val="20"/>
        </w:rPr>
        <w:t>所得税费用是指</w:t>
      </w:r>
      <w:r>
        <w:rPr>
          <w:b/>
          <w:color w:val="00AFEF"/>
          <w:w w:val="95"/>
          <w:sz w:val="20"/>
          <w:u w:val="single" w:color="00AFEF"/>
        </w:rPr>
        <w:t>企业确认的应从当期利润总额中扣除的所得税费用</w:t>
      </w:r>
      <w:r>
        <w:rPr>
          <w:w w:val="95"/>
          <w:sz w:val="20"/>
        </w:rPr>
        <w:t xml:space="preserve">。  </w:t>
      </w:r>
      <w:r>
        <w:rPr>
          <w:sz w:val="20"/>
        </w:rPr>
        <w:t>包括当期所得税和递延所得税两部分。</w:t>
      </w:r>
    </w:p>
    <w:p>
      <w:pPr>
        <w:pStyle w:val="5"/>
        <w:spacing w:before="2"/>
      </w:pPr>
      <w:r>
        <w:t>（二）应交所得税的计算</w:t>
      </w:r>
    </w:p>
    <w:p>
      <w:pPr>
        <w:pStyle w:val="5"/>
        <w:spacing w:before="68" w:line="304" w:lineRule="auto"/>
        <w:ind w:right="3036"/>
      </w:pPr>
      <w:r>
        <w:rPr>
          <w:color w:val="00AFEF"/>
          <w:w w:val="95"/>
          <w:u w:val="single" w:color="00AFEF"/>
        </w:rPr>
        <w:t xml:space="preserve">应纳税所得额＝利润总额（税前会计利润）＋纳税调整增加额－纳税调整减少额  </w:t>
      </w:r>
      <w:r>
        <w:rPr>
          <w:color w:val="00AFEF"/>
          <w:u w:val="single" w:color="00AFEF"/>
        </w:rPr>
        <w:t>应交所得税=应纳税所得额（税法利润）×所得税税率</w:t>
      </w:r>
    </w:p>
    <w:p>
      <w:pPr>
        <w:pStyle w:val="5"/>
        <w:tabs>
          <w:tab w:val="left" w:pos="5643"/>
        </w:tabs>
        <w:spacing w:before="2"/>
      </w:pPr>
      <w:r>
        <w:t>1.纳税调整增加额</w:t>
      </w:r>
      <w:r>
        <w:tab/>
      </w:r>
      <w:r>
        <w:t>2.纳税调整减少额</w:t>
      </w:r>
    </w:p>
    <w:p>
      <w:pPr>
        <w:pStyle w:val="6"/>
        <w:spacing w:before="6"/>
        <w:ind w:left="0"/>
        <w:rPr>
          <w:b/>
          <w:sz w:val="15"/>
        </w:rPr>
      </w:pPr>
      <w:r>
        <w:drawing>
          <wp:anchor distT="0" distB="0" distL="0" distR="0" simplePos="0" relativeHeight="1024" behindDoc="0" locked="0" layoutInCell="1" allowOverlap="1">
            <wp:simplePos x="0" y="0"/>
            <wp:positionH relativeFrom="page">
              <wp:posOffset>4092575</wp:posOffset>
            </wp:positionH>
            <wp:positionV relativeFrom="paragraph">
              <wp:posOffset>150495</wp:posOffset>
            </wp:positionV>
            <wp:extent cx="1680845" cy="521335"/>
            <wp:effectExtent l="0" t="0" r="0" b="0"/>
            <wp:wrapTopAndBottom/>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9.png"/>
                    <pic:cNvPicPr>
                      <a:picLocks noChangeAspect="1"/>
                    </pic:cNvPicPr>
                  </pic:nvPicPr>
                  <pic:blipFill>
                    <a:blip r:embed="rId57" cstate="print"/>
                    <a:stretch>
                      <a:fillRect/>
                    </a:stretch>
                  </pic:blipFill>
                  <pic:spPr>
                    <a:xfrm>
                      <a:off x="0" y="0"/>
                      <a:ext cx="1680824" cy="521208"/>
                    </a:xfrm>
                    <a:prstGeom prst="rect">
                      <a:avLst/>
                    </a:prstGeom>
                  </pic:spPr>
                </pic:pic>
              </a:graphicData>
            </a:graphic>
          </wp:anchor>
        </w:drawing>
      </w:r>
    </w:p>
    <w:p>
      <w:pPr>
        <w:spacing w:after="0"/>
        <w:rPr>
          <w:sz w:val="15"/>
        </w:rPr>
        <w:sectPr>
          <w:pgSz w:w="11910" w:h="16160"/>
          <w:pgMar w:top="1680" w:right="360" w:bottom="860" w:left="760" w:header="0" w:footer="548" w:gutter="0"/>
        </w:sect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7"/>
        <w:ind w:left="0"/>
        <w:rPr>
          <w:b/>
          <w:sz w:val="17"/>
        </w:rPr>
      </w:pPr>
    </w:p>
    <w:p>
      <w:pPr>
        <w:spacing w:before="0" w:line="304" w:lineRule="auto"/>
        <w:ind w:left="723" w:right="7452" w:firstLine="0"/>
        <w:jc w:val="left"/>
        <w:rPr>
          <w:sz w:val="20"/>
        </w:rPr>
      </w:pPr>
      <w:r>
        <w:rPr>
          <w:b/>
          <w:sz w:val="20"/>
        </w:rPr>
        <w:t>（三）所得税费用的账务处理</w:t>
      </w:r>
      <w:r>
        <w:rPr>
          <w:sz w:val="20"/>
        </w:rPr>
        <w:t>借：所得税费用</w:t>
      </w:r>
    </w:p>
    <w:p>
      <w:pPr>
        <w:pStyle w:val="6"/>
        <w:spacing w:before="2" w:line="304" w:lineRule="auto"/>
        <w:ind w:left="1522" w:right="5462" w:hanging="399"/>
      </w:pPr>
      <w:r>
        <w:t>贷：应交税费—应交所得税（当期应交所得税</w:t>
      </w:r>
      <w:r>
        <w:rPr>
          <w:spacing w:val="-10"/>
        </w:rPr>
        <w:t xml:space="preserve">） </w:t>
      </w:r>
      <w:r>
        <w:t>递延所得税资产（增加在借方）</w:t>
      </w:r>
    </w:p>
    <w:p>
      <w:pPr>
        <w:pStyle w:val="6"/>
        <w:spacing w:before="0" w:line="256" w:lineRule="exact"/>
        <w:ind w:left="1522"/>
      </w:pPr>
      <w:r>
        <w:rPr>
          <w:w w:val="95"/>
        </w:rPr>
        <w:t>递延所得税负债（减少在借方）</w:t>
      </w:r>
    </w:p>
    <w:p>
      <w:pPr>
        <w:spacing w:before="22"/>
        <w:ind w:left="742" w:right="0" w:firstLine="0"/>
        <w:jc w:val="left"/>
        <w:rPr>
          <w:b/>
          <w:sz w:val="21"/>
        </w:rPr>
      </w:pPr>
      <w:bookmarkStart w:id="130" w:name="四、本年利润"/>
      <w:bookmarkEnd w:id="130"/>
      <w:r>
        <w:rPr>
          <w:b/>
          <w:sz w:val="21"/>
          <w:shd w:val="clear" w:color="auto" w:fill="C0C0C0"/>
        </w:rPr>
        <w:t>四、本年利润</w:t>
      </w:r>
    </w:p>
    <w:p>
      <w:pPr>
        <w:pStyle w:val="5"/>
        <w:spacing w:before="91"/>
      </w:pPr>
      <w:r>
        <w:t>结转本年利润的方法</w:t>
      </w:r>
    </w:p>
    <w:p>
      <w:pPr>
        <w:pStyle w:val="13"/>
        <w:numPr>
          <w:ilvl w:val="0"/>
          <w:numId w:val="106"/>
        </w:numPr>
        <w:tabs>
          <w:tab w:val="left" w:pos="925"/>
        </w:tabs>
        <w:spacing w:before="70" w:after="0" w:line="304" w:lineRule="auto"/>
        <w:ind w:left="322" w:right="722" w:firstLine="400"/>
        <w:jc w:val="left"/>
        <w:rPr>
          <w:sz w:val="20"/>
        </w:rPr>
      </w:pPr>
      <w:r>
        <w:rPr>
          <w:b/>
          <w:spacing w:val="-3"/>
          <w:w w:val="95"/>
          <w:sz w:val="20"/>
        </w:rPr>
        <w:t>表结法：</w:t>
      </w:r>
      <w:r>
        <w:rPr>
          <w:spacing w:val="-4"/>
          <w:w w:val="95"/>
          <w:sz w:val="20"/>
        </w:rPr>
        <w:t>各损益类科目每月月末只需结计出本月发生额和月末累计余额，不结转到“本年利润”科目，</w:t>
      </w:r>
      <w:r>
        <w:rPr>
          <w:color w:val="FF0000"/>
          <w:spacing w:val="-100"/>
          <w:w w:val="95"/>
          <w:sz w:val="20"/>
          <w:u w:val="double" w:color="FF0000"/>
        </w:rPr>
        <w:t>只有</w:t>
      </w:r>
      <w:r>
        <w:rPr>
          <w:color w:val="FF0000"/>
          <w:spacing w:val="174"/>
          <w:w w:val="95"/>
          <w:sz w:val="20"/>
          <w:u w:val="double" w:color="FF0000"/>
        </w:rPr>
        <w:t xml:space="preserve"> </w:t>
      </w:r>
      <w:r>
        <w:rPr>
          <w:color w:val="FF0000"/>
          <w:sz w:val="20"/>
          <w:u w:val="double" w:color="FF0000"/>
        </w:rPr>
        <w:t>在年末时才将全年累计余额结转入“本年利润”科目</w:t>
      </w:r>
      <w:r>
        <w:rPr>
          <w:sz w:val="20"/>
        </w:rPr>
        <w:t>。</w:t>
      </w:r>
    </w:p>
    <w:p>
      <w:pPr>
        <w:pStyle w:val="13"/>
        <w:numPr>
          <w:ilvl w:val="0"/>
          <w:numId w:val="106"/>
        </w:numPr>
        <w:tabs>
          <w:tab w:val="left" w:pos="925"/>
        </w:tabs>
        <w:spacing w:before="2" w:after="0" w:line="304" w:lineRule="auto"/>
        <w:ind w:left="4992" w:right="657" w:hanging="4270"/>
        <w:jc w:val="left"/>
        <w:rPr>
          <w:sz w:val="20"/>
        </w:rPr>
      </w:pPr>
      <w:r>
        <w:rPr>
          <w:b/>
          <w:w w:val="95"/>
          <w:sz w:val="20"/>
        </w:rPr>
        <w:t>账结法：</w:t>
      </w:r>
      <w:r>
        <w:rPr>
          <w:color w:val="FF0000"/>
          <w:w w:val="95"/>
          <w:sz w:val="20"/>
          <w:u w:val="double" w:color="FF0000"/>
        </w:rPr>
        <w:t>每月月末</w:t>
      </w:r>
      <w:r>
        <w:rPr>
          <w:w w:val="95"/>
          <w:sz w:val="20"/>
        </w:rPr>
        <w:t xml:space="preserve">均需编制转账凭证，将在账上结计出的各损益类科目的余额结转入“本年利润”科目。   </w:t>
      </w:r>
      <w:r>
        <w:rPr>
          <w:color w:val="FF0000"/>
          <w:sz w:val="20"/>
          <w:u w:val="double" w:color="FF0000"/>
        </w:rPr>
        <w:t>本章总结</w:t>
      </w:r>
    </w:p>
    <w:p>
      <w:pPr>
        <w:pStyle w:val="13"/>
        <w:numPr>
          <w:ilvl w:val="0"/>
          <w:numId w:val="107"/>
        </w:numPr>
        <w:tabs>
          <w:tab w:val="left" w:pos="925"/>
        </w:tabs>
        <w:spacing w:before="0" w:after="0" w:line="256" w:lineRule="exact"/>
        <w:ind w:left="924" w:right="0" w:hanging="202"/>
        <w:jc w:val="left"/>
        <w:rPr>
          <w:sz w:val="20"/>
        </w:rPr>
      </w:pPr>
      <w:r>
        <w:rPr>
          <w:sz w:val="20"/>
        </w:rPr>
        <w:t>掌握收入确认的原则和前提条件</w:t>
      </w:r>
    </w:p>
    <w:p>
      <w:pPr>
        <w:pStyle w:val="13"/>
        <w:numPr>
          <w:ilvl w:val="0"/>
          <w:numId w:val="107"/>
        </w:numPr>
        <w:tabs>
          <w:tab w:val="left" w:pos="925"/>
        </w:tabs>
        <w:spacing w:before="70" w:after="0" w:line="240" w:lineRule="auto"/>
        <w:ind w:left="924" w:right="0" w:hanging="202"/>
        <w:jc w:val="left"/>
        <w:rPr>
          <w:sz w:val="20"/>
        </w:rPr>
      </w:pPr>
      <w:r>
        <w:rPr>
          <w:sz w:val="20"/>
        </w:rPr>
        <w:t>掌握收入确认和计量的步骤以及收入核算应设置的会计科目</w:t>
      </w:r>
    </w:p>
    <w:p>
      <w:pPr>
        <w:pStyle w:val="13"/>
        <w:numPr>
          <w:ilvl w:val="0"/>
          <w:numId w:val="107"/>
        </w:numPr>
        <w:tabs>
          <w:tab w:val="left" w:pos="925"/>
        </w:tabs>
        <w:spacing w:before="70" w:after="0" w:line="240" w:lineRule="auto"/>
        <w:ind w:left="924" w:right="0" w:hanging="202"/>
        <w:jc w:val="left"/>
        <w:rPr>
          <w:sz w:val="20"/>
        </w:rPr>
      </w:pPr>
      <w:r>
        <w:rPr>
          <w:sz w:val="20"/>
        </w:rPr>
        <w:t>掌握在某一时点和某一时段履行履约义务并确认收入的账务处理</w:t>
      </w:r>
    </w:p>
    <w:p>
      <w:pPr>
        <w:pStyle w:val="13"/>
        <w:numPr>
          <w:ilvl w:val="0"/>
          <w:numId w:val="107"/>
        </w:numPr>
        <w:tabs>
          <w:tab w:val="left" w:pos="925"/>
        </w:tabs>
        <w:spacing w:before="70" w:after="0" w:line="240" w:lineRule="auto"/>
        <w:ind w:left="924" w:right="0" w:hanging="202"/>
        <w:jc w:val="left"/>
        <w:rPr>
          <w:sz w:val="20"/>
        </w:rPr>
      </w:pPr>
      <w:r>
        <w:rPr>
          <w:sz w:val="20"/>
        </w:rPr>
        <w:t>掌握合同取得成本和合同履约成本的内容及账务处理</w:t>
      </w:r>
    </w:p>
    <w:p>
      <w:pPr>
        <w:pStyle w:val="13"/>
        <w:numPr>
          <w:ilvl w:val="0"/>
          <w:numId w:val="107"/>
        </w:numPr>
        <w:tabs>
          <w:tab w:val="left" w:pos="925"/>
        </w:tabs>
        <w:spacing w:before="70" w:after="0" w:line="240" w:lineRule="auto"/>
        <w:ind w:left="924" w:right="0" w:hanging="202"/>
        <w:jc w:val="left"/>
        <w:rPr>
          <w:sz w:val="20"/>
        </w:rPr>
      </w:pPr>
      <w:r>
        <w:rPr>
          <w:sz w:val="20"/>
        </w:rPr>
        <w:t>掌握营业成本的账务处理</w:t>
      </w:r>
    </w:p>
    <w:p>
      <w:pPr>
        <w:pStyle w:val="13"/>
        <w:numPr>
          <w:ilvl w:val="0"/>
          <w:numId w:val="107"/>
        </w:numPr>
        <w:tabs>
          <w:tab w:val="left" w:pos="925"/>
        </w:tabs>
        <w:spacing w:before="70" w:after="0" w:line="240" w:lineRule="auto"/>
        <w:ind w:left="924" w:right="0" w:hanging="202"/>
        <w:jc w:val="left"/>
        <w:rPr>
          <w:sz w:val="20"/>
        </w:rPr>
      </w:pPr>
      <w:r>
        <w:rPr>
          <w:sz w:val="20"/>
        </w:rPr>
        <w:t>掌握税金及附加的账务处理</w:t>
      </w:r>
    </w:p>
    <w:p>
      <w:pPr>
        <w:pStyle w:val="13"/>
        <w:numPr>
          <w:ilvl w:val="0"/>
          <w:numId w:val="107"/>
        </w:numPr>
        <w:tabs>
          <w:tab w:val="left" w:pos="925"/>
        </w:tabs>
        <w:spacing w:before="68" w:after="0" w:line="240" w:lineRule="auto"/>
        <w:ind w:left="924" w:right="0" w:hanging="202"/>
        <w:jc w:val="left"/>
        <w:rPr>
          <w:sz w:val="20"/>
        </w:rPr>
      </w:pPr>
      <w:r>
        <w:rPr>
          <w:sz w:val="20"/>
        </w:rPr>
        <w:t>掌握期间费用的内容及账务处理</w:t>
      </w:r>
    </w:p>
    <w:p>
      <w:pPr>
        <w:pStyle w:val="13"/>
        <w:numPr>
          <w:ilvl w:val="0"/>
          <w:numId w:val="107"/>
        </w:numPr>
        <w:tabs>
          <w:tab w:val="left" w:pos="925"/>
        </w:tabs>
        <w:spacing w:before="70" w:after="0" w:line="240" w:lineRule="auto"/>
        <w:ind w:left="924" w:right="0" w:hanging="202"/>
        <w:jc w:val="left"/>
        <w:rPr>
          <w:sz w:val="20"/>
        </w:rPr>
      </w:pPr>
      <w:r>
        <w:rPr>
          <w:sz w:val="20"/>
        </w:rPr>
        <w:t>掌握营业外收入、营业外支出的核算内容及账务处理</w:t>
      </w:r>
    </w:p>
    <w:p>
      <w:pPr>
        <w:pStyle w:val="13"/>
        <w:numPr>
          <w:ilvl w:val="0"/>
          <w:numId w:val="107"/>
        </w:numPr>
        <w:tabs>
          <w:tab w:val="left" w:pos="925"/>
        </w:tabs>
        <w:spacing w:before="71" w:after="0" w:line="240" w:lineRule="auto"/>
        <w:ind w:left="924" w:right="0" w:hanging="202"/>
        <w:jc w:val="left"/>
        <w:rPr>
          <w:sz w:val="20"/>
        </w:rPr>
      </w:pPr>
      <w:r>
        <w:rPr>
          <w:sz w:val="20"/>
        </w:rPr>
        <w:t>掌握应交所得税、所得税费用的计算及账务处理</w:t>
      </w:r>
    </w:p>
    <w:p>
      <w:pPr>
        <w:pStyle w:val="13"/>
        <w:numPr>
          <w:ilvl w:val="0"/>
          <w:numId w:val="107"/>
        </w:numPr>
        <w:tabs>
          <w:tab w:val="left" w:pos="1026"/>
        </w:tabs>
        <w:spacing w:before="70" w:after="0" w:line="240" w:lineRule="auto"/>
        <w:ind w:left="1025" w:right="0" w:hanging="303"/>
        <w:jc w:val="left"/>
        <w:rPr>
          <w:sz w:val="20"/>
        </w:rPr>
      </w:pPr>
      <w:r>
        <w:rPr>
          <w:sz w:val="20"/>
        </w:rPr>
        <w:t>掌握利润的构成、本年利润的结转方法及账务处理</w:t>
      </w:r>
    </w:p>
    <w:p>
      <w:pPr>
        <w:pStyle w:val="13"/>
        <w:numPr>
          <w:ilvl w:val="0"/>
          <w:numId w:val="107"/>
        </w:numPr>
        <w:tabs>
          <w:tab w:val="left" w:pos="1026"/>
        </w:tabs>
        <w:spacing w:before="70" w:after="0" w:line="240" w:lineRule="auto"/>
        <w:ind w:left="1025" w:right="0" w:hanging="303"/>
        <w:jc w:val="left"/>
        <w:rPr>
          <w:sz w:val="20"/>
        </w:rPr>
      </w:pPr>
      <w:r>
        <w:rPr>
          <w:sz w:val="20"/>
        </w:rPr>
        <w:t>熟悉营业成本的组成、税全及附加的内容</w:t>
      </w:r>
    </w:p>
    <w:p>
      <w:pPr>
        <w:pStyle w:val="2"/>
        <w:tabs>
          <w:tab w:val="left" w:pos="1118"/>
        </w:tabs>
        <w:spacing w:before="116"/>
      </w:pPr>
      <w:bookmarkStart w:id="131" w:name="第六章　财务报表"/>
      <w:bookmarkEnd w:id="131"/>
      <w:bookmarkStart w:id="132" w:name="_bookmark28"/>
      <w:bookmarkEnd w:id="132"/>
      <w:r>
        <w:rPr>
          <w:color w:val="FF0000"/>
        </w:rPr>
        <w:t>第</w:t>
      </w:r>
      <w:r>
        <w:rPr>
          <w:color w:val="FF0000"/>
          <w:spacing w:val="-3"/>
        </w:rPr>
        <w:t>六</w:t>
      </w:r>
      <w:r>
        <w:rPr>
          <w:color w:val="FF0000"/>
        </w:rPr>
        <w:t>章</w:t>
      </w:r>
      <w:r>
        <w:rPr>
          <w:color w:val="FF0000"/>
        </w:rPr>
        <w:tab/>
      </w:r>
      <w:r>
        <w:rPr>
          <w:color w:val="FF0000"/>
        </w:rPr>
        <w:t>财</w:t>
      </w:r>
      <w:r>
        <w:rPr>
          <w:color w:val="FF0000"/>
          <w:spacing w:val="-3"/>
        </w:rPr>
        <w:t>务</w:t>
      </w:r>
      <w:r>
        <w:rPr>
          <w:color w:val="FF0000"/>
        </w:rPr>
        <w:t>报表</w:t>
      </w:r>
    </w:p>
    <w:p>
      <w:pPr>
        <w:pStyle w:val="5"/>
        <w:spacing w:before="184"/>
        <w:ind w:left="4592"/>
      </w:pPr>
      <w:bookmarkStart w:id="133" w:name="【本章考情分析】"/>
      <w:bookmarkEnd w:id="133"/>
      <w:r>
        <w:rPr>
          <w:color w:val="00AFEF"/>
          <w:u w:val="single" w:color="00AFEF"/>
        </w:rPr>
        <w:t>【本章考情分析】</w:t>
      </w:r>
    </w:p>
    <w:p>
      <w:pPr>
        <w:pStyle w:val="6"/>
        <w:spacing w:line="304" w:lineRule="auto"/>
        <w:ind w:left="322" w:right="722" w:firstLine="400"/>
      </w:pPr>
      <w:r>
        <w:rPr>
          <w:spacing w:val="-4"/>
          <w:w w:val="95"/>
        </w:rPr>
        <w:t>本章是《初级会计实务》中</w:t>
      </w:r>
      <w:r>
        <w:rPr>
          <w:color w:val="FF0000"/>
          <w:w w:val="95"/>
          <w:u w:val="double" w:color="FF0000"/>
        </w:rPr>
        <w:t>非常重要的一章</w:t>
      </w:r>
      <w:r>
        <w:rPr>
          <w:spacing w:val="-6"/>
          <w:w w:val="95"/>
        </w:rPr>
        <w:t xml:space="preserve">，考试题型主要是单选题、判断题、多选题和不定项选择题，学   </w:t>
      </w:r>
      <w:r>
        <w:rPr>
          <w:spacing w:val="-8"/>
        </w:rPr>
        <w:t xml:space="preserve">习时应注意资产负债表与利润表的填列方法和资产负债表特殊项目的计算，预计 </w:t>
      </w:r>
      <w:r>
        <w:t>2020</w:t>
      </w:r>
      <w:r>
        <w:rPr>
          <w:spacing w:val="-19"/>
        </w:rPr>
        <w:t xml:space="preserve"> 年分数在 </w:t>
      </w:r>
      <w:r>
        <w:rPr>
          <w:color w:val="FF0000"/>
          <w:u w:val="double" w:color="FF0000"/>
        </w:rPr>
        <w:t>10</w:t>
      </w:r>
      <w:r>
        <w:rPr>
          <w:color w:val="FF0000"/>
          <w:spacing w:val="-13"/>
          <w:u w:val="double" w:color="FF0000"/>
        </w:rPr>
        <w:t xml:space="preserve"> 分左右</w:t>
      </w:r>
      <w:r>
        <w:t>。</w:t>
      </w:r>
    </w:p>
    <w:p>
      <w:pPr>
        <w:pStyle w:val="3"/>
        <w:tabs>
          <w:tab w:val="left" w:pos="839"/>
        </w:tabs>
        <w:spacing w:before="52"/>
        <w:ind w:left="0" w:right="397"/>
        <w:jc w:val="center"/>
        <w:rPr>
          <w:rFonts w:hint="eastAsia" w:ascii="微软雅黑" w:eastAsia="微软雅黑"/>
        </w:rPr>
      </w:pPr>
      <w:bookmarkStart w:id="134" w:name="第一节　资产负债表"/>
      <w:bookmarkEnd w:id="134"/>
      <w:bookmarkStart w:id="135" w:name="_bookmark29"/>
      <w:bookmarkEnd w:id="135"/>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资产负债表</w:t>
      </w:r>
    </w:p>
    <w:p>
      <w:pPr>
        <w:spacing w:before="139"/>
        <w:ind w:left="742" w:right="0" w:firstLine="0"/>
        <w:jc w:val="left"/>
        <w:rPr>
          <w:b/>
          <w:sz w:val="21"/>
        </w:rPr>
      </w:pPr>
      <w:bookmarkStart w:id="136" w:name="一、资产负债表的结构"/>
      <w:bookmarkEnd w:id="136"/>
      <w:r>
        <w:rPr>
          <w:b/>
          <w:sz w:val="21"/>
          <w:shd w:val="clear" w:color="auto" w:fill="C0C0C0"/>
        </w:rPr>
        <w:t>一、资产负债表的结构</w:t>
      </w:r>
    </w:p>
    <w:p>
      <w:pPr>
        <w:spacing w:before="91"/>
        <w:ind w:left="723" w:right="0" w:firstLine="0"/>
        <w:jc w:val="left"/>
        <w:rPr>
          <w:b/>
          <w:sz w:val="20"/>
        </w:rPr>
      </w:pPr>
      <w:r>
        <w:rPr>
          <w:sz w:val="20"/>
        </w:rPr>
        <w:t>资产负债表是指</w:t>
      </w:r>
      <w:r>
        <w:rPr>
          <w:b/>
          <w:color w:val="00AFEF"/>
          <w:sz w:val="20"/>
          <w:u w:val="single" w:color="00AFEF"/>
        </w:rPr>
        <w:t>反映企业在某一特定日期的财务状况的报表。</w:t>
      </w:r>
    </w:p>
    <w:p>
      <w:pPr>
        <w:spacing w:after="0"/>
        <w:jc w:val="left"/>
        <w:rPr>
          <w:sz w:val="20"/>
        </w:rPr>
        <w:sectPr>
          <w:pgSz w:w="11910" w:h="16160"/>
          <w:pgMar w:top="1680" w:right="360" w:bottom="860" w:left="760" w:header="0" w:footer="548" w:gutter="0"/>
        </w:sectPr>
      </w:pPr>
    </w:p>
    <w:p>
      <w:pPr>
        <w:pStyle w:val="6"/>
        <w:spacing w:before="11"/>
        <w:ind w:left="0"/>
        <w:rPr>
          <w:b/>
          <w:sz w:val="13"/>
        </w:rPr>
      </w:pPr>
    </w:p>
    <w:p>
      <w:pPr>
        <w:pStyle w:val="6"/>
        <w:spacing w:before="71" w:line="304" w:lineRule="auto"/>
        <w:ind w:right="662"/>
      </w:pPr>
      <w:r>
        <w:rPr>
          <w:w w:val="95"/>
        </w:rPr>
        <w:t>资产负债表主要反映资产、负债和所有者权益三方面的内容，并满足“</w:t>
      </w:r>
      <w:r>
        <w:rPr>
          <w:color w:val="FF0000"/>
          <w:w w:val="95"/>
          <w:u w:val="double" w:color="FF0000"/>
        </w:rPr>
        <w:t>资产＝负债＋所有者权益</w:t>
      </w:r>
      <w:r>
        <w:rPr>
          <w:w w:val="95"/>
        </w:rPr>
        <w:t xml:space="preserve">”平衡式。   </w:t>
      </w:r>
      <w:r>
        <w:rPr>
          <w:spacing w:val="-2"/>
        </w:rPr>
        <w:t>资产负债表的表体格式一般有两种：</w:t>
      </w:r>
      <w:r>
        <w:rPr>
          <w:b/>
          <w:color w:val="00AFEF"/>
          <w:u w:val="single" w:color="00AFEF"/>
        </w:rPr>
        <w:t>报告式资产负债表和账户式资产负债表</w:t>
      </w:r>
      <w:r>
        <w:rPr>
          <w:spacing w:val="-7"/>
        </w:rPr>
        <w:t>；不管采用什么格式，资产各项</w:t>
      </w:r>
    </w:p>
    <w:p>
      <w:pPr>
        <w:pStyle w:val="6"/>
        <w:spacing w:before="2" w:line="304" w:lineRule="auto"/>
        <w:ind w:left="322" w:right="1661"/>
      </w:pPr>
      <w:r>
        <mc:AlternateContent>
          <mc:Choice Requires="wps">
            <w:drawing>
              <wp:anchor distT="0" distB="0" distL="114300" distR="114300" simplePos="0" relativeHeight="15867904" behindDoc="0" locked="0" layoutInCell="1" allowOverlap="1">
                <wp:simplePos x="0" y="0"/>
                <wp:positionH relativeFrom="page">
                  <wp:posOffset>615950</wp:posOffset>
                </wp:positionH>
                <wp:positionV relativeFrom="paragraph">
                  <wp:posOffset>370840</wp:posOffset>
                </wp:positionV>
                <wp:extent cx="6391910" cy="2773680"/>
                <wp:effectExtent l="0" t="0" r="0" b="0"/>
                <wp:wrapNone/>
                <wp:docPr id="162" name="文本框 263"/>
                <wp:cNvGraphicFramePr/>
                <a:graphic xmlns:a="http://schemas.openxmlformats.org/drawingml/2006/main">
                  <a:graphicData uri="http://schemas.microsoft.com/office/word/2010/wordprocessingShape">
                    <wps:wsp>
                      <wps:cNvSpPr txBox="1"/>
                      <wps:spPr>
                        <a:xfrm>
                          <a:off x="0" y="0"/>
                          <a:ext cx="6391910" cy="277368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6"/>
                              <w:gridCol w:w="1470"/>
                              <w:gridCol w:w="1455"/>
                              <w:gridCol w:w="2010"/>
                              <w:gridCol w:w="1215"/>
                              <w:gridCol w:w="20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70" w:line="236" w:lineRule="exact"/>
                                    <w:ind w:left="700" w:right="695"/>
                                    <w:jc w:val="center"/>
                                    <w:rPr>
                                      <w:sz w:val="20"/>
                                    </w:rPr>
                                  </w:pPr>
                                  <w:r>
                                    <w:rPr>
                                      <w:sz w:val="20"/>
                                    </w:rPr>
                                    <w:t>资产</w:t>
                                  </w:r>
                                </w:p>
                              </w:tc>
                              <w:tc>
                                <w:tcPr>
                                  <w:tcW w:w="1470" w:type="dxa"/>
                                </w:tcPr>
                                <w:p>
                                  <w:pPr>
                                    <w:pStyle w:val="14"/>
                                    <w:spacing w:before="70" w:line="236" w:lineRule="exact"/>
                                    <w:ind w:left="334"/>
                                    <w:rPr>
                                      <w:sz w:val="20"/>
                                    </w:rPr>
                                  </w:pPr>
                                  <w:r>
                                    <w:rPr>
                                      <w:sz w:val="20"/>
                                    </w:rPr>
                                    <w:t>期末余额</w:t>
                                  </w:r>
                                </w:p>
                              </w:tc>
                              <w:tc>
                                <w:tcPr>
                                  <w:tcW w:w="1455" w:type="dxa"/>
                                </w:tcPr>
                                <w:p>
                                  <w:pPr>
                                    <w:pStyle w:val="14"/>
                                    <w:spacing w:before="70" w:line="236" w:lineRule="exact"/>
                                    <w:ind w:left="326"/>
                                    <w:rPr>
                                      <w:sz w:val="20"/>
                                    </w:rPr>
                                  </w:pPr>
                                  <w:r>
                                    <w:rPr>
                                      <w:sz w:val="20"/>
                                    </w:rPr>
                                    <w:t>期初余额</w:t>
                                  </w:r>
                                </w:p>
                              </w:tc>
                              <w:tc>
                                <w:tcPr>
                                  <w:tcW w:w="2010" w:type="dxa"/>
                                </w:tcPr>
                                <w:p>
                                  <w:pPr>
                                    <w:pStyle w:val="14"/>
                                    <w:spacing w:before="70" w:line="236" w:lineRule="exact"/>
                                    <w:ind w:left="205"/>
                                    <w:rPr>
                                      <w:sz w:val="20"/>
                                    </w:rPr>
                                  </w:pPr>
                                  <w:r>
                                    <w:rPr>
                                      <w:sz w:val="20"/>
                                    </w:rPr>
                                    <w:t>负债和所有者权益</w:t>
                                  </w:r>
                                </w:p>
                              </w:tc>
                              <w:tc>
                                <w:tcPr>
                                  <w:tcW w:w="1215" w:type="dxa"/>
                                </w:tcPr>
                                <w:p>
                                  <w:pPr>
                                    <w:pStyle w:val="14"/>
                                    <w:spacing w:before="70" w:line="236" w:lineRule="exact"/>
                                    <w:ind w:left="206"/>
                                    <w:rPr>
                                      <w:sz w:val="20"/>
                                    </w:rPr>
                                  </w:pPr>
                                  <w:r>
                                    <w:rPr>
                                      <w:sz w:val="20"/>
                                    </w:rPr>
                                    <w:t>期末余额</w:t>
                                  </w:r>
                                </w:p>
                              </w:tc>
                              <w:tc>
                                <w:tcPr>
                                  <w:tcW w:w="2055" w:type="dxa"/>
                                </w:tcPr>
                                <w:p>
                                  <w:pPr>
                                    <w:pStyle w:val="14"/>
                                    <w:spacing w:before="70" w:line="236" w:lineRule="exact"/>
                                    <w:ind w:left="626"/>
                                    <w:rPr>
                                      <w:sz w:val="20"/>
                                    </w:rPr>
                                  </w:pPr>
                                  <w:r>
                                    <w:rPr>
                                      <w:sz w:val="20"/>
                                    </w:rPr>
                                    <w:t>期初余额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69" w:line="236" w:lineRule="exact"/>
                                    <w:ind w:left="107"/>
                                    <w:rPr>
                                      <w:sz w:val="20"/>
                                    </w:rPr>
                                  </w:pPr>
                                  <w:r>
                                    <w:rPr>
                                      <w:sz w:val="20"/>
                                    </w:rPr>
                                    <w:t>流动资产：</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流动负债：</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69" w:line="236" w:lineRule="exact"/>
                                    <w:ind w:left="107"/>
                                    <w:rPr>
                                      <w:sz w:val="20"/>
                                    </w:rPr>
                                  </w:pPr>
                                  <w:r>
                                    <w:rPr>
                                      <w:sz w:val="20"/>
                                    </w:rPr>
                                    <w:t>货币资金</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70" w:line="236" w:lineRule="exact"/>
                                    <w:ind w:left="107"/>
                                    <w:rPr>
                                      <w:sz w:val="20"/>
                                    </w:rPr>
                                  </w:pPr>
                                  <w:r>
                                    <w:rPr>
                                      <w:sz w:val="20"/>
                                    </w:rPr>
                                    <w:t>……</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流动负债合计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70" w:line="236" w:lineRule="exact"/>
                                    <w:ind w:left="107"/>
                                    <w:rPr>
                                      <w:sz w:val="20"/>
                                    </w:rPr>
                                  </w:pPr>
                                  <w:r>
                                    <w:rPr>
                                      <w:sz w:val="20"/>
                                    </w:rPr>
                                    <w:t>流动资产合计</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非流动负债：</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70" w:line="236" w:lineRule="exact"/>
                                    <w:ind w:left="107"/>
                                    <w:rPr>
                                      <w:sz w:val="20"/>
                                    </w:rPr>
                                  </w:pPr>
                                  <w:r>
                                    <w:rPr>
                                      <w:sz w:val="20"/>
                                    </w:rPr>
                                    <w:t>非流动资产：</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69" w:line="236" w:lineRule="exact"/>
                                    <w:ind w:left="107"/>
                                    <w:rPr>
                                      <w:sz w:val="20"/>
                                    </w:rPr>
                                  </w:pPr>
                                  <w:r>
                                    <w:rPr>
                                      <w:sz w:val="20"/>
                                    </w:rPr>
                                    <w:t>可供出售金融资产</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非流动负债合计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69" w:line="236" w:lineRule="exact"/>
                                    <w:ind w:left="107"/>
                                    <w:rPr>
                                      <w:sz w:val="20"/>
                                    </w:rPr>
                                  </w:pPr>
                                  <w:r>
                                    <w:rPr>
                                      <w:sz w:val="20"/>
                                    </w:rPr>
                                    <w:t>……</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负债合计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rPr>
                                      <w:rFonts w:ascii="Times New Roman"/>
                                      <w:sz w:val="18"/>
                                    </w:rPr>
                                  </w:pP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所有者权益</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rPr>
                                      <w:rFonts w:ascii="Times New Roman"/>
                                      <w:sz w:val="18"/>
                                    </w:rPr>
                                  </w:pP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70" w:line="236" w:lineRule="exact"/>
                                    <w:ind w:left="107"/>
                                    <w:rPr>
                                      <w:sz w:val="20"/>
                                    </w:rPr>
                                  </w:pPr>
                                  <w:r>
                                    <w:rPr>
                                      <w:sz w:val="20"/>
                                    </w:rPr>
                                    <w:t>非流动资产合计</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所有者权益合计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846" w:type="dxa"/>
                                </w:tcPr>
                                <w:p>
                                  <w:pPr>
                                    <w:pStyle w:val="14"/>
                                    <w:spacing w:before="69"/>
                                    <w:ind w:left="107"/>
                                    <w:rPr>
                                      <w:sz w:val="20"/>
                                    </w:rPr>
                                  </w:pPr>
                                  <w:r>
                                    <w:rPr>
                                      <w:sz w:val="20"/>
                                    </w:rPr>
                                    <w:t>资产总计</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9" w:line="326" w:lineRule="exact"/>
                                    <w:ind w:left="107" w:right="292"/>
                                    <w:rPr>
                                      <w:sz w:val="20"/>
                                    </w:rPr>
                                  </w:pPr>
                                  <w:r>
                                    <w:rPr>
                                      <w:sz w:val="20"/>
                                    </w:rPr>
                                    <w:t>负债及所有者权益总计</w:t>
                                  </w:r>
                                </w:p>
                              </w:tc>
                              <w:tc>
                                <w:tcPr>
                                  <w:tcW w:w="1215" w:type="dxa"/>
                                </w:tcPr>
                                <w:p>
                                  <w:pPr>
                                    <w:pStyle w:val="14"/>
                                    <w:rPr>
                                      <w:rFonts w:ascii="Times New Roman"/>
                                      <w:sz w:val="18"/>
                                    </w:rPr>
                                  </w:pPr>
                                </w:p>
                              </w:tc>
                              <w:tc>
                                <w:tcPr>
                                  <w:tcW w:w="2055" w:type="dxa"/>
                                </w:tcPr>
                                <w:p>
                                  <w:pPr>
                                    <w:pStyle w:val="14"/>
                                    <w:rPr>
                                      <w:rFonts w:ascii="Times New Roman"/>
                                      <w:sz w:val="18"/>
                                    </w:rPr>
                                  </w:pPr>
                                </w:p>
                              </w:tc>
                            </w:tr>
                          </w:tbl>
                          <w:p>
                            <w:pPr>
                              <w:pStyle w:val="6"/>
                              <w:spacing w:before="0"/>
                              <w:ind w:left="0"/>
                            </w:pPr>
                          </w:p>
                        </w:txbxContent>
                      </wps:txbx>
                      <wps:bodyPr lIns="0" tIns="0" rIns="0" bIns="0" upright="1"/>
                    </wps:wsp>
                  </a:graphicData>
                </a:graphic>
              </wp:anchor>
            </w:drawing>
          </mc:Choice>
          <mc:Fallback>
            <w:pict>
              <v:shape id="文本框 263" o:spid="_x0000_s1026" o:spt="202" type="#_x0000_t202" style="position:absolute;left:0pt;margin-left:48.5pt;margin-top:29.2pt;height:218.4pt;width:503.3pt;mso-position-horizontal-relative:page;z-index:15867904;mso-width-relative:page;mso-height-relative:page;" filled="f" stroked="f" coordsize="21600,21600" o:gfxdata="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PtAWK7aAAAACgEAAA8A&#10;AAAAAAAAAQAgAAAAIgAAAGRycy9kb3ducmV2LnhtbFBLAQIUABQAAAAIAIdO4kDG78QpowEAACkD&#10;AAAOAAAAAAAAAAEAIAAAACk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6"/>
                        <w:gridCol w:w="1470"/>
                        <w:gridCol w:w="1455"/>
                        <w:gridCol w:w="2010"/>
                        <w:gridCol w:w="1215"/>
                        <w:gridCol w:w="20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70" w:line="236" w:lineRule="exact"/>
                              <w:ind w:left="700" w:right="695"/>
                              <w:jc w:val="center"/>
                              <w:rPr>
                                <w:sz w:val="20"/>
                              </w:rPr>
                            </w:pPr>
                            <w:r>
                              <w:rPr>
                                <w:sz w:val="20"/>
                              </w:rPr>
                              <w:t>资产</w:t>
                            </w:r>
                          </w:p>
                        </w:tc>
                        <w:tc>
                          <w:tcPr>
                            <w:tcW w:w="1470" w:type="dxa"/>
                          </w:tcPr>
                          <w:p>
                            <w:pPr>
                              <w:pStyle w:val="14"/>
                              <w:spacing w:before="70" w:line="236" w:lineRule="exact"/>
                              <w:ind w:left="334"/>
                              <w:rPr>
                                <w:sz w:val="20"/>
                              </w:rPr>
                            </w:pPr>
                            <w:r>
                              <w:rPr>
                                <w:sz w:val="20"/>
                              </w:rPr>
                              <w:t>期末余额</w:t>
                            </w:r>
                          </w:p>
                        </w:tc>
                        <w:tc>
                          <w:tcPr>
                            <w:tcW w:w="1455" w:type="dxa"/>
                          </w:tcPr>
                          <w:p>
                            <w:pPr>
                              <w:pStyle w:val="14"/>
                              <w:spacing w:before="70" w:line="236" w:lineRule="exact"/>
                              <w:ind w:left="326"/>
                              <w:rPr>
                                <w:sz w:val="20"/>
                              </w:rPr>
                            </w:pPr>
                            <w:r>
                              <w:rPr>
                                <w:sz w:val="20"/>
                              </w:rPr>
                              <w:t>期初余额</w:t>
                            </w:r>
                          </w:p>
                        </w:tc>
                        <w:tc>
                          <w:tcPr>
                            <w:tcW w:w="2010" w:type="dxa"/>
                          </w:tcPr>
                          <w:p>
                            <w:pPr>
                              <w:pStyle w:val="14"/>
                              <w:spacing w:before="70" w:line="236" w:lineRule="exact"/>
                              <w:ind w:left="205"/>
                              <w:rPr>
                                <w:sz w:val="20"/>
                              </w:rPr>
                            </w:pPr>
                            <w:r>
                              <w:rPr>
                                <w:sz w:val="20"/>
                              </w:rPr>
                              <w:t>负债和所有者权益</w:t>
                            </w:r>
                          </w:p>
                        </w:tc>
                        <w:tc>
                          <w:tcPr>
                            <w:tcW w:w="1215" w:type="dxa"/>
                          </w:tcPr>
                          <w:p>
                            <w:pPr>
                              <w:pStyle w:val="14"/>
                              <w:spacing w:before="70" w:line="236" w:lineRule="exact"/>
                              <w:ind w:left="206"/>
                              <w:rPr>
                                <w:sz w:val="20"/>
                              </w:rPr>
                            </w:pPr>
                            <w:r>
                              <w:rPr>
                                <w:sz w:val="20"/>
                              </w:rPr>
                              <w:t>期末余额</w:t>
                            </w:r>
                          </w:p>
                        </w:tc>
                        <w:tc>
                          <w:tcPr>
                            <w:tcW w:w="2055" w:type="dxa"/>
                          </w:tcPr>
                          <w:p>
                            <w:pPr>
                              <w:pStyle w:val="14"/>
                              <w:spacing w:before="70" w:line="236" w:lineRule="exact"/>
                              <w:ind w:left="626"/>
                              <w:rPr>
                                <w:sz w:val="20"/>
                              </w:rPr>
                            </w:pPr>
                            <w:r>
                              <w:rPr>
                                <w:sz w:val="20"/>
                              </w:rPr>
                              <w:t>期初余额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69" w:line="236" w:lineRule="exact"/>
                              <w:ind w:left="107"/>
                              <w:rPr>
                                <w:sz w:val="20"/>
                              </w:rPr>
                            </w:pPr>
                            <w:r>
                              <w:rPr>
                                <w:sz w:val="20"/>
                              </w:rPr>
                              <w:t>流动资产：</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流动负债：</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69" w:line="236" w:lineRule="exact"/>
                              <w:ind w:left="107"/>
                              <w:rPr>
                                <w:sz w:val="20"/>
                              </w:rPr>
                            </w:pPr>
                            <w:r>
                              <w:rPr>
                                <w:sz w:val="20"/>
                              </w:rPr>
                              <w:t>货币资金</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70" w:line="236" w:lineRule="exact"/>
                              <w:ind w:left="107"/>
                              <w:rPr>
                                <w:sz w:val="20"/>
                              </w:rPr>
                            </w:pPr>
                            <w:r>
                              <w:rPr>
                                <w:sz w:val="20"/>
                              </w:rPr>
                              <w:t>……</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流动负债合计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70" w:line="236" w:lineRule="exact"/>
                              <w:ind w:left="107"/>
                              <w:rPr>
                                <w:sz w:val="20"/>
                              </w:rPr>
                            </w:pPr>
                            <w:r>
                              <w:rPr>
                                <w:sz w:val="20"/>
                              </w:rPr>
                              <w:t>流动资产合计</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非流动负债：</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70" w:line="236" w:lineRule="exact"/>
                              <w:ind w:left="107"/>
                              <w:rPr>
                                <w:sz w:val="20"/>
                              </w:rPr>
                            </w:pPr>
                            <w:r>
                              <w:rPr>
                                <w:sz w:val="20"/>
                              </w:rPr>
                              <w:t>非流动资产：</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69" w:line="236" w:lineRule="exact"/>
                              <w:ind w:left="107"/>
                              <w:rPr>
                                <w:sz w:val="20"/>
                              </w:rPr>
                            </w:pPr>
                            <w:r>
                              <w:rPr>
                                <w:sz w:val="20"/>
                              </w:rPr>
                              <w:t>可供出售金融资产</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非流动负债合计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846" w:type="dxa"/>
                          </w:tcPr>
                          <w:p>
                            <w:pPr>
                              <w:pStyle w:val="14"/>
                              <w:spacing w:before="69" w:line="236" w:lineRule="exact"/>
                              <w:ind w:left="107"/>
                              <w:rPr>
                                <w:sz w:val="20"/>
                              </w:rPr>
                            </w:pPr>
                            <w:r>
                              <w:rPr>
                                <w:sz w:val="20"/>
                              </w:rPr>
                              <w:t>……</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负债合计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rPr>
                                <w:rFonts w:ascii="Times New Roman"/>
                                <w:sz w:val="18"/>
                              </w:rPr>
                            </w:pP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所有者权益</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rPr>
                                <w:rFonts w:ascii="Times New Roman"/>
                                <w:sz w:val="18"/>
                              </w:rPr>
                            </w:pP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69" w:line="236" w:lineRule="exact"/>
                              <w:ind w:left="107"/>
                              <w:rPr>
                                <w:sz w:val="20"/>
                              </w:rPr>
                            </w:pPr>
                            <w:r>
                              <w:rPr>
                                <w:sz w:val="20"/>
                              </w:rPr>
                              <w:t>……</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846" w:type="dxa"/>
                          </w:tcPr>
                          <w:p>
                            <w:pPr>
                              <w:pStyle w:val="14"/>
                              <w:spacing w:before="70" w:line="236" w:lineRule="exact"/>
                              <w:ind w:left="107"/>
                              <w:rPr>
                                <w:sz w:val="20"/>
                              </w:rPr>
                            </w:pPr>
                            <w:r>
                              <w:rPr>
                                <w:sz w:val="20"/>
                              </w:rPr>
                              <w:t>非流动资产合计</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70" w:line="236" w:lineRule="exact"/>
                              <w:ind w:left="107"/>
                              <w:rPr>
                                <w:sz w:val="20"/>
                              </w:rPr>
                            </w:pPr>
                            <w:r>
                              <w:rPr>
                                <w:sz w:val="20"/>
                              </w:rPr>
                              <w:t>所有者权益合计</w:t>
                            </w:r>
                          </w:p>
                        </w:tc>
                        <w:tc>
                          <w:tcPr>
                            <w:tcW w:w="1215" w:type="dxa"/>
                          </w:tcPr>
                          <w:p>
                            <w:pPr>
                              <w:pStyle w:val="14"/>
                              <w:rPr>
                                <w:rFonts w:ascii="Times New Roman"/>
                                <w:sz w:val="18"/>
                              </w:rPr>
                            </w:pPr>
                          </w:p>
                        </w:tc>
                        <w:tc>
                          <w:tcPr>
                            <w:tcW w:w="2055"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846" w:type="dxa"/>
                          </w:tcPr>
                          <w:p>
                            <w:pPr>
                              <w:pStyle w:val="14"/>
                              <w:spacing w:before="69"/>
                              <w:ind w:left="107"/>
                              <w:rPr>
                                <w:sz w:val="20"/>
                              </w:rPr>
                            </w:pPr>
                            <w:r>
                              <w:rPr>
                                <w:sz w:val="20"/>
                              </w:rPr>
                              <w:t>资产总计</w:t>
                            </w:r>
                          </w:p>
                        </w:tc>
                        <w:tc>
                          <w:tcPr>
                            <w:tcW w:w="1470" w:type="dxa"/>
                          </w:tcPr>
                          <w:p>
                            <w:pPr>
                              <w:pStyle w:val="14"/>
                              <w:rPr>
                                <w:rFonts w:ascii="Times New Roman"/>
                                <w:sz w:val="18"/>
                              </w:rPr>
                            </w:pPr>
                          </w:p>
                        </w:tc>
                        <w:tc>
                          <w:tcPr>
                            <w:tcW w:w="1455" w:type="dxa"/>
                          </w:tcPr>
                          <w:p>
                            <w:pPr>
                              <w:pStyle w:val="14"/>
                              <w:rPr>
                                <w:rFonts w:ascii="Times New Roman"/>
                                <w:sz w:val="18"/>
                              </w:rPr>
                            </w:pPr>
                          </w:p>
                        </w:tc>
                        <w:tc>
                          <w:tcPr>
                            <w:tcW w:w="2010" w:type="dxa"/>
                          </w:tcPr>
                          <w:p>
                            <w:pPr>
                              <w:pStyle w:val="14"/>
                              <w:spacing w:before="9" w:line="326" w:lineRule="exact"/>
                              <w:ind w:left="107" w:right="292"/>
                              <w:rPr>
                                <w:sz w:val="20"/>
                              </w:rPr>
                            </w:pPr>
                            <w:r>
                              <w:rPr>
                                <w:sz w:val="20"/>
                              </w:rPr>
                              <w:t>负债及所有者权益总计</w:t>
                            </w:r>
                          </w:p>
                        </w:tc>
                        <w:tc>
                          <w:tcPr>
                            <w:tcW w:w="1215" w:type="dxa"/>
                          </w:tcPr>
                          <w:p>
                            <w:pPr>
                              <w:pStyle w:val="14"/>
                              <w:rPr>
                                <w:rFonts w:ascii="Times New Roman"/>
                                <w:sz w:val="18"/>
                              </w:rPr>
                            </w:pPr>
                          </w:p>
                        </w:tc>
                        <w:tc>
                          <w:tcPr>
                            <w:tcW w:w="2055" w:type="dxa"/>
                          </w:tcPr>
                          <w:p>
                            <w:pPr>
                              <w:pStyle w:val="14"/>
                              <w:rPr>
                                <w:rFonts w:ascii="Times New Roman"/>
                                <w:sz w:val="18"/>
                              </w:rPr>
                            </w:pPr>
                          </w:p>
                        </w:tc>
                      </w:tr>
                    </w:tbl>
                    <w:p>
                      <w:pPr>
                        <w:pStyle w:val="6"/>
                        <w:spacing w:before="0"/>
                        <w:ind w:left="0"/>
                      </w:pPr>
                    </w:p>
                  </w:txbxContent>
                </v:textbox>
              </v:shape>
            </w:pict>
          </mc:Fallback>
        </mc:AlternateContent>
      </w:r>
      <w:r>
        <w:rPr>
          <w:w w:val="95"/>
        </w:rPr>
        <w:t>目的合计等于负债和所有者权益项目的合计这一等式不变。我国企业的资产负债表采用</w:t>
      </w:r>
      <w:r>
        <w:rPr>
          <w:color w:val="FF0000"/>
          <w:w w:val="95"/>
          <w:u w:val="double" w:color="FF0000"/>
        </w:rPr>
        <w:t>账户式</w:t>
      </w:r>
      <w:r>
        <w:rPr>
          <w:w w:val="95"/>
        </w:rPr>
        <w:t xml:space="preserve">结构。   </w:t>
      </w:r>
      <w:r>
        <w:t>账户式资产负债表分左右两方，左方为资产项目。</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9"/>
        <w:ind w:left="0"/>
        <w:rPr>
          <w:sz w:val="13"/>
        </w:rPr>
      </w:pPr>
      <w:r>
        <mc:AlternateContent>
          <mc:Choice Requires="wps">
            <w:drawing>
              <wp:anchor distT="0" distB="0" distL="0" distR="0" simplePos="0" relativeHeight="487726080" behindDoc="1" locked="0" layoutInCell="1" allowOverlap="1">
                <wp:simplePos x="0" y="0"/>
                <wp:positionH relativeFrom="page">
                  <wp:posOffset>954405</wp:posOffset>
                </wp:positionH>
                <wp:positionV relativeFrom="paragraph">
                  <wp:posOffset>127000</wp:posOffset>
                </wp:positionV>
                <wp:extent cx="1338580" cy="207010"/>
                <wp:effectExtent l="0" t="0" r="13970" b="2540"/>
                <wp:wrapTopAndBottom/>
                <wp:docPr id="356" name="文本框 264"/>
                <wp:cNvGraphicFramePr/>
                <a:graphic xmlns:a="http://schemas.openxmlformats.org/drawingml/2006/main">
                  <a:graphicData uri="http://schemas.microsoft.com/office/word/2010/wordprocessingShape">
                    <wps:wsp>
                      <wps:cNvSpPr txBox="1"/>
                      <wps:spPr>
                        <a:xfrm>
                          <a:off x="0" y="0"/>
                          <a:ext cx="1338580" cy="207010"/>
                        </a:xfrm>
                        <a:prstGeom prst="rect">
                          <a:avLst/>
                        </a:prstGeom>
                        <a:solidFill>
                          <a:srgbClr val="C0C0C0"/>
                        </a:solidFill>
                        <a:ln>
                          <a:noFill/>
                        </a:ln>
                      </wps:spPr>
                      <wps:txbx>
                        <w:txbxContent>
                          <w:p>
                            <w:pPr>
                              <w:spacing w:before="55"/>
                              <w:ind w:left="-1" w:right="0" w:firstLine="0"/>
                              <w:jc w:val="left"/>
                              <w:rPr>
                                <w:b/>
                                <w:sz w:val="21"/>
                              </w:rPr>
                            </w:pPr>
                            <w:r>
                              <w:rPr>
                                <w:b/>
                                <w:sz w:val="21"/>
                              </w:rPr>
                              <w:t>二、资产负债表的编制</w:t>
                            </w:r>
                          </w:p>
                        </w:txbxContent>
                      </wps:txbx>
                      <wps:bodyPr lIns="0" tIns="0" rIns="0" bIns="0" upright="1"/>
                    </wps:wsp>
                  </a:graphicData>
                </a:graphic>
              </wp:anchor>
            </w:drawing>
          </mc:Choice>
          <mc:Fallback>
            <w:pict>
              <v:shape id="文本框 264" o:spid="_x0000_s1026" o:spt="202" type="#_x0000_t202" style="position:absolute;left:0pt;margin-left:75.15pt;margin-top:10pt;height:16.3pt;width:105.4pt;mso-position-horizontal-relative:page;mso-wrap-distance-bottom:0pt;mso-wrap-distance-top:0pt;z-index:-15590400;mso-width-relative:page;mso-height-relative:page;" fillcolor="#C0C0C0" filled="t" stroked="f" coordsize="21600,21600" o:gfxdata="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zFNcAAAAJAQAADwAAAAAAAAABACAAAAAiAAAAZHJzL2Rvd25yZXYueG1sUEsBAhQAFAAA&#10;AAgAh07iQKQ+5TO3AQAAUQMAAA4AAAAAAAAAAQAgAAAAJgEAAGRycy9lMm9Eb2MueG1sUEsFBgAA&#10;AAAGAAYAWQEAAE8FAAAAAA==&#10;">
                <v:fill on="t" focussize="0,0"/>
                <v:stroke on="f"/>
                <v:imagedata o:title=""/>
                <o:lock v:ext="edit" aspectratio="f"/>
                <v:textbox inset="0mm,0mm,0mm,0mm">
                  <w:txbxContent>
                    <w:p>
                      <w:pPr>
                        <w:spacing w:before="55"/>
                        <w:ind w:left="-1" w:right="0" w:firstLine="0"/>
                        <w:jc w:val="left"/>
                        <w:rPr>
                          <w:b/>
                          <w:sz w:val="21"/>
                        </w:rPr>
                      </w:pPr>
                      <w:r>
                        <w:rPr>
                          <w:b/>
                          <w:sz w:val="21"/>
                        </w:rPr>
                        <w:t>二、资产负债表的编制</w:t>
                      </w:r>
                    </w:p>
                  </w:txbxContent>
                </v:textbox>
                <w10:wrap type="topAndBottom"/>
              </v:shape>
            </w:pict>
          </mc:Fallback>
        </mc:AlternateContent>
      </w:r>
    </w:p>
    <w:p>
      <w:pPr>
        <w:pStyle w:val="5"/>
        <w:spacing w:before="53"/>
      </w:pPr>
      <w:r>
        <w:t>（一）年初余额</w:t>
      </w:r>
    </w:p>
    <w:p>
      <w:pPr>
        <w:pStyle w:val="6"/>
      </w:pPr>
      <w:r>
        <w:t>根据上年年末资产负债表的“</w:t>
      </w:r>
      <w:r>
        <w:rPr>
          <w:color w:val="FF0000"/>
          <w:u w:val="double" w:color="FF0000"/>
        </w:rPr>
        <w:t>期末余额</w:t>
      </w:r>
      <w:r>
        <w:t>”所列数字填列；</w:t>
      </w:r>
    </w:p>
    <w:p>
      <w:pPr>
        <w:pStyle w:val="6"/>
        <w:spacing w:line="304" w:lineRule="auto"/>
        <w:ind w:left="322" w:right="647" w:firstLine="400"/>
      </w:pPr>
      <w:r>
        <w:rPr>
          <w:w w:val="95"/>
        </w:rPr>
        <w:t xml:space="preserve">如果上年度资产负债表规定的各个项目的名称和内容与本年不相一致，应按照本年度的规定对上年年末资产   </w:t>
      </w:r>
      <w:r>
        <w:t>负债表各项目的名称和数字进行调整，填入“</w:t>
      </w:r>
      <w:r>
        <w:rPr>
          <w:color w:val="FF0000"/>
          <w:u w:val="double" w:color="FF0000"/>
        </w:rPr>
        <w:t>年初余额</w:t>
      </w:r>
      <w:r>
        <w:t>”栏内。</w:t>
      </w:r>
    </w:p>
    <w:p>
      <w:pPr>
        <w:pStyle w:val="5"/>
        <w:spacing w:before="2"/>
      </w:pPr>
      <w:r>
        <w:t>（二）期末余额</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10"/>
        <w:gridCol w:w="4171"/>
        <w:gridCol w:w="43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10" w:type="dxa"/>
            <w:vMerge w:val="restart"/>
          </w:tcPr>
          <w:p>
            <w:pPr>
              <w:pStyle w:val="14"/>
              <w:rPr>
                <w:b/>
                <w:sz w:val="20"/>
              </w:rPr>
            </w:pPr>
          </w:p>
          <w:p>
            <w:pPr>
              <w:pStyle w:val="14"/>
              <w:rPr>
                <w:b/>
                <w:sz w:val="20"/>
              </w:rPr>
            </w:pPr>
          </w:p>
          <w:p>
            <w:pPr>
              <w:pStyle w:val="14"/>
              <w:rPr>
                <w:b/>
                <w:sz w:val="20"/>
              </w:rPr>
            </w:pPr>
          </w:p>
          <w:p>
            <w:pPr>
              <w:pStyle w:val="14"/>
              <w:spacing w:before="8"/>
              <w:rPr>
                <w:b/>
                <w:sz w:val="24"/>
              </w:rPr>
            </w:pPr>
          </w:p>
          <w:p>
            <w:pPr>
              <w:pStyle w:val="14"/>
              <w:ind w:left="354"/>
              <w:rPr>
                <w:sz w:val="20"/>
              </w:rPr>
            </w:pPr>
            <w:r>
              <w:rPr>
                <w:sz w:val="20"/>
              </w:rPr>
              <w:t>期末余额</w:t>
            </w:r>
          </w:p>
        </w:tc>
        <w:tc>
          <w:tcPr>
            <w:tcW w:w="4171" w:type="dxa"/>
          </w:tcPr>
          <w:p>
            <w:pPr>
              <w:pStyle w:val="14"/>
              <w:spacing w:before="69" w:line="236" w:lineRule="exact"/>
              <w:ind w:left="164" w:right="157"/>
              <w:jc w:val="center"/>
              <w:rPr>
                <w:sz w:val="20"/>
              </w:rPr>
            </w:pPr>
            <w:r>
              <w:rPr>
                <w:sz w:val="20"/>
              </w:rPr>
              <w:t>1.根据总账科目余额填列</w:t>
            </w:r>
          </w:p>
        </w:tc>
        <w:tc>
          <w:tcPr>
            <w:tcW w:w="4385" w:type="dxa"/>
          </w:tcPr>
          <w:p>
            <w:pPr>
              <w:pStyle w:val="14"/>
              <w:spacing w:before="69" w:line="236" w:lineRule="exact"/>
              <w:ind w:left="972" w:right="963"/>
              <w:jc w:val="center"/>
              <w:rPr>
                <w:sz w:val="20"/>
              </w:rPr>
            </w:pPr>
            <w:r>
              <w:rPr>
                <w:sz w:val="20"/>
              </w:rPr>
              <w:t>直接填列、计算填列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10" w:type="dxa"/>
            <w:vMerge w:val="continue"/>
            <w:tcBorders>
              <w:top w:val="nil"/>
            </w:tcBorders>
          </w:tcPr>
          <w:p>
            <w:pPr>
              <w:rPr>
                <w:sz w:val="2"/>
                <w:szCs w:val="2"/>
              </w:rPr>
            </w:pPr>
          </w:p>
        </w:tc>
        <w:tc>
          <w:tcPr>
            <w:tcW w:w="4171" w:type="dxa"/>
          </w:tcPr>
          <w:p>
            <w:pPr>
              <w:pStyle w:val="14"/>
              <w:spacing w:before="70" w:line="236" w:lineRule="exact"/>
              <w:ind w:left="164" w:right="157"/>
              <w:jc w:val="center"/>
              <w:rPr>
                <w:sz w:val="20"/>
              </w:rPr>
            </w:pPr>
            <w:r>
              <w:rPr>
                <w:sz w:val="20"/>
              </w:rPr>
              <w:t>2.根据明细账科目余额计算填列</w:t>
            </w:r>
          </w:p>
        </w:tc>
        <w:tc>
          <w:tcPr>
            <w:tcW w:w="4385" w:type="dxa"/>
          </w:tcPr>
          <w:p>
            <w:pPr>
              <w:pStyle w:val="14"/>
              <w:spacing w:before="70" w:line="236" w:lineRule="exact"/>
              <w:ind w:left="970" w:right="963"/>
              <w:jc w:val="center"/>
              <w:rPr>
                <w:sz w:val="20"/>
              </w:rPr>
            </w:pPr>
            <w:r>
              <w:rPr>
                <w:sz w:val="20"/>
              </w:rPr>
              <w:t>应付账款、预付款项等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6" w:hRule="atLeast"/>
        </w:trPr>
        <w:tc>
          <w:tcPr>
            <w:tcW w:w="1510" w:type="dxa"/>
            <w:vMerge w:val="continue"/>
            <w:tcBorders>
              <w:top w:val="nil"/>
            </w:tcBorders>
          </w:tcPr>
          <w:p>
            <w:pPr>
              <w:rPr>
                <w:sz w:val="2"/>
                <w:szCs w:val="2"/>
              </w:rPr>
            </w:pPr>
          </w:p>
        </w:tc>
        <w:tc>
          <w:tcPr>
            <w:tcW w:w="4171" w:type="dxa"/>
          </w:tcPr>
          <w:p>
            <w:pPr>
              <w:pStyle w:val="14"/>
              <w:spacing w:before="6"/>
              <w:rPr>
                <w:b/>
                <w:sz w:val="19"/>
              </w:rPr>
            </w:pPr>
          </w:p>
          <w:p>
            <w:pPr>
              <w:pStyle w:val="14"/>
              <w:ind w:left="164" w:right="157"/>
              <w:jc w:val="center"/>
              <w:rPr>
                <w:sz w:val="20"/>
              </w:rPr>
            </w:pPr>
            <w:r>
              <w:rPr>
                <w:sz w:val="20"/>
              </w:rPr>
              <w:t>3.根据总账科目和明细账科目余额分析填列</w:t>
            </w:r>
          </w:p>
        </w:tc>
        <w:tc>
          <w:tcPr>
            <w:tcW w:w="4385" w:type="dxa"/>
          </w:tcPr>
          <w:p>
            <w:pPr>
              <w:pStyle w:val="14"/>
              <w:spacing w:before="6"/>
              <w:rPr>
                <w:b/>
                <w:sz w:val="19"/>
              </w:rPr>
            </w:pPr>
          </w:p>
          <w:p>
            <w:pPr>
              <w:pStyle w:val="14"/>
              <w:ind w:left="972" w:right="963"/>
              <w:jc w:val="center"/>
              <w:rPr>
                <w:sz w:val="20"/>
              </w:rPr>
            </w:pPr>
            <w:r>
              <w:rPr>
                <w:sz w:val="20"/>
              </w:rPr>
              <w:t>长期待摊费用、长期借款等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510" w:type="dxa"/>
            <w:vMerge w:val="continue"/>
            <w:tcBorders>
              <w:top w:val="nil"/>
            </w:tcBorders>
          </w:tcPr>
          <w:p>
            <w:pPr>
              <w:rPr>
                <w:sz w:val="2"/>
                <w:szCs w:val="2"/>
              </w:rPr>
            </w:pPr>
          </w:p>
        </w:tc>
        <w:tc>
          <w:tcPr>
            <w:tcW w:w="4171" w:type="dxa"/>
          </w:tcPr>
          <w:p>
            <w:pPr>
              <w:pStyle w:val="14"/>
              <w:spacing w:before="8" w:line="326" w:lineRule="exact"/>
              <w:ind w:left="1585" w:right="174" w:hanging="1402"/>
              <w:rPr>
                <w:sz w:val="20"/>
              </w:rPr>
            </w:pPr>
            <w:r>
              <w:rPr>
                <w:sz w:val="20"/>
              </w:rPr>
              <w:t>4.根据有关科目余额减去其备抵科目余额后的净额填列</w:t>
            </w:r>
          </w:p>
        </w:tc>
        <w:tc>
          <w:tcPr>
            <w:tcW w:w="4385" w:type="dxa"/>
          </w:tcPr>
          <w:p>
            <w:pPr>
              <w:pStyle w:val="14"/>
              <w:spacing w:before="1"/>
              <w:rPr>
                <w:b/>
                <w:sz w:val="18"/>
              </w:rPr>
            </w:pPr>
          </w:p>
          <w:p>
            <w:pPr>
              <w:pStyle w:val="14"/>
              <w:ind w:left="970" w:right="963"/>
              <w:jc w:val="center"/>
              <w:rPr>
                <w:sz w:val="20"/>
              </w:rPr>
            </w:pPr>
            <w:r>
              <w:rPr>
                <w:sz w:val="20"/>
              </w:rPr>
              <w:t>固定资产、无形资产等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1510" w:type="dxa"/>
            <w:vMerge w:val="continue"/>
            <w:tcBorders>
              <w:top w:val="nil"/>
            </w:tcBorders>
          </w:tcPr>
          <w:p>
            <w:pPr>
              <w:rPr>
                <w:sz w:val="2"/>
                <w:szCs w:val="2"/>
              </w:rPr>
            </w:pPr>
          </w:p>
        </w:tc>
        <w:tc>
          <w:tcPr>
            <w:tcW w:w="4171" w:type="dxa"/>
          </w:tcPr>
          <w:p>
            <w:pPr>
              <w:pStyle w:val="14"/>
              <w:spacing w:before="61" w:line="237" w:lineRule="exact"/>
              <w:ind w:left="162" w:right="157"/>
              <w:jc w:val="center"/>
              <w:rPr>
                <w:sz w:val="20"/>
              </w:rPr>
            </w:pPr>
            <w:r>
              <w:rPr>
                <w:sz w:val="20"/>
              </w:rPr>
              <w:t>5.综合运用上述填列方法分析填列</w:t>
            </w:r>
          </w:p>
        </w:tc>
        <w:tc>
          <w:tcPr>
            <w:tcW w:w="4385" w:type="dxa"/>
          </w:tcPr>
          <w:p>
            <w:pPr>
              <w:pStyle w:val="14"/>
              <w:spacing w:before="61" w:line="237" w:lineRule="exact"/>
              <w:ind w:left="968" w:right="963"/>
              <w:jc w:val="center"/>
              <w:rPr>
                <w:sz w:val="20"/>
              </w:rPr>
            </w:pPr>
            <w:r>
              <w:rPr>
                <w:sz w:val="20"/>
              </w:rPr>
              <w:t>存货</w:t>
            </w:r>
          </w:p>
        </w:tc>
      </w:tr>
    </w:tbl>
    <w:p>
      <w:pPr>
        <w:pStyle w:val="5"/>
        <w:numPr>
          <w:ilvl w:val="0"/>
          <w:numId w:val="108"/>
        </w:numPr>
        <w:tabs>
          <w:tab w:val="left" w:pos="925"/>
        </w:tabs>
        <w:spacing w:before="69" w:after="0" w:line="240" w:lineRule="auto"/>
        <w:ind w:left="924" w:right="0" w:hanging="202"/>
        <w:jc w:val="left"/>
        <w:rPr>
          <w:sz w:val="18"/>
        </w:rPr>
      </w:pPr>
      <w:r>
        <w:t>根据总账科目余额填列</w:t>
      </w:r>
    </w:p>
    <w:p>
      <w:pPr>
        <w:pStyle w:val="5"/>
        <w:numPr>
          <w:ilvl w:val="0"/>
          <w:numId w:val="109"/>
        </w:numPr>
        <w:tabs>
          <w:tab w:val="left" w:pos="1225"/>
        </w:tabs>
        <w:spacing w:before="70" w:after="0" w:line="240" w:lineRule="auto"/>
        <w:ind w:left="1224" w:right="0" w:hanging="502"/>
        <w:jc w:val="left"/>
      </w:pPr>
      <w:r>
        <w:t>直接填列</w:t>
      </w:r>
    </w:p>
    <w:p>
      <w:pPr>
        <w:spacing w:before="70"/>
        <w:ind w:left="723" w:right="0" w:firstLine="0"/>
        <w:jc w:val="left"/>
        <w:rPr>
          <w:sz w:val="20"/>
        </w:rPr>
      </w:pPr>
      <w:r>
        <w:rPr>
          <w:sz w:val="20"/>
        </w:rPr>
        <w:t>大部分项目；</w:t>
      </w:r>
      <w:r>
        <w:rPr>
          <w:b/>
          <w:color w:val="00AFEF"/>
          <w:sz w:val="20"/>
          <w:u w:val="single" w:color="00AFEF"/>
        </w:rPr>
        <w:t>如短期借款</w:t>
      </w:r>
      <w:r>
        <w:rPr>
          <w:sz w:val="20"/>
        </w:rPr>
        <w:t>等。</w:t>
      </w:r>
    </w:p>
    <w:p>
      <w:pPr>
        <w:pStyle w:val="6"/>
        <w:spacing w:before="68"/>
      </w:pPr>
      <w:r>
        <w:t>应交税费根据应交税费科目的期末贷方余额填列，如为借方余额，应以“-”号填列；</w:t>
      </w:r>
    </w:p>
    <w:p>
      <w:pPr>
        <w:pStyle w:val="5"/>
        <w:numPr>
          <w:ilvl w:val="0"/>
          <w:numId w:val="109"/>
        </w:numPr>
        <w:tabs>
          <w:tab w:val="left" w:pos="1225"/>
        </w:tabs>
        <w:spacing w:before="70" w:after="0" w:line="240" w:lineRule="auto"/>
        <w:ind w:left="1224" w:right="0" w:hanging="502"/>
        <w:jc w:val="left"/>
      </w:pPr>
      <w:r>
        <w:t>计算填列</w:t>
      </w:r>
    </w:p>
    <w:p>
      <w:pPr>
        <w:pStyle w:val="6"/>
        <w:spacing w:line="304" w:lineRule="auto"/>
        <w:ind w:left="322" w:right="761" w:firstLine="400"/>
      </w:pPr>
      <w:r>
        <w:rPr>
          <w:w w:val="95"/>
        </w:rPr>
        <w:t>①货币资金=库存现金+银行存款+其他货币资金②未分配利润=本年利润+利润分配（未分配利润明细科目的   余额）③其他应收款=应收利息+应收股利+其他应收款-坏账准备④其他应付款=应付利息+应付股利+其他应付款</w:t>
      </w:r>
    </w:p>
    <w:p>
      <w:pPr>
        <w:spacing w:after="0" w:line="304" w:lineRule="auto"/>
        <w:sectPr>
          <w:pgSz w:w="11910" w:h="16160"/>
          <w:pgMar w:top="1680" w:right="360" w:bottom="860" w:left="760" w:header="0" w:footer="548" w:gutter="0"/>
        </w:sectPr>
      </w:pPr>
    </w:p>
    <w:p>
      <w:pPr>
        <w:pStyle w:val="6"/>
        <w:spacing w:before="11"/>
        <w:ind w:left="0"/>
        <w:rPr>
          <w:sz w:val="13"/>
        </w:rPr>
      </w:pPr>
    </w:p>
    <w:p>
      <w:pPr>
        <w:pStyle w:val="13"/>
        <w:numPr>
          <w:ilvl w:val="0"/>
          <w:numId w:val="108"/>
        </w:numPr>
        <w:tabs>
          <w:tab w:val="left" w:pos="925"/>
        </w:tabs>
        <w:spacing w:before="71" w:after="0" w:line="240" w:lineRule="auto"/>
        <w:ind w:left="924" w:right="0" w:hanging="202"/>
        <w:jc w:val="left"/>
        <w:rPr>
          <w:sz w:val="18"/>
        </w:rPr>
      </w:pPr>
      <w:r>
        <w:rPr>
          <w:sz w:val="20"/>
        </w:rPr>
        <w:t>根据明细账户余额计算填列</w:t>
      </w:r>
    </w:p>
    <w:p>
      <w:pPr>
        <w:pStyle w:val="6"/>
      </w:pPr>
      <w:r>
        <w:rPr>
          <w:color w:val="FF0000"/>
          <w:u w:val="double" w:color="FF0000"/>
        </w:rPr>
        <w:t>①应付账款=应付账款明细账科目贷方余额+预付账款明细科目贷方余额</w:t>
      </w:r>
    </w:p>
    <w:p>
      <w:pPr>
        <w:pStyle w:val="6"/>
      </w:pPr>
      <w:r>
        <w:rPr>
          <w:color w:val="FF0000"/>
          <w:u w:val="double" w:color="FF0000"/>
        </w:rPr>
        <w:t>②应收账款=应收账款明细科目借方余额+预收账款明细科目借方余额－坏账准备</w:t>
      </w:r>
    </w:p>
    <w:p>
      <w:pPr>
        <w:pStyle w:val="6"/>
      </w:pPr>
      <w:r>
        <w:rPr>
          <w:color w:val="FF0000"/>
          <w:u w:val="double" w:color="FF0000"/>
        </w:rPr>
        <w:t>③预收款项＝预收账款明细科目贷方余额+应收账款明细科目贷方余额</w:t>
      </w:r>
    </w:p>
    <w:p>
      <w:pPr>
        <w:pStyle w:val="6"/>
        <w:spacing w:before="71"/>
      </w:pPr>
      <w:r>
        <w:rPr>
          <w:color w:val="FF0000"/>
          <w:u w:val="double" w:color="FF0000"/>
        </w:rPr>
        <w:t>④预付款项＝预付账款明细科目借方余额+应付账款明细科目借方余额-坏账准备</w:t>
      </w:r>
    </w:p>
    <w:p>
      <w:pPr>
        <w:pStyle w:val="6"/>
        <w:spacing w:before="67"/>
      </w:pPr>
      <w:r>
        <w:t>⑤开发支出：根据“研发支出”科目中所属“资本化支出”明细科目期末余额填列。</w:t>
      </w:r>
    </w:p>
    <w:p>
      <w:pPr>
        <w:pStyle w:val="6"/>
      </w:pPr>
      <w:r>
        <w:t>⑥应付职工薪酬：根据应付职工薪酬科目所属各明科目的贷方期末余额分析填列。</w:t>
      </w:r>
    </w:p>
    <w:p>
      <w:pPr>
        <w:pStyle w:val="6"/>
        <w:spacing w:before="71"/>
      </w:pPr>
      <w:r>
        <w:rPr>
          <w:w w:val="95"/>
        </w:rPr>
        <w:t>⑦一年内到期的非流动负债</w:t>
      </w:r>
    </w:p>
    <w:p>
      <w:pPr>
        <w:pStyle w:val="6"/>
      </w:pPr>
      <w:r>
        <w:rPr>
          <w:w w:val="95"/>
        </w:rPr>
        <w:t>⑧一年内到期的非流动资产</w:t>
      </w:r>
    </w:p>
    <w:p>
      <w:pPr>
        <w:pStyle w:val="5"/>
        <w:numPr>
          <w:ilvl w:val="0"/>
          <w:numId w:val="108"/>
        </w:numPr>
        <w:tabs>
          <w:tab w:val="left" w:pos="925"/>
        </w:tabs>
        <w:spacing w:before="70" w:after="0" w:line="240" w:lineRule="auto"/>
        <w:ind w:left="924" w:right="0" w:hanging="202"/>
        <w:jc w:val="left"/>
        <w:rPr>
          <w:sz w:val="18"/>
        </w:rPr>
      </w:pPr>
      <w:r>
        <w:t>根据总账账户和明细账户余额分析计算填列</w:t>
      </w:r>
    </w:p>
    <w:p>
      <w:pPr>
        <w:pStyle w:val="6"/>
      </w:pPr>
      <w:r>
        <w:t>①长期待摊费用：根据“长期待摊费用”科目的期末余额</w:t>
      </w:r>
      <w:r>
        <w:rPr>
          <w:color w:val="FF0000"/>
          <w:u w:val="double" w:color="FF0000"/>
        </w:rPr>
        <w:t>减去将于一年内（含一年）摊销后</w:t>
      </w:r>
      <w:r>
        <w:t>的数额填列。</w:t>
      </w:r>
    </w:p>
    <w:p>
      <w:pPr>
        <w:pStyle w:val="6"/>
        <w:spacing w:before="68" w:line="304" w:lineRule="auto"/>
        <w:ind w:left="322" w:right="4442" w:firstLine="420"/>
      </w:pPr>
      <w:r>
        <w:drawing>
          <wp:anchor distT="0" distB="0" distL="0" distR="0" simplePos="0" relativeHeight="15868928" behindDoc="0" locked="0" layoutInCell="1" allowOverlap="1">
            <wp:simplePos x="0" y="0"/>
            <wp:positionH relativeFrom="page">
              <wp:posOffset>4645660</wp:posOffset>
            </wp:positionH>
            <wp:positionV relativeFrom="paragraph">
              <wp:posOffset>108585</wp:posOffset>
            </wp:positionV>
            <wp:extent cx="2428875" cy="964565"/>
            <wp:effectExtent l="0" t="0" r="0" b="0"/>
            <wp:wrapNone/>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0.png"/>
                    <pic:cNvPicPr>
                      <a:picLocks noChangeAspect="1"/>
                    </pic:cNvPicPr>
                  </pic:nvPicPr>
                  <pic:blipFill>
                    <a:blip r:embed="rId58" cstate="print"/>
                    <a:stretch>
                      <a:fillRect/>
                    </a:stretch>
                  </pic:blipFill>
                  <pic:spPr>
                    <a:xfrm>
                      <a:off x="0" y="0"/>
                      <a:ext cx="2429103" cy="964875"/>
                    </a:xfrm>
                    <a:prstGeom prst="rect">
                      <a:avLst/>
                    </a:prstGeom>
                  </pic:spPr>
                </pic:pic>
              </a:graphicData>
            </a:graphic>
          </wp:anchor>
        </w:drawing>
      </w:r>
      <w:r>
        <w:t>②长期借款：根据“长期借款”总账账户余额扣除“长期借款” 账户所属的明细账户中反映的</w:t>
      </w:r>
      <w:r>
        <w:rPr>
          <w:color w:val="FF0000"/>
          <w:u w:val="double" w:color="FF0000"/>
        </w:rPr>
        <w:t>将于一年内到期</w:t>
      </w:r>
      <w:r>
        <w:t>的长期借款部分计算 填列。</w:t>
      </w:r>
    </w:p>
    <w:p>
      <w:pPr>
        <w:pStyle w:val="6"/>
        <w:spacing w:before="3"/>
      </w:pPr>
      <w:r>
        <w:t>③其他非流动资产：根据有关科目的期末余额减去将以一年内</w:t>
      </w:r>
    </w:p>
    <w:p>
      <w:pPr>
        <w:pStyle w:val="6"/>
        <w:ind w:left="322"/>
      </w:pPr>
      <w:r>
        <w:t>（含一年）收回数后的金额计算填列。</w:t>
      </w:r>
    </w:p>
    <w:p>
      <w:pPr>
        <w:pStyle w:val="5"/>
        <w:numPr>
          <w:ilvl w:val="0"/>
          <w:numId w:val="108"/>
        </w:numPr>
        <w:tabs>
          <w:tab w:val="left" w:pos="925"/>
        </w:tabs>
        <w:spacing w:before="70" w:after="0" w:line="240" w:lineRule="auto"/>
        <w:ind w:left="924" w:right="0" w:hanging="202"/>
        <w:jc w:val="left"/>
        <w:rPr>
          <w:sz w:val="18"/>
        </w:rPr>
      </w:pPr>
      <w:r>
        <w:t>根据有关科目余额减去其备抵科目余额的净额填列</w:t>
      </w:r>
    </w:p>
    <w:p>
      <w:pPr>
        <w:pStyle w:val="6"/>
        <w:spacing w:before="68"/>
      </w:pPr>
      <w:r>
        <w:rPr>
          <w:color w:val="FF0000"/>
          <w:u w:val="double" w:color="FF0000"/>
        </w:rPr>
        <w:t>①固定资产</w:t>
      </w:r>
      <w:r>
        <w:t>＝固定资产-累计折旧-固定资产减值准备±固定资产清理</w:t>
      </w:r>
    </w:p>
    <w:p>
      <w:pPr>
        <w:pStyle w:val="6"/>
      </w:pPr>
      <w:r>
        <w:rPr>
          <w:color w:val="FF0000"/>
          <w:u w:val="double" w:color="FF0000"/>
        </w:rPr>
        <w:t>②无形资产</w:t>
      </w:r>
      <w:r>
        <w:t>＝无形资产-累计摊销-无形资产减值准备</w:t>
      </w:r>
    </w:p>
    <w:p>
      <w:pPr>
        <w:pStyle w:val="6"/>
      </w:pPr>
      <w:r>
        <w:t>③在建工程=在建工程-在建工程减值准备+工程物资-工程物资减值准备</w:t>
      </w:r>
    </w:p>
    <w:p>
      <w:pPr>
        <w:spacing w:before="70" w:line="304" w:lineRule="auto"/>
        <w:ind w:left="723" w:right="3261" w:firstLine="0"/>
        <w:jc w:val="left"/>
        <w:rPr>
          <w:b/>
          <w:sz w:val="20"/>
        </w:rPr>
      </w:pPr>
      <w:r>
        <w:rPr>
          <w:w w:val="95"/>
          <w:sz w:val="20"/>
        </w:rPr>
        <w:t xml:space="preserve">④投资性房地产＝投资性资产-投资性房地产累计折旧-投资性房地产减值准备  </w:t>
      </w:r>
      <w:r>
        <w:rPr>
          <w:b/>
          <w:sz w:val="20"/>
        </w:rPr>
        <w:t>5.综合运用上述填列方法分析填列</w:t>
      </w:r>
    </w:p>
    <w:p>
      <w:pPr>
        <w:pStyle w:val="6"/>
        <w:spacing w:before="2" w:line="302" w:lineRule="auto"/>
        <w:ind w:left="322" w:right="646" w:firstLine="400"/>
      </w:pPr>
      <w:r>
        <w:rPr>
          <w:color w:val="FF0000"/>
          <w:w w:val="95"/>
          <w:u w:val="double" w:color="FF0000"/>
        </w:rPr>
        <w:t>①存货</w:t>
      </w:r>
      <w:r>
        <w:rPr>
          <w:w w:val="95"/>
        </w:rPr>
        <w:t xml:space="preserve">＝原材料＋周转材料＋在途物资（材料采购）＋委托加工物资＋生产成本＋库存商品＋发出商品＋委   </w:t>
      </w:r>
      <w:r>
        <w:t>托代销商品+受托代销商品-受托代销商品款+（-）材料成本差异-存货跌价准备＋（-）商品进销差价</w:t>
      </w:r>
    </w:p>
    <w:p>
      <w:pPr>
        <w:pStyle w:val="6"/>
        <w:spacing w:before="5" w:line="304" w:lineRule="auto"/>
        <w:ind w:right="3662"/>
      </w:pPr>
      <w:r>
        <mc:AlternateContent>
          <mc:Choice Requires="wps">
            <w:drawing>
              <wp:anchor distT="0" distB="0" distL="114300" distR="114300" simplePos="0" relativeHeight="15868928" behindDoc="0" locked="0" layoutInCell="1" allowOverlap="1">
                <wp:simplePos x="0" y="0"/>
                <wp:positionH relativeFrom="page">
                  <wp:posOffset>1162050</wp:posOffset>
                </wp:positionH>
                <wp:positionV relativeFrom="paragraph">
                  <wp:posOffset>373380</wp:posOffset>
                </wp:positionV>
                <wp:extent cx="5232400" cy="646430"/>
                <wp:effectExtent l="0" t="0" r="0" b="0"/>
                <wp:wrapNone/>
                <wp:docPr id="163" name="文本框 265"/>
                <wp:cNvGraphicFramePr/>
                <a:graphic xmlns:a="http://schemas.openxmlformats.org/drawingml/2006/main">
                  <a:graphicData uri="http://schemas.microsoft.com/office/word/2010/wordprocessingShape">
                    <wps:wsp>
                      <wps:cNvSpPr txBox="1"/>
                      <wps:spPr>
                        <a:xfrm>
                          <a:off x="0" y="0"/>
                          <a:ext cx="5232400" cy="64643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7"/>
                              <w:gridCol w:w="2913"/>
                              <w:gridCol w:w="37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37" w:type="dxa"/>
                                </w:tcPr>
                                <w:p>
                                  <w:pPr>
                                    <w:pStyle w:val="14"/>
                                    <w:rPr>
                                      <w:rFonts w:ascii="Times New Roman"/>
                                      <w:sz w:val="18"/>
                                    </w:rPr>
                                  </w:pPr>
                                </w:p>
                              </w:tc>
                              <w:tc>
                                <w:tcPr>
                                  <w:tcW w:w="2913" w:type="dxa"/>
                                </w:tcPr>
                                <w:p>
                                  <w:pPr>
                                    <w:pStyle w:val="14"/>
                                    <w:spacing w:before="69" w:line="237" w:lineRule="exact"/>
                                    <w:ind w:left="135" w:right="128"/>
                                    <w:jc w:val="center"/>
                                    <w:rPr>
                                      <w:sz w:val="20"/>
                                    </w:rPr>
                                  </w:pPr>
                                  <w:r>
                                    <w:rPr>
                                      <w:sz w:val="20"/>
                                    </w:rPr>
                                    <w:t>1 年以内</w:t>
                                  </w:r>
                                </w:p>
                              </w:tc>
                              <w:tc>
                                <w:tcPr>
                                  <w:tcW w:w="3775" w:type="dxa"/>
                                </w:tcPr>
                                <w:p>
                                  <w:pPr>
                                    <w:pStyle w:val="14"/>
                                    <w:spacing w:before="69" w:line="237" w:lineRule="exact"/>
                                    <w:ind w:left="1466" w:right="1458"/>
                                    <w:jc w:val="center"/>
                                    <w:rPr>
                                      <w:sz w:val="20"/>
                                    </w:rPr>
                                  </w:pPr>
                                  <w:r>
                                    <w:rPr>
                                      <w:sz w:val="20"/>
                                    </w:rPr>
                                    <w:t>1 年以上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37" w:type="dxa"/>
                                </w:tcPr>
                                <w:p>
                                  <w:pPr>
                                    <w:pStyle w:val="14"/>
                                    <w:spacing w:before="69" w:line="237" w:lineRule="exact"/>
                                    <w:ind w:left="246" w:right="241"/>
                                    <w:jc w:val="center"/>
                                    <w:rPr>
                                      <w:sz w:val="20"/>
                                    </w:rPr>
                                  </w:pPr>
                                  <w:r>
                                    <w:rPr>
                                      <w:sz w:val="20"/>
                                    </w:rPr>
                                    <w:t>净额为借方</w:t>
                                  </w:r>
                                </w:p>
                              </w:tc>
                              <w:tc>
                                <w:tcPr>
                                  <w:tcW w:w="2913" w:type="dxa"/>
                                </w:tcPr>
                                <w:p>
                                  <w:pPr>
                                    <w:pStyle w:val="14"/>
                                    <w:spacing w:before="69" w:line="237" w:lineRule="exact"/>
                                    <w:ind w:left="135" w:right="128"/>
                                    <w:jc w:val="center"/>
                                    <w:rPr>
                                      <w:sz w:val="20"/>
                                    </w:rPr>
                                  </w:pPr>
                                  <w:r>
                                    <w:rPr>
                                      <w:sz w:val="20"/>
                                    </w:rPr>
                                    <w:t>减去减值准备后列入合同资产</w:t>
                                  </w:r>
                                </w:p>
                              </w:tc>
                              <w:tc>
                                <w:tcPr>
                                  <w:tcW w:w="3775" w:type="dxa"/>
                                </w:tcPr>
                                <w:p>
                                  <w:pPr>
                                    <w:pStyle w:val="14"/>
                                    <w:spacing w:before="69" w:line="237" w:lineRule="exact"/>
                                    <w:ind w:left="108"/>
                                    <w:rPr>
                                      <w:sz w:val="20"/>
                                    </w:rPr>
                                  </w:pPr>
                                  <w:r>
                                    <w:rPr>
                                      <w:sz w:val="20"/>
                                    </w:rPr>
                                    <w:t>减相关减值准备后列入其他非流动资产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37" w:type="dxa"/>
                                </w:tcPr>
                                <w:p>
                                  <w:pPr>
                                    <w:pStyle w:val="14"/>
                                    <w:spacing w:before="69" w:line="237" w:lineRule="exact"/>
                                    <w:ind w:left="246" w:right="241"/>
                                    <w:jc w:val="center"/>
                                    <w:rPr>
                                      <w:sz w:val="20"/>
                                    </w:rPr>
                                  </w:pPr>
                                  <w:r>
                                    <w:rPr>
                                      <w:sz w:val="20"/>
                                    </w:rPr>
                                    <w:t>净额为贷方</w:t>
                                  </w:r>
                                </w:p>
                              </w:tc>
                              <w:tc>
                                <w:tcPr>
                                  <w:tcW w:w="2913" w:type="dxa"/>
                                </w:tcPr>
                                <w:p>
                                  <w:pPr>
                                    <w:pStyle w:val="14"/>
                                    <w:spacing w:before="69" w:line="237" w:lineRule="exact"/>
                                    <w:ind w:left="135" w:right="126"/>
                                    <w:jc w:val="center"/>
                                    <w:rPr>
                                      <w:sz w:val="20"/>
                                    </w:rPr>
                                  </w:pPr>
                                  <w:r>
                                    <w:rPr>
                                      <w:sz w:val="20"/>
                                    </w:rPr>
                                    <w:t>列入合同负债</w:t>
                                  </w:r>
                                </w:p>
                              </w:tc>
                              <w:tc>
                                <w:tcPr>
                                  <w:tcW w:w="3775" w:type="dxa"/>
                                </w:tcPr>
                                <w:p>
                                  <w:pPr>
                                    <w:pStyle w:val="14"/>
                                    <w:spacing w:before="69" w:line="237" w:lineRule="exact"/>
                                    <w:ind w:left="986"/>
                                    <w:rPr>
                                      <w:sz w:val="20"/>
                                    </w:rPr>
                                  </w:pPr>
                                  <w:r>
                                    <w:rPr>
                                      <w:sz w:val="20"/>
                                    </w:rPr>
                                    <w:t>列入其他非流动负债</w:t>
                                  </w:r>
                                </w:p>
                              </w:tc>
                            </w:tr>
                          </w:tbl>
                          <w:p>
                            <w:pPr>
                              <w:pStyle w:val="6"/>
                              <w:spacing w:before="0"/>
                              <w:ind w:left="0"/>
                            </w:pPr>
                          </w:p>
                        </w:txbxContent>
                      </wps:txbx>
                      <wps:bodyPr lIns="0" tIns="0" rIns="0" bIns="0" upright="1"/>
                    </wps:wsp>
                  </a:graphicData>
                </a:graphic>
              </wp:anchor>
            </w:drawing>
          </mc:Choice>
          <mc:Fallback>
            <w:pict>
              <v:shape id="文本框 265" o:spid="_x0000_s1026" o:spt="202" type="#_x0000_t202" style="position:absolute;left:0pt;margin-left:91.5pt;margin-top:29.4pt;height:50.9pt;width:412pt;mso-position-horizontal-relative:page;z-index:15868928;mso-width-relative:page;mso-height-relative:page;" filled="f" stroked="f" coordsize="21600,21600" o:gfxdata="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C2XWJnYAAAACwEAAA8AAAAA&#10;AAAAAQAgAAAAIgAAAGRycy9kb3ducmV2LnhtbFBLAQIUABQAAAAIAIdO4kD3ojIIogEAACgDAAAO&#10;AAAAAAAAAAEAIAAAACcBAABkcnMvZTJvRG9jLnhtbFBLBQYAAAAABgAGAFkBAAA7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7"/>
                        <w:gridCol w:w="2913"/>
                        <w:gridCol w:w="37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37" w:type="dxa"/>
                          </w:tcPr>
                          <w:p>
                            <w:pPr>
                              <w:pStyle w:val="14"/>
                              <w:rPr>
                                <w:rFonts w:ascii="Times New Roman"/>
                                <w:sz w:val="18"/>
                              </w:rPr>
                            </w:pPr>
                          </w:p>
                        </w:tc>
                        <w:tc>
                          <w:tcPr>
                            <w:tcW w:w="2913" w:type="dxa"/>
                          </w:tcPr>
                          <w:p>
                            <w:pPr>
                              <w:pStyle w:val="14"/>
                              <w:spacing w:before="69" w:line="237" w:lineRule="exact"/>
                              <w:ind w:left="135" w:right="128"/>
                              <w:jc w:val="center"/>
                              <w:rPr>
                                <w:sz w:val="20"/>
                              </w:rPr>
                            </w:pPr>
                            <w:r>
                              <w:rPr>
                                <w:sz w:val="20"/>
                              </w:rPr>
                              <w:t>1 年以内</w:t>
                            </w:r>
                          </w:p>
                        </w:tc>
                        <w:tc>
                          <w:tcPr>
                            <w:tcW w:w="3775" w:type="dxa"/>
                          </w:tcPr>
                          <w:p>
                            <w:pPr>
                              <w:pStyle w:val="14"/>
                              <w:spacing w:before="69" w:line="237" w:lineRule="exact"/>
                              <w:ind w:left="1466" w:right="1458"/>
                              <w:jc w:val="center"/>
                              <w:rPr>
                                <w:sz w:val="20"/>
                              </w:rPr>
                            </w:pPr>
                            <w:r>
                              <w:rPr>
                                <w:sz w:val="20"/>
                              </w:rPr>
                              <w:t>1 年以上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537" w:type="dxa"/>
                          </w:tcPr>
                          <w:p>
                            <w:pPr>
                              <w:pStyle w:val="14"/>
                              <w:spacing w:before="69" w:line="237" w:lineRule="exact"/>
                              <w:ind w:left="246" w:right="241"/>
                              <w:jc w:val="center"/>
                              <w:rPr>
                                <w:sz w:val="20"/>
                              </w:rPr>
                            </w:pPr>
                            <w:r>
                              <w:rPr>
                                <w:sz w:val="20"/>
                              </w:rPr>
                              <w:t>净额为借方</w:t>
                            </w:r>
                          </w:p>
                        </w:tc>
                        <w:tc>
                          <w:tcPr>
                            <w:tcW w:w="2913" w:type="dxa"/>
                          </w:tcPr>
                          <w:p>
                            <w:pPr>
                              <w:pStyle w:val="14"/>
                              <w:spacing w:before="69" w:line="237" w:lineRule="exact"/>
                              <w:ind w:left="135" w:right="128"/>
                              <w:jc w:val="center"/>
                              <w:rPr>
                                <w:sz w:val="20"/>
                              </w:rPr>
                            </w:pPr>
                            <w:r>
                              <w:rPr>
                                <w:sz w:val="20"/>
                              </w:rPr>
                              <w:t>减去减值准备后列入合同资产</w:t>
                            </w:r>
                          </w:p>
                        </w:tc>
                        <w:tc>
                          <w:tcPr>
                            <w:tcW w:w="3775" w:type="dxa"/>
                          </w:tcPr>
                          <w:p>
                            <w:pPr>
                              <w:pStyle w:val="14"/>
                              <w:spacing w:before="69" w:line="237" w:lineRule="exact"/>
                              <w:ind w:left="108"/>
                              <w:rPr>
                                <w:sz w:val="20"/>
                              </w:rPr>
                            </w:pPr>
                            <w:r>
                              <w:rPr>
                                <w:sz w:val="20"/>
                              </w:rPr>
                              <w:t>减相关减值准备后列入其他非流动资产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37" w:type="dxa"/>
                          </w:tcPr>
                          <w:p>
                            <w:pPr>
                              <w:pStyle w:val="14"/>
                              <w:spacing w:before="69" w:line="237" w:lineRule="exact"/>
                              <w:ind w:left="246" w:right="241"/>
                              <w:jc w:val="center"/>
                              <w:rPr>
                                <w:sz w:val="20"/>
                              </w:rPr>
                            </w:pPr>
                            <w:r>
                              <w:rPr>
                                <w:sz w:val="20"/>
                              </w:rPr>
                              <w:t>净额为贷方</w:t>
                            </w:r>
                          </w:p>
                        </w:tc>
                        <w:tc>
                          <w:tcPr>
                            <w:tcW w:w="2913" w:type="dxa"/>
                          </w:tcPr>
                          <w:p>
                            <w:pPr>
                              <w:pStyle w:val="14"/>
                              <w:spacing w:before="69" w:line="237" w:lineRule="exact"/>
                              <w:ind w:left="135" w:right="126"/>
                              <w:jc w:val="center"/>
                              <w:rPr>
                                <w:sz w:val="20"/>
                              </w:rPr>
                            </w:pPr>
                            <w:r>
                              <w:rPr>
                                <w:sz w:val="20"/>
                              </w:rPr>
                              <w:t>列入合同负债</w:t>
                            </w:r>
                          </w:p>
                        </w:tc>
                        <w:tc>
                          <w:tcPr>
                            <w:tcW w:w="3775" w:type="dxa"/>
                          </w:tcPr>
                          <w:p>
                            <w:pPr>
                              <w:pStyle w:val="14"/>
                              <w:spacing w:before="69" w:line="237" w:lineRule="exact"/>
                              <w:ind w:left="986"/>
                              <w:rPr>
                                <w:sz w:val="20"/>
                              </w:rPr>
                            </w:pPr>
                            <w:r>
                              <w:rPr>
                                <w:sz w:val="20"/>
                              </w:rPr>
                              <w:t>列入其他非流动负债</w:t>
                            </w:r>
                          </w:p>
                        </w:tc>
                      </w:tr>
                    </w:tbl>
                    <w:p>
                      <w:pPr>
                        <w:pStyle w:val="6"/>
                        <w:spacing w:before="0"/>
                        <w:ind w:left="0"/>
                      </w:pPr>
                    </w:p>
                  </w:txbxContent>
                </v:textbox>
              </v:shape>
            </w:pict>
          </mc:Fallback>
        </mc:AlternateContent>
      </w:r>
      <w:r>
        <w:rPr>
          <w:w w:val="95"/>
        </w:rPr>
        <w:t xml:space="preserve">②合同资产：a.根据“合同资产”科目的相关明细科目期末余额分析填列；  </w:t>
      </w:r>
      <w:r>
        <w:t>b.同一合同下的合同资产和合同负债应当以净额列示，</w:t>
      </w:r>
    </w:p>
    <w:p>
      <w:pPr>
        <w:pStyle w:val="6"/>
        <w:spacing w:before="0"/>
        <w:ind w:left="0"/>
      </w:pPr>
    </w:p>
    <w:p>
      <w:pPr>
        <w:pStyle w:val="6"/>
        <w:spacing w:before="0"/>
        <w:ind w:left="0"/>
      </w:pPr>
    </w:p>
    <w:p>
      <w:pPr>
        <w:pStyle w:val="6"/>
        <w:spacing w:before="0"/>
        <w:ind w:left="0"/>
      </w:pPr>
    </w:p>
    <w:p>
      <w:pPr>
        <w:pStyle w:val="6"/>
        <w:spacing w:before="4"/>
        <w:ind w:left="0"/>
        <w:rPr>
          <w:sz w:val="12"/>
        </w:rPr>
      </w:pPr>
      <w:r>
        <mc:AlternateContent>
          <mc:Choice Requires="wps">
            <w:drawing>
              <wp:anchor distT="0" distB="0" distL="0" distR="0" simplePos="0" relativeHeight="487727104" behindDoc="1" locked="0" layoutInCell="1" allowOverlap="1">
                <wp:simplePos x="0" y="0"/>
                <wp:positionH relativeFrom="page">
                  <wp:posOffset>3312795</wp:posOffset>
                </wp:positionH>
                <wp:positionV relativeFrom="paragraph">
                  <wp:posOffset>115570</wp:posOffset>
                </wp:positionV>
                <wp:extent cx="933450" cy="312420"/>
                <wp:effectExtent l="0" t="0" r="0" b="11430"/>
                <wp:wrapTopAndBottom/>
                <wp:docPr id="357" name="文本框 266"/>
                <wp:cNvGraphicFramePr/>
                <a:graphic xmlns:a="http://schemas.openxmlformats.org/drawingml/2006/main">
                  <a:graphicData uri="http://schemas.microsoft.com/office/word/2010/wordprocessingShape">
                    <wps:wsp>
                      <wps:cNvSpPr txBox="1"/>
                      <wps:spPr>
                        <a:xfrm>
                          <a:off x="0" y="0"/>
                          <a:ext cx="933450" cy="312420"/>
                        </a:xfrm>
                        <a:prstGeom prst="rect">
                          <a:avLst/>
                        </a:prstGeom>
                        <a:solidFill>
                          <a:srgbClr val="FFFF00"/>
                        </a:solidFill>
                        <a:ln>
                          <a:noFill/>
                        </a:ln>
                      </wps:spPr>
                      <wps:txbx>
                        <w:txbxContent>
                          <w:p>
                            <w:pPr>
                              <w:tabs>
                                <w:tab w:val="left" w:pos="839"/>
                              </w:tabs>
                              <w:spacing w:before="119" w:line="373" w:lineRule="exact"/>
                              <w:ind w:left="-1" w:right="0" w:firstLine="0"/>
                              <w:jc w:val="left"/>
                              <w:rPr>
                                <w:rFonts w:hint="eastAsia" w:ascii="微软雅黑" w:eastAsia="微软雅黑"/>
                                <w:b/>
                                <w:sz w:val="21"/>
                              </w:rPr>
                            </w:pPr>
                            <w:bookmarkStart w:id="185" w:name="第二节　利润表"/>
                            <w:bookmarkEnd w:id="185"/>
                            <w:bookmarkStart w:id="186" w:name="_bookmark30"/>
                            <w:bookmarkEnd w:id="186"/>
                            <w:r>
                              <w:rPr>
                                <w:rFonts w:hint="eastAsia" w:ascii="微软雅黑" w:eastAsia="微软雅黑"/>
                                <w:b/>
                                <w:sz w:val="21"/>
                              </w:rPr>
                              <w:t>第二节</w:t>
                            </w:r>
                            <w:r>
                              <w:rPr>
                                <w:rFonts w:hint="eastAsia" w:ascii="微软雅黑" w:eastAsia="微软雅黑"/>
                                <w:b/>
                                <w:sz w:val="21"/>
                              </w:rPr>
                              <w:tab/>
                            </w:r>
                            <w:r>
                              <w:rPr>
                                <w:rFonts w:hint="eastAsia" w:ascii="微软雅黑" w:eastAsia="微软雅黑"/>
                                <w:b/>
                                <w:sz w:val="21"/>
                              </w:rPr>
                              <w:t>利润</w:t>
                            </w:r>
                            <w:r>
                              <w:rPr>
                                <w:rFonts w:hint="eastAsia" w:ascii="微软雅黑" w:eastAsia="微软雅黑"/>
                                <w:b/>
                                <w:spacing w:val="-17"/>
                                <w:sz w:val="21"/>
                              </w:rPr>
                              <w:t>表</w:t>
                            </w:r>
                          </w:p>
                        </w:txbxContent>
                      </wps:txbx>
                      <wps:bodyPr lIns="0" tIns="0" rIns="0" bIns="0" upright="1"/>
                    </wps:wsp>
                  </a:graphicData>
                </a:graphic>
              </wp:anchor>
            </w:drawing>
          </mc:Choice>
          <mc:Fallback>
            <w:pict>
              <v:shape id="文本框 266" o:spid="_x0000_s1026" o:spt="202" type="#_x0000_t202" style="position:absolute;left:0pt;margin-left:260.85pt;margin-top:9.1pt;height:24.6pt;width:73.5pt;mso-position-horizontal-relative:page;mso-wrap-distance-bottom:0pt;mso-wrap-distance-top:0pt;z-index:-15589376;mso-width-relative:page;mso-height-relative:page;" fillcolor="#FFFF00" filled="t" stroked="f" coordsize="21600,21600" o:gfxdata="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B6i012QAAAAkBAAAPAAAAAAAAAAEAIAAAACIAAABkcnMvZG93bnJldi54bWxQSwECFAAU&#10;AAAACACHTuJAtIYNT7cBAABQAwAADgAAAAAAAAABACAAAAAoAQAAZHJzL2Uyb0RvYy54bWxQSwUG&#10;AAAAAAYABgBZAQAAUQUAAAAA&#10;">
                <v:fill on="t" focussize="0,0"/>
                <v:stroke on="f"/>
                <v:imagedata o:title=""/>
                <o:lock v:ext="edit" aspectratio="f"/>
                <v:textbox inset="0mm,0mm,0mm,0mm">
                  <w:txbxContent>
                    <w:p>
                      <w:pPr>
                        <w:tabs>
                          <w:tab w:val="left" w:pos="839"/>
                        </w:tabs>
                        <w:spacing w:before="119" w:line="373" w:lineRule="exact"/>
                        <w:ind w:left="-1" w:right="0" w:firstLine="0"/>
                        <w:jc w:val="left"/>
                        <w:rPr>
                          <w:rFonts w:hint="eastAsia" w:ascii="微软雅黑" w:eastAsia="微软雅黑"/>
                          <w:b/>
                          <w:sz w:val="21"/>
                        </w:rPr>
                      </w:pPr>
                      <w:bookmarkStart w:id="185" w:name="第二节　利润表"/>
                      <w:bookmarkEnd w:id="185"/>
                      <w:bookmarkStart w:id="186" w:name="_bookmark30"/>
                      <w:bookmarkEnd w:id="186"/>
                      <w:r>
                        <w:rPr>
                          <w:rFonts w:hint="eastAsia" w:ascii="微软雅黑" w:eastAsia="微软雅黑"/>
                          <w:b/>
                          <w:sz w:val="21"/>
                        </w:rPr>
                        <w:t>第二节</w:t>
                      </w:r>
                      <w:r>
                        <w:rPr>
                          <w:rFonts w:hint="eastAsia" w:ascii="微软雅黑" w:eastAsia="微软雅黑"/>
                          <w:b/>
                          <w:sz w:val="21"/>
                        </w:rPr>
                        <w:tab/>
                      </w:r>
                      <w:r>
                        <w:rPr>
                          <w:rFonts w:hint="eastAsia" w:ascii="微软雅黑" w:eastAsia="微软雅黑"/>
                          <w:b/>
                          <w:sz w:val="21"/>
                        </w:rPr>
                        <w:t>利润</w:t>
                      </w:r>
                      <w:r>
                        <w:rPr>
                          <w:rFonts w:hint="eastAsia" w:ascii="微软雅黑" w:eastAsia="微软雅黑"/>
                          <w:b/>
                          <w:spacing w:val="-17"/>
                          <w:sz w:val="21"/>
                        </w:rPr>
                        <w:t>表</w:t>
                      </w:r>
                    </w:p>
                  </w:txbxContent>
                </v:textbox>
                <w10:wrap type="topAndBottom"/>
              </v:shape>
            </w:pict>
          </mc:Fallback>
        </mc:AlternateContent>
      </w:r>
    </w:p>
    <w:p>
      <w:pPr>
        <w:pStyle w:val="6"/>
        <w:spacing w:before="6"/>
        <w:ind w:left="0"/>
        <w:rPr>
          <w:sz w:val="14"/>
        </w:rPr>
      </w:pPr>
    </w:p>
    <w:p>
      <w:pPr>
        <w:pStyle w:val="6"/>
        <w:spacing w:before="0"/>
      </w:pPr>
      <w:r>
        <w:t>利润表是指反映企业在一定会计期间的经营成果的报表。</w:t>
      </w:r>
    </w:p>
    <w:p>
      <w:pPr>
        <w:pStyle w:val="6"/>
        <w:spacing w:line="304" w:lineRule="auto"/>
        <w:ind w:left="322" w:right="646" w:firstLine="400"/>
      </w:pPr>
      <w:r>
        <w:rPr>
          <w:w w:val="95"/>
        </w:rPr>
        <w:t>通过利润表，可以反映企业在一定会计期间</w:t>
      </w:r>
      <w:r>
        <w:rPr>
          <w:color w:val="FF0000"/>
          <w:w w:val="95"/>
          <w:u w:val="double" w:color="FF0000"/>
        </w:rPr>
        <w:t>收入、费用、利润（或亏损）</w:t>
      </w:r>
      <w:r>
        <w:rPr>
          <w:w w:val="95"/>
        </w:rPr>
        <w:t xml:space="preserve">的数额和构成情况，帮助财务报表   </w:t>
      </w:r>
      <w:r>
        <w:t>使用者全面了解企业的</w:t>
      </w:r>
      <w:r>
        <w:rPr>
          <w:color w:val="FF0000"/>
          <w:u w:val="double" w:color="FF0000"/>
        </w:rPr>
        <w:t>经营成果</w:t>
      </w:r>
      <w:r>
        <w:t>，分析企业的</w:t>
      </w:r>
      <w:r>
        <w:rPr>
          <w:color w:val="FF0000"/>
          <w:u w:val="double" w:color="FF0000"/>
        </w:rPr>
        <w:t>获利能力</w:t>
      </w:r>
      <w:r>
        <w:t>及</w:t>
      </w:r>
      <w:r>
        <w:rPr>
          <w:color w:val="FF0000"/>
          <w:u w:val="double" w:color="FF0000"/>
        </w:rPr>
        <w:t>盈利增长趋势</w:t>
      </w:r>
      <w:r>
        <w:t>，从而为其作出经济决策提供依据。</w:t>
      </w:r>
    </w:p>
    <w:p>
      <w:pPr>
        <w:spacing w:before="0" w:line="256" w:lineRule="exact"/>
        <w:ind w:left="742" w:right="0" w:firstLine="0"/>
        <w:jc w:val="left"/>
        <w:rPr>
          <w:b/>
          <w:sz w:val="21"/>
        </w:rPr>
      </w:pPr>
      <w:r>
        <w:rPr>
          <w:b/>
          <w:sz w:val="21"/>
          <w:shd w:val="clear" w:color="auto" w:fill="C0C0C0"/>
        </w:rPr>
        <w:t>一、利润表的结构</w:t>
      </w:r>
    </w:p>
    <w:p>
      <w:pPr>
        <w:pStyle w:val="6"/>
        <w:spacing w:after="2"/>
      </w:pPr>
      <w:r>
        <w:t>利润表的结构有单步式和多步式，我国企业的利润表采用</w:t>
      </w:r>
      <w:r>
        <w:rPr>
          <w:color w:val="FF0000"/>
          <w:u w:val="double" w:color="FF0000"/>
        </w:rPr>
        <w:t>多步式</w:t>
      </w:r>
      <w:r>
        <w:t>格式。</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772"/>
        <w:gridCol w:w="2563"/>
        <w:gridCol w:w="2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2363" w:right="1958"/>
              <w:jc w:val="center"/>
              <w:rPr>
                <w:sz w:val="20"/>
              </w:rPr>
            </w:pPr>
            <w:r>
              <w:rPr>
                <w:sz w:val="20"/>
              </w:rPr>
              <w:t>项目</w:t>
            </w:r>
          </w:p>
        </w:tc>
        <w:tc>
          <w:tcPr>
            <w:tcW w:w="2563" w:type="dxa"/>
          </w:tcPr>
          <w:p>
            <w:pPr>
              <w:pStyle w:val="14"/>
              <w:spacing w:before="68" w:line="238" w:lineRule="exact"/>
              <w:ind w:left="1080"/>
              <w:rPr>
                <w:sz w:val="20"/>
              </w:rPr>
            </w:pPr>
            <w:r>
              <w:rPr>
                <w:sz w:val="20"/>
              </w:rPr>
              <w:t>本期金额</w:t>
            </w:r>
          </w:p>
        </w:tc>
        <w:tc>
          <w:tcPr>
            <w:tcW w:w="2731" w:type="dxa"/>
          </w:tcPr>
          <w:p>
            <w:pPr>
              <w:pStyle w:val="14"/>
              <w:spacing w:before="68" w:line="238" w:lineRule="exact"/>
              <w:ind w:left="1164"/>
              <w:rPr>
                <w:sz w:val="20"/>
              </w:rPr>
            </w:pPr>
            <w:r>
              <w:rPr>
                <w:sz w:val="20"/>
              </w:rPr>
              <w:t>上期金额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4772" w:type="dxa"/>
          </w:tcPr>
          <w:p>
            <w:pPr>
              <w:pStyle w:val="14"/>
              <w:spacing w:before="68" w:line="236" w:lineRule="exact"/>
              <w:ind w:left="507"/>
              <w:rPr>
                <w:sz w:val="20"/>
              </w:rPr>
            </w:pPr>
            <w:r>
              <w:rPr>
                <w:sz w:val="20"/>
              </w:rPr>
              <w:t>一、营业收入</w:t>
            </w:r>
          </w:p>
        </w:tc>
        <w:tc>
          <w:tcPr>
            <w:tcW w:w="2563" w:type="dxa"/>
          </w:tcPr>
          <w:p>
            <w:pPr>
              <w:pStyle w:val="14"/>
              <w:rPr>
                <w:rFonts w:ascii="Times New Roman"/>
                <w:sz w:val="18"/>
              </w:rPr>
            </w:pPr>
          </w:p>
        </w:tc>
        <w:tc>
          <w:tcPr>
            <w:tcW w:w="2731" w:type="dxa"/>
          </w:tcPr>
          <w:p>
            <w:pPr>
              <w:pStyle w:val="14"/>
              <w:rPr>
                <w:rFonts w:ascii="Times New Roman"/>
                <w:sz w:val="18"/>
              </w:rPr>
            </w:pPr>
          </w:p>
        </w:tc>
      </w:tr>
    </w:tbl>
    <w:p>
      <w:pPr>
        <w:spacing w:after="0"/>
        <w:rPr>
          <w:rFonts w:ascii="Times New Roman"/>
          <w:sz w:val="18"/>
        </w:rPr>
        <w:sectPr>
          <w:pgSz w:w="11910" w:h="16160"/>
          <w:pgMar w:top="1680" w:right="360" w:bottom="860" w:left="760" w:header="0" w:footer="548" w:gutter="0"/>
        </w:sectPr>
      </w:pPr>
    </w:p>
    <w:p>
      <w:pPr>
        <w:pStyle w:val="6"/>
        <w:spacing w:before="1"/>
        <w:ind w:left="0"/>
        <w:rPr>
          <w:sz w:val="14"/>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772"/>
        <w:gridCol w:w="2563"/>
        <w:gridCol w:w="2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减：营业成本</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税金及附加</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销售费用</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908"/>
              <w:rPr>
                <w:sz w:val="20"/>
              </w:rPr>
            </w:pPr>
            <w:r>
              <w:rPr>
                <w:sz w:val="20"/>
              </w:rPr>
              <w:t>管理费用</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研发费用</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908"/>
              <w:rPr>
                <w:sz w:val="20"/>
              </w:rPr>
            </w:pPr>
            <w:r>
              <w:rPr>
                <w:sz w:val="20"/>
              </w:rPr>
              <w:t>财务费用</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资产减值损失</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信用减值损失</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加：其他收益</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908"/>
              <w:rPr>
                <w:sz w:val="20"/>
              </w:rPr>
            </w:pPr>
            <w:r>
              <w:rPr>
                <w:sz w:val="20"/>
              </w:rPr>
              <w:t>投资收益（损失以“-”号填列）</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净敞口套期收益（损失以“-”号填列）</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908"/>
              <w:rPr>
                <w:sz w:val="20"/>
              </w:rPr>
            </w:pPr>
            <w:r>
              <w:rPr>
                <w:sz w:val="20"/>
              </w:rPr>
              <w:t>公允价值变动收益（损失以“-”号填列）</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908"/>
              <w:rPr>
                <w:sz w:val="20"/>
              </w:rPr>
            </w:pPr>
            <w:r>
              <w:rPr>
                <w:sz w:val="20"/>
              </w:rPr>
              <w:t>资产处置收益</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2363" w:right="1958"/>
              <w:jc w:val="center"/>
              <w:rPr>
                <w:sz w:val="20"/>
              </w:rPr>
            </w:pPr>
            <w:r>
              <w:rPr>
                <w:sz w:val="20"/>
              </w:rPr>
              <w:t>项目</w:t>
            </w:r>
          </w:p>
        </w:tc>
        <w:tc>
          <w:tcPr>
            <w:tcW w:w="2563" w:type="dxa"/>
          </w:tcPr>
          <w:p>
            <w:pPr>
              <w:pStyle w:val="14"/>
              <w:spacing w:before="68" w:line="238" w:lineRule="exact"/>
              <w:ind w:left="1080"/>
              <w:rPr>
                <w:sz w:val="20"/>
              </w:rPr>
            </w:pPr>
            <w:r>
              <w:rPr>
                <w:sz w:val="20"/>
              </w:rPr>
              <w:t>本期金额</w:t>
            </w:r>
          </w:p>
        </w:tc>
        <w:tc>
          <w:tcPr>
            <w:tcW w:w="2731" w:type="dxa"/>
          </w:tcPr>
          <w:p>
            <w:pPr>
              <w:pStyle w:val="14"/>
              <w:spacing w:before="68" w:line="238" w:lineRule="exact"/>
              <w:ind w:left="1164"/>
              <w:rPr>
                <w:sz w:val="20"/>
              </w:rPr>
            </w:pPr>
            <w:r>
              <w:rPr>
                <w:sz w:val="20"/>
              </w:rPr>
              <w:t>上期金额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二、营业利润（亏损以“-”号填列）</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507"/>
              <w:rPr>
                <w:sz w:val="20"/>
              </w:rPr>
            </w:pPr>
            <w:r>
              <w:rPr>
                <w:sz w:val="20"/>
              </w:rPr>
              <w:t>加：营业外收入</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减：营业外支出</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三、利润总额（亏损总额以“-”号填列）</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减：所得税费用</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四、净利润（净亏损以“-”号填列）</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4772" w:type="dxa"/>
          </w:tcPr>
          <w:p>
            <w:pPr>
              <w:pStyle w:val="14"/>
              <w:spacing w:before="68" w:line="238" w:lineRule="exact"/>
              <w:ind w:left="507"/>
              <w:rPr>
                <w:sz w:val="20"/>
              </w:rPr>
            </w:pPr>
            <w:r>
              <w:rPr>
                <w:sz w:val="20"/>
              </w:rPr>
              <w:t>五、其他综合收益的税后净额</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六、综合收益总额</w:t>
            </w:r>
          </w:p>
        </w:tc>
        <w:tc>
          <w:tcPr>
            <w:tcW w:w="2563" w:type="dxa"/>
          </w:tcPr>
          <w:p>
            <w:pPr>
              <w:pStyle w:val="14"/>
              <w:rPr>
                <w:rFonts w:ascii="Times New Roman"/>
                <w:sz w:val="18"/>
              </w:rPr>
            </w:pPr>
          </w:p>
        </w:tc>
        <w:tc>
          <w:tcPr>
            <w:tcW w:w="2731"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4772" w:type="dxa"/>
          </w:tcPr>
          <w:p>
            <w:pPr>
              <w:pStyle w:val="14"/>
              <w:spacing w:before="68" w:line="238" w:lineRule="exact"/>
              <w:ind w:left="507"/>
              <w:rPr>
                <w:sz w:val="20"/>
              </w:rPr>
            </w:pPr>
            <w:r>
              <w:rPr>
                <w:sz w:val="20"/>
              </w:rPr>
              <w:t>七、每股收益</w:t>
            </w:r>
          </w:p>
        </w:tc>
        <w:tc>
          <w:tcPr>
            <w:tcW w:w="2563" w:type="dxa"/>
          </w:tcPr>
          <w:p>
            <w:pPr>
              <w:pStyle w:val="14"/>
              <w:rPr>
                <w:rFonts w:ascii="Times New Roman"/>
                <w:sz w:val="18"/>
              </w:rPr>
            </w:pPr>
          </w:p>
        </w:tc>
        <w:tc>
          <w:tcPr>
            <w:tcW w:w="2731" w:type="dxa"/>
          </w:tcPr>
          <w:p>
            <w:pPr>
              <w:pStyle w:val="14"/>
              <w:rPr>
                <w:rFonts w:ascii="Times New Roman"/>
                <w:sz w:val="18"/>
              </w:rPr>
            </w:pPr>
          </w:p>
        </w:tc>
      </w:tr>
    </w:tbl>
    <w:p>
      <w:pPr>
        <w:pStyle w:val="6"/>
        <w:spacing w:before="0"/>
        <w:ind w:left="743"/>
      </w:pPr>
      <w:r>
        <mc:AlternateContent>
          <mc:Choice Requires="wps">
            <w:drawing>
              <wp:inline distT="0" distB="0" distL="114300" distR="114300">
                <wp:extent cx="1070610" cy="207010"/>
                <wp:effectExtent l="0" t="0" r="15240" b="2540"/>
                <wp:docPr id="185" name="文本框 267"/>
                <wp:cNvGraphicFramePr/>
                <a:graphic xmlns:a="http://schemas.openxmlformats.org/drawingml/2006/main">
                  <a:graphicData uri="http://schemas.microsoft.com/office/word/2010/wordprocessingShape">
                    <wps:wsp>
                      <wps:cNvSpPr txBox="1"/>
                      <wps:spPr>
                        <a:xfrm>
                          <a:off x="0" y="0"/>
                          <a:ext cx="1070610" cy="207010"/>
                        </a:xfrm>
                        <a:prstGeom prst="rect">
                          <a:avLst/>
                        </a:prstGeom>
                        <a:solidFill>
                          <a:srgbClr val="C0C0C0"/>
                        </a:solidFill>
                        <a:ln>
                          <a:noFill/>
                        </a:ln>
                      </wps:spPr>
                      <wps:txbx>
                        <w:txbxContent>
                          <w:p>
                            <w:pPr>
                              <w:spacing w:before="55"/>
                              <w:ind w:left="-1" w:right="0" w:firstLine="0"/>
                              <w:jc w:val="left"/>
                              <w:rPr>
                                <w:b/>
                                <w:sz w:val="21"/>
                              </w:rPr>
                            </w:pPr>
                            <w:r>
                              <w:rPr>
                                <w:b/>
                                <w:sz w:val="21"/>
                              </w:rPr>
                              <w:t>二、利润表的编制</w:t>
                            </w:r>
                          </w:p>
                        </w:txbxContent>
                      </wps:txbx>
                      <wps:bodyPr lIns="0" tIns="0" rIns="0" bIns="0" upright="1"/>
                    </wps:wsp>
                  </a:graphicData>
                </a:graphic>
              </wp:inline>
            </w:drawing>
          </mc:Choice>
          <mc:Fallback>
            <w:pict>
              <v:shape id="文本框 267" o:spid="_x0000_s1026" o:spt="202" type="#_x0000_t202" style="height:16.3pt;width:84.3pt;" fillcolor="#C0C0C0" filled="t" stroked="f" coordsize="21600,21600" o:gfxdata="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Hof&#10;gdUAAAAEAQAADwAAAAAAAAABACAAAAAiAAAAZHJzL2Rvd25yZXYueG1sUEsBAhQAFAAAAAgAh07i&#10;QNRtYDCzAQAAUQMAAA4AAAAAAAAAAQAgAAAAJAEAAGRycy9lMm9Eb2MueG1sUEsFBgAAAAAGAAYA&#10;WQEAAEkFAAAAAA==&#10;">
                <v:fill on="t" focussize="0,0"/>
                <v:stroke on="f"/>
                <v:imagedata o:title=""/>
                <o:lock v:ext="edit" aspectratio="f"/>
                <v:textbox inset="0mm,0mm,0mm,0mm">
                  <w:txbxContent>
                    <w:p>
                      <w:pPr>
                        <w:spacing w:before="55"/>
                        <w:ind w:left="-1" w:right="0" w:firstLine="0"/>
                        <w:jc w:val="left"/>
                        <w:rPr>
                          <w:b/>
                          <w:sz w:val="21"/>
                        </w:rPr>
                      </w:pPr>
                      <w:r>
                        <w:rPr>
                          <w:b/>
                          <w:sz w:val="21"/>
                        </w:rPr>
                        <w:t>二、利润表的编制</w:t>
                      </w:r>
                    </w:p>
                  </w:txbxContent>
                </v:textbox>
                <w10:wrap type="none"/>
                <w10:anchorlock/>
              </v:shape>
            </w:pict>
          </mc:Fallback>
        </mc:AlternateContent>
      </w:r>
    </w:p>
    <w:p>
      <w:pPr>
        <w:pStyle w:val="6"/>
        <w:spacing w:before="49"/>
      </w:pPr>
      <w:r>
        <w:t>利润表各项目均需填列“本期金额”和“上期金额”两栏。</w:t>
      </w:r>
    </w:p>
    <w:p>
      <w:pPr>
        <w:spacing w:before="70"/>
        <w:ind w:left="723" w:right="0" w:firstLine="0"/>
        <w:jc w:val="left"/>
        <w:rPr>
          <w:sz w:val="20"/>
        </w:rPr>
      </w:pPr>
      <w:r>
        <w:rPr>
          <w:b/>
          <w:spacing w:val="2"/>
          <w:w w:val="99"/>
          <w:sz w:val="20"/>
        </w:rPr>
        <w:t>（</w:t>
      </w:r>
      <w:r>
        <w:rPr>
          <w:b/>
          <w:w w:val="99"/>
          <w:sz w:val="20"/>
        </w:rPr>
        <w:t>一</w:t>
      </w:r>
      <w:r>
        <w:rPr>
          <w:b/>
          <w:spacing w:val="-99"/>
          <w:w w:val="99"/>
          <w:sz w:val="20"/>
        </w:rPr>
        <w:t>）</w:t>
      </w:r>
      <w:r>
        <w:rPr>
          <w:b/>
          <w:spacing w:val="-15"/>
          <w:w w:val="99"/>
          <w:sz w:val="20"/>
        </w:rPr>
        <w:t>“上期金额”：</w:t>
      </w:r>
      <w:r>
        <w:rPr>
          <w:w w:val="99"/>
          <w:sz w:val="20"/>
        </w:rPr>
        <w:t>应根据</w:t>
      </w:r>
      <w:r>
        <w:rPr>
          <w:color w:val="FF0000"/>
          <w:w w:val="99"/>
          <w:sz w:val="20"/>
          <w:u w:val="double" w:color="FF0000"/>
        </w:rPr>
        <w:t>上年该期利润表</w:t>
      </w:r>
      <w:r>
        <w:rPr>
          <w:w w:val="99"/>
          <w:sz w:val="20"/>
        </w:rPr>
        <w:t>的“本期金额”栏内所列数字填列。</w:t>
      </w:r>
    </w:p>
    <w:p>
      <w:pPr>
        <w:pStyle w:val="5"/>
      </w:pPr>
      <w:r>
        <w:rPr>
          <w:spacing w:val="2"/>
          <w:w w:val="99"/>
        </w:rPr>
        <w:t>（</w:t>
      </w:r>
      <w:r>
        <w:rPr>
          <w:w w:val="99"/>
        </w:rPr>
        <w:t>二</w:t>
      </w:r>
      <w:r>
        <w:rPr>
          <w:spacing w:val="-99"/>
          <w:w w:val="99"/>
        </w:rPr>
        <w:t>）</w:t>
      </w:r>
      <w:r>
        <w:rPr>
          <w:w w:val="99"/>
        </w:rPr>
        <w:t>“本期金额”</w:t>
      </w:r>
    </w:p>
    <w:p>
      <w:pPr>
        <w:pStyle w:val="6"/>
        <w:spacing w:before="71" w:line="304" w:lineRule="auto"/>
        <w:ind w:left="322" w:right="861" w:firstLine="400"/>
      </w:pPr>
      <w:r>
        <w:t>1.营业收入＝主营业务收入＋其他业务收入 2.营业成本＝主营业务成本＋其他业务成本 3.研发费用根据管理费用下的研发费用明细科目发生额以及管理费用科目下无形资产摊销明细科目的发生额分析填列。</w:t>
      </w:r>
    </w:p>
    <w:p>
      <w:pPr>
        <w:pStyle w:val="3"/>
        <w:tabs>
          <w:tab w:val="left" w:pos="839"/>
        </w:tabs>
        <w:spacing w:before="49"/>
        <w:ind w:left="0" w:right="402"/>
        <w:jc w:val="center"/>
        <w:rPr>
          <w:rFonts w:hint="eastAsia" w:ascii="微软雅黑" w:eastAsia="微软雅黑"/>
        </w:rPr>
      </w:pPr>
      <w:bookmarkStart w:id="137" w:name="第三节　所有者权益变动表"/>
      <w:bookmarkEnd w:id="137"/>
      <w:bookmarkStart w:id="138" w:name="_bookmark31"/>
      <w:bookmarkEnd w:id="138"/>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所有者权益变动表</w:t>
      </w:r>
    </w:p>
    <w:p>
      <w:pPr>
        <w:pStyle w:val="6"/>
        <w:spacing w:before="13"/>
        <w:ind w:left="0"/>
        <w:rPr>
          <w:rFonts w:ascii="微软雅黑"/>
          <w:b/>
          <w:sz w:val="5"/>
        </w:rPr>
      </w:pPr>
    </w:p>
    <w:p>
      <w:pPr>
        <w:spacing w:before="69"/>
        <w:ind w:left="742" w:right="0" w:firstLine="0"/>
        <w:jc w:val="left"/>
        <w:rPr>
          <w:b/>
          <w:sz w:val="21"/>
        </w:rPr>
      </w:pPr>
      <w:r>
        <w:rPr>
          <w:b/>
          <w:sz w:val="21"/>
          <w:shd w:val="clear" w:color="auto" w:fill="C0C0C0"/>
        </w:rPr>
        <w:t>一、所有者权益变动表结构</w:t>
      </w:r>
    </w:p>
    <w:p>
      <w:pPr>
        <w:spacing w:before="70"/>
        <w:ind w:left="723" w:right="0" w:firstLine="0"/>
        <w:jc w:val="left"/>
        <w:rPr>
          <w:b/>
          <w:sz w:val="20"/>
        </w:rPr>
      </w:pPr>
      <w:r>
        <w:rPr>
          <w:sz w:val="20"/>
        </w:rPr>
        <w:t>所有者权益变动表是</w:t>
      </w:r>
      <w:r>
        <w:rPr>
          <w:b/>
          <w:color w:val="00AFEF"/>
          <w:sz w:val="20"/>
          <w:u w:val="single" w:color="00AFEF"/>
        </w:rPr>
        <w:t>反映构成所有者权益的各组成部分当期的增减变动情况的报表。</w:t>
      </w:r>
    </w:p>
    <w:p>
      <w:pPr>
        <w:pStyle w:val="6"/>
        <w:spacing w:line="304" w:lineRule="auto"/>
        <w:ind w:left="322" w:right="722" w:firstLine="400"/>
      </w:pPr>
      <w:r>
        <w:rPr>
          <w:spacing w:val="-3"/>
          <w:w w:val="95"/>
        </w:rPr>
        <w:t>通过所有者权益变动表，既可以为报表使用者提供</w:t>
      </w:r>
      <w:r>
        <w:rPr>
          <w:color w:val="FF0000"/>
          <w:w w:val="95"/>
          <w:u w:val="double" w:color="FF0000"/>
        </w:rPr>
        <w:t>所有者权益总量的增减变动的信息</w:t>
      </w:r>
      <w:r>
        <w:rPr>
          <w:spacing w:val="-7"/>
          <w:w w:val="95"/>
        </w:rPr>
        <w:t>，也能提供</w:t>
      </w:r>
      <w:r>
        <w:rPr>
          <w:color w:val="FF0000"/>
          <w:w w:val="95"/>
          <w:u w:val="double" w:color="FF0000"/>
        </w:rPr>
        <w:t>所有者权益</w:t>
      </w:r>
      <w:r>
        <w:rPr>
          <w:color w:val="FF0000"/>
          <w:spacing w:val="-199"/>
          <w:w w:val="95"/>
          <w:u w:val="double" w:color="FF0000"/>
        </w:rPr>
        <w:t>增</w:t>
      </w:r>
      <w:r>
        <w:rPr>
          <w:color w:val="FF0000"/>
          <w:spacing w:val="189"/>
          <w:w w:val="95"/>
          <w:u w:val="double" w:color="FF0000"/>
        </w:rPr>
        <w:t xml:space="preserve"> </w:t>
      </w:r>
      <w:r>
        <w:rPr>
          <w:color w:val="FF0000"/>
          <w:u w:val="double" w:color="FF0000"/>
        </w:rPr>
        <w:t>减变动的结构性信息</w:t>
      </w:r>
      <w:r>
        <w:t>，特别是能够让报表使用者理解所有者权益增减变动的根源。</w:t>
      </w:r>
    </w:p>
    <w:p>
      <w:pPr>
        <w:pStyle w:val="6"/>
        <w:spacing w:before="2"/>
      </w:pPr>
      <w:r>
        <w:t>即：</w:t>
      </w:r>
      <w:r>
        <w:rPr>
          <w:color w:val="FF0000"/>
          <w:u w:val="double" w:color="FF0000"/>
        </w:rPr>
        <w:t>所有者权益变动表反映总额增减和内部增减。</w:t>
      </w:r>
    </w:p>
    <w:p>
      <w:pPr>
        <w:spacing w:before="56"/>
        <w:ind w:left="742" w:right="0" w:firstLine="0"/>
        <w:jc w:val="left"/>
        <w:rPr>
          <w:b/>
          <w:sz w:val="21"/>
        </w:rPr>
      </w:pPr>
      <w:r>
        <w:rPr>
          <w:b/>
          <w:sz w:val="21"/>
          <w:shd w:val="clear" w:color="auto" w:fill="C0C0C0"/>
        </w:rPr>
        <w:t>二、所有者权益变动表的结构</w:t>
      </w:r>
    </w:p>
    <w:p>
      <w:pPr>
        <w:spacing w:after="0"/>
        <w:jc w:val="left"/>
        <w:rPr>
          <w:sz w:val="21"/>
        </w:rPr>
        <w:sectPr>
          <w:pgSz w:w="11910" w:h="16160"/>
          <w:pgMar w:top="1680" w:right="360" w:bottom="860" w:left="760" w:header="0" w:footer="548" w:gutter="0"/>
        </w:sectPr>
      </w:pPr>
    </w:p>
    <w:p>
      <w:pPr>
        <w:pStyle w:val="6"/>
        <w:spacing w:before="11"/>
        <w:ind w:left="0"/>
        <w:rPr>
          <w:b/>
          <w:sz w:val="13"/>
        </w:rPr>
      </w:pPr>
    </w:p>
    <w:p>
      <w:pPr>
        <w:pStyle w:val="5"/>
        <w:numPr>
          <w:ilvl w:val="0"/>
          <w:numId w:val="110"/>
        </w:numPr>
        <w:tabs>
          <w:tab w:val="left" w:pos="925"/>
        </w:tabs>
        <w:spacing w:before="71" w:after="0" w:line="240" w:lineRule="auto"/>
        <w:ind w:left="924" w:right="0" w:hanging="202"/>
        <w:jc w:val="left"/>
      </w:pPr>
      <w:r>
        <w:t>企业应至少</w:t>
      </w:r>
      <w:r>
        <w:rPr>
          <w:color w:val="FF0000"/>
          <w:u w:val="double" w:color="FF0000"/>
        </w:rPr>
        <w:t>单独列示</w:t>
      </w:r>
      <w:r>
        <w:t>反映下列信息的项目：</w:t>
      </w:r>
    </w:p>
    <w:p>
      <w:pPr>
        <w:pStyle w:val="6"/>
      </w:pPr>
      <w:r>
        <w:t>①综合收益总额，②会计政策变更和前期差错更正的累积影响金额；③所有者投入资本和向所有者分配利润</w:t>
      </w:r>
    </w:p>
    <w:p>
      <w:pPr>
        <w:pStyle w:val="6"/>
        <w:ind w:left="322"/>
      </w:pPr>
      <w:r>
        <w:t>等；</w:t>
      </w:r>
    </w:p>
    <w:p>
      <w:pPr>
        <w:pStyle w:val="6"/>
      </w:pPr>
      <w:r>
        <w:t>④提取的盈余公积；⑤实收资本、其他权益工具、资本公积、其他综合收益、专项储备、盈余公积、未分配</w:t>
      </w:r>
    </w:p>
    <w:p>
      <w:pPr>
        <w:pStyle w:val="6"/>
        <w:spacing w:before="71"/>
        <w:ind w:left="322"/>
      </w:pPr>
      <w:r>
        <w:t>利润的期初和期末余额及其调节情况。</w:t>
      </w:r>
    </w:p>
    <w:p>
      <w:pPr>
        <w:pStyle w:val="5"/>
        <w:numPr>
          <w:ilvl w:val="0"/>
          <w:numId w:val="110"/>
        </w:numPr>
        <w:tabs>
          <w:tab w:val="left" w:pos="925"/>
        </w:tabs>
        <w:spacing w:before="67" w:after="0" w:line="240" w:lineRule="auto"/>
        <w:ind w:left="924" w:right="0" w:hanging="202"/>
        <w:jc w:val="left"/>
      </w:pPr>
      <w:r>
        <w:t>所有者权益变动表以矩阵的形式列示：</w:t>
      </w:r>
    </w:p>
    <w:p>
      <w:pPr>
        <w:pStyle w:val="6"/>
        <w:spacing w:line="304" w:lineRule="auto"/>
        <w:ind w:left="322" w:right="720" w:firstLine="400"/>
        <w:jc w:val="both"/>
      </w:pPr>
      <w:r>
        <mc:AlternateContent>
          <mc:Choice Requires="wps">
            <w:drawing>
              <wp:anchor distT="0" distB="0" distL="114300" distR="114300" simplePos="0" relativeHeight="15872000" behindDoc="0" locked="0" layoutInCell="1" allowOverlap="1">
                <wp:simplePos x="0" y="0"/>
                <wp:positionH relativeFrom="page">
                  <wp:posOffset>615950</wp:posOffset>
                </wp:positionH>
                <wp:positionV relativeFrom="paragraph">
                  <wp:posOffset>621665</wp:posOffset>
                </wp:positionV>
                <wp:extent cx="6345555" cy="1917065"/>
                <wp:effectExtent l="0" t="0" r="0" b="0"/>
                <wp:wrapNone/>
                <wp:docPr id="164" name="文本框 268"/>
                <wp:cNvGraphicFramePr/>
                <a:graphic xmlns:a="http://schemas.openxmlformats.org/drawingml/2006/main">
                  <a:graphicData uri="http://schemas.microsoft.com/office/word/2010/wordprocessingShape">
                    <wps:wsp>
                      <wps:cNvSpPr txBox="1"/>
                      <wps:spPr>
                        <a:xfrm>
                          <a:off x="0" y="0"/>
                          <a:ext cx="6345555" cy="1917065"/>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6"/>
                              <w:gridCol w:w="1156"/>
                              <w:gridCol w:w="875"/>
                              <w:gridCol w:w="850"/>
                              <w:gridCol w:w="925"/>
                              <w:gridCol w:w="275"/>
                              <w:gridCol w:w="663"/>
                              <w:gridCol w:w="875"/>
                              <w:gridCol w:w="1075"/>
                              <w:gridCol w:w="1087"/>
                              <w:gridCol w:w="3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16" w:type="dxa"/>
                                  <w:vMerge w:val="restart"/>
                                </w:tcPr>
                                <w:p>
                                  <w:pPr>
                                    <w:pStyle w:val="14"/>
                                    <w:spacing w:before="12"/>
                                    <w:rPr>
                                      <w:b/>
                                      <w:sz w:val="26"/>
                                    </w:rPr>
                                  </w:pPr>
                                </w:p>
                                <w:p>
                                  <w:pPr>
                                    <w:pStyle w:val="14"/>
                                    <w:ind w:left="686" w:right="680"/>
                                    <w:jc w:val="center"/>
                                    <w:rPr>
                                      <w:sz w:val="20"/>
                                    </w:rPr>
                                  </w:pPr>
                                  <w:r>
                                    <w:rPr>
                                      <w:sz w:val="20"/>
                                    </w:rPr>
                                    <w:t>项目</w:t>
                                  </w:r>
                                </w:p>
                              </w:tc>
                              <w:tc>
                                <w:tcPr>
                                  <w:tcW w:w="4081" w:type="dxa"/>
                                  <w:gridSpan w:val="5"/>
                                </w:tcPr>
                                <w:p>
                                  <w:pPr>
                                    <w:pStyle w:val="14"/>
                                    <w:spacing w:before="28"/>
                                    <w:ind w:left="1617" w:right="1611"/>
                                    <w:jc w:val="center"/>
                                    <w:rPr>
                                      <w:sz w:val="20"/>
                                    </w:rPr>
                                  </w:pPr>
                                  <w:r>
                                    <w:rPr>
                                      <w:sz w:val="20"/>
                                    </w:rPr>
                                    <w:t>本年金额</w:t>
                                  </w:r>
                                </w:p>
                              </w:tc>
                              <w:tc>
                                <w:tcPr>
                                  <w:tcW w:w="4081" w:type="dxa"/>
                                  <w:gridSpan w:val="5"/>
                                </w:tcPr>
                                <w:p>
                                  <w:pPr>
                                    <w:pStyle w:val="14"/>
                                    <w:spacing w:before="28"/>
                                    <w:ind w:left="1618" w:right="1609"/>
                                    <w:jc w:val="center"/>
                                    <w:rPr>
                                      <w:sz w:val="20"/>
                                    </w:rPr>
                                  </w:pPr>
                                  <w:r>
                                    <w:rPr>
                                      <w:sz w:val="20"/>
                                    </w:rPr>
                                    <w:t>上年金额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16" w:type="dxa"/>
                                  <w:vMerge w:val="continue"/>
                                  <w:tcBorders>
                                    <w:top w:val="nil"/>
                                  </w:tcBorders>
                                </w:tcPr>
                                <w:p>
                                  <w:pPr>
                                    <w:rPr>
                                      <w:sz w:val="2"/>
                                      <w:szCs w:val="2"/>
                                    </w:rPr>
                                  </w:pPr>
                                </w:p>
                              </w:tc>
                              <w:tc>
                                <w:tcPr>
                                  <w:tcW w:w="1156" w:type="dxa"/>
                                </w:tcPr>
                                <w:p>
                                  <w:pPr>
                                    <w:pStyle w:val="14"/>
                                    <w:spacing w:before="28"/>
                                    <w:ind w:left="177"/>
                                    <w:rPr>
                                      <w:sz w:val="20"/>
                                    </w:rPr>
                                  </w:pPr>
                                  <w:r>
                                    <w:rPr>
                                      <w:sz w:val="20"/>
                                    </w:rPr>
                                    <w:t>实收资本</w:t>
                                  </w:r>
                                </w:p>
                                <w:p>
                                  <w:pPr>
                                    <w:pStyle w:val="14"/>
                                    <w:spacing w:before="56"/>
                                    <w:ind w:left="107"/>
                                    <w:rPr>
                                      <w:sz w:val="20"/>
                                    </w:rPr>
                                  </w:pPr>
                                  <w:r>
                                    <w:rPr>
                                      <w:sz w:val="20"/>
                                    </w:rPr>
                                    <w:t>（或股本）</w:t>
                                  </w:r>
                                </w:p>
                              </w:tc>
                              <w:tc>
                                <w:tcPr>
                                  <w:tcW w:w="875" w:type="dxa"/>
                                </w:tcPr>
                                <w:p>
                                  <w:pPr>
                                    <w:pStyle w:val="14"/>
                                    <w:spacing w:before="28"/>
                                    <w:ind w:left="137"/>
                                    <w:rPr>
                                      <w:sz w:val="20"/>
                                    </w:rPr>
                                  </w:pPr>
                                  <w:r>
                                    <w:rPr>
                                      <w:w w:val="95"/>
                                      <w:sz w:val="20"/>
                                    </w:rPr>
                                    <w:t>其他权</w:t>
                                  </w:r>
                                </w:p>
                                <w:p>
                                  <w:pPr>
                                    <w:pStyle w:val="14"/>
                                    <w:spacing w:before="56"/>
                                    <w:ind w:left="137"/>
                                    <w:rPr>
                                      <w:sz w:val="20"/>
                                    </w:rPr>
                                  </w:pPr>
                                  <w:r>
                                    <w:rPr>
                                      <w:w w:val="95"/>
                                      <w:sz w:val="20"/>
                                    </w:rPr>
                                    <w:t>益工具</w:t>
                                  </w:r>
                                </w:p>
                              </w:tc>
                              <w:tc>
                                <w:tcPr>
                                  <w:tcW w:w="850" w:type="dxa"/>
                                </w:tcPr>
                                <w:p>
                                  <w:pPr>
                                    <w:pStyle w:val="14"/>
                                    <w:spacing w:before="28"/>
                                    <w:ind w:left="224"/>
                                    <w:rPr>
                                      <w:sz w:val="20"/>
                                    </w:rPr>
                                  </w:pPr>
                                  <w:r>
                                    <w:rPr>
                                      <w:w w:val="95"/>
                                      <w:sz w:val="20"/>
                                    </w:rPr>
                                    <w:t>资本</w:t>
                                  </w:r>
                                </w:p>
                                <w:p>
                                  <w:pPr>
                                    <w:pStyle w:val="14"/>
                                    <w:spacing w:before="56"/>
                                    <w:ind w:left="224"/>
                                    <w:rPr>
                                      <w:sz w:val="20"/>
                                    </w:rPr>
                                  </w:pPr>
                                  <w:r>
                                    <w:rPr>
                                      <w:w w:val="95"/>
                                      <w:sz w:val="20"/>
                                    </w:rPr>
                                    <w:t>公积</w:t>
                                  </w:r>
                                </w:p>
                              </w:tc>
                              <w:tc>
                                <w:tcPr>
                                  <w:tcW w:w="925" w:type="dxa"/>
                                </w:tcPr>
                                <w:p>
                                  <w:pPr>
                                    <w:pStyle w:val="14"/>
                                    <w:spacing w:before="28"/>
                                    <w:ind w:left="162"/>
                                    <w:rPr>
                                      <w:sz w:val="20"/>
                                    </w:rPr>
                                  </w:pPr>
                                  <w:r>
                                    <w:rPr>
                                      <w:sz w:val="20"/>
                                    </w:rPr>
                                    <w:t>减：库</w:t>
                                  </w:r>
                                </w:p>
                                <w:p>
                                  <w:pPr>
                                    <w:pStyle w:val="14"/>
                                    <w:spacing w:before="56"/>
                                    <w:ind w:left="260"/>
                                    <w:rPr>
                                      <w:sz w:val="20"/>
                                    </w:rPr>
                                  </w:pPr>
                                  <w:r>
                                    <w:rPr>
                                      <w:sz w:val="20"/>
                                    </w:rPr>
                                    <w:t>存股</w:t>
                                  </w:r>
                                </w:p>
                              </w:tc>
                              <w:tc>
                                <w:tcPr>
                                  <w:tcW w:w="938" w:type="dxa"/>
                                  <w:gridSpan w:val="2"/>
                                </w:tcPr>
                                <w:p>
                                  <w:pPr>
                                    <w:pStyle w:val="14"/>
                                    <w:spacing w:before="28"/>
                                    <w:ind w:left="168"/>
                                    <w:rPr>
                                      <w:sz w:val="20"/>
                                    </w:rPr>
                                  </w:pPr>
                                  <w:r>
                                    <w:rPr>
                                      <w:w w:val="95"/>
                                      <w:sz w:val="20"/>
                                    </w:rPr>
                                    <w:t>其他综</w:t>
                                  </w:r>
                                </w:p>
                                <w:p>
                                  <w:pPr>
                                    <w:pStyle w:val="14"/>
                                    <w:spacing w:before="56"/>
                                    <w:ind w:left="168"/>
                                    <w:rPr>
                                      <w:sz w:val="20"/>
                                    </w:rPr>
                                  </w:pPr>
                                  <w:r>
                                    <w:rPr>
                                      <w:w w:val="95"/>
                                      <w:sz w:val="20"/>
                                    </w:rPr>
                                    <w:t>合收益</w:t>
                                  </w:r>
                                </w:p>
                              </w:tc>
                              <w:tc>
                                <w:tcPr>
                                  <w:tcW w:w="875" w:type="dxa"/>
                                </w:tcPr>
                                <w:p>
                                  <w:pPr>
                                    <w:pStyle w:val="14"/>
                                    <w:spacing w:before="28"/>
                                    <w:ind w:left="235"/>
                                    <w:rPr>
                                      <w:sz w:val="20"/>
                                    </w:rPr>
                                  </w:pPr>
                                  <w:r>
                                    <w:rPr>
                                      <w:w w:val="95"/>
                                      <w:sz w:val="20"/>
                                    </w:rPr>
                                    <w:t>盈余</w:t>
                                  </w:r>
                                </w:p>
                                <w:p>
                                  <w:pPr>
                                    <w:pStyle w:val="14"/>
                                    <w:spacing w:before="56"/>
                                    <w:ind w:left="235"/>
                                    <w:rPr>
                                      <w:sz w:val="20"/>
                                    </w:rPr>
                                  </w:pPr>
                                  <w:r>
                                    <w:rPr>
                                      <w:w w:val="95"/>
                                      <w:sz w:val="20"/>
                                    </w:rPr>
                                    <w:t>公积</w:t>
                                  </w:r>
                                </w:p>
                              </w:tc>
                              <w:tc>
                                <w:tcPr>
                                  <w:tcW w:w="1075" w:type="dxa"/>
                                </w:tcPr>
                                <w:p>
                                  <w:pPr>
                                    <w:pStyle w:val="14"/>
                                    <w:spacing w:before="28"/>
                                    <w:ind w:left="216" w:right="208"/>
                                    <w:jc w:val="center"/>
                                    <w:rPr>
                                      <w:sz w:val="20"/>
                                    </w:rPr>
                                  </w:pPr>
                                  <w:r>
                                    <w:rPr>
                                      <w:sz w:val="20"/>
                                    </w:rPr>
                                    <w:t>未分</w:t>
                                  </w:r>
                                </w:p>
                                <w:p>
                                  <w:pPr>
                                    <w:pStyle w:val="14"/>
                                    <w:spacing w:before="56"/>
                                    <w:ind w:left="216" w:right="208"/>
                                    <w:jc w:val="center"/>
                                    <w:rPr>
                                      <w:sz w:val="20"/>
                                    </w:rPr>
                                  </w:pPr>
                                  <w:r>
                                    <w:rPr>
                                      <w:sz w:val="20"/>
                                    </w:rPr>
                                    <w:t>配利润</w:t>
                                  </w:r>
                                </w:p>
                              </w:tc>
                              <w:tc>
                                <w:tcPr>
                                  <w:tcW w:w="1087" w:type="dxa"/>
                                </w:tcPr>
                                <w:p>
                                  <w:pPr>
                                    <w:pStyle w:val="14"/>
                                    <w:spacing w:before="28"/>
                                    <w:ind w:left="143"/>
                                    <w:rPr>
                                      <w:sz w:val="20"/>
                                    </w:rPr>
                                  </w:pPr>
                                  <w:r>
                                    <w:rPr>
                                      <w:sz w:val="20"/>
                                    </w:rPr>
                                    <w:t>所有者权</w:t>
                                  </w:r>
                                </w:p>
                                <w:p>
                                  <w:pPr>
                                    <w:pStyle w:val="14"/>
                                    <w:spacing w:before="56"/>
                                    <w:ind w:left="241"/>
                                    <w:rPr>
                                      <w:sz w:val="20"/>
                                    </w:rPr>
                                  </w:pPr>
                                  <w:r>
                                    <w:rPr>
                                      <w:sz w:val="20"/>
                                    </w:rPr>
                                    <w:t>益合计</w:t>
                                  </w: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816" w:type="dxa"/>
                                </w:tcPr>
                                <w:p>
                                  <w:pPr>
                                    <w:pStyle w:val="14"/>
                                    <w:spacing w:before="27"/>
                                    <w:ind w:right="98"/>
                                    <w:jc w:val="right"/>
                                    <w:rPr>
                                      <w:sz w:val="20"/>
                                    </w:rPr>
                                  </w:pPr>
                                  <w:r>
                                    <w:rPr>
                                      <w:w w:val="95"/>
                                      <w:sz w:val="20"/>
                                    </w:rPr>
                                    <w:t>一、上年年末余额</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 w:hRule="atLeast"/>
                              </w:trPr>
                              <w:tc>
                                <w:tcPr>
                                  <w:tcW w:w="1816" w:type="dxa"/>
                                </w:tcPr>
                                <w:p>
                                  <w:pPr>
                                    <w:pStyle w:val="14"/>
                                    <w:spacing w:before="27"/>
                                    <w:ind w:right="98"/>
                                    <w:jc w:val="right"/>
                                    <w:rPr>
                                      <w:sz w:val="20"/>
                                    </w:rPr>
                                  </w:pPr>
                                  <w:r>
                                    <w:rPr>
                                      <w:w w:val="95"/>
                                      <w:sz w:val="20"/>
                                    </w:rPr>
                                    <w:t>加：会计政策变更</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16" w:type="dxa"/>
                                </w:tcPr>
                                <w:p>
                                  <w:pPr>
                                    <w:pStyle w:val="14"/>
                                    <w:spacing w:before="29"/>
                                    <w:ind w:right="96"/>
                                    <w:jc w:val="right"/>
                                    <w:rPr>
                                      <w:sz w:val="20"/>
                                    </w:rPr>
                                  </w:pPr>
                                  <w:r>
                                    <w:rPr>
                                      <w:w w:val="95"/>
                                      <w:sz w:val="20"/>
                                    </w:rPr>
                                    <w:t>前期差错更正</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6" w:type="dxa"/>
                                </w:tcPr>
                                <w:p>
                                  <w:pPr>
                                    <w:pStyle w:val="14"/>
                                    <w:spacing w:before="28"/>
                                    <w:ind w:left="507"/>
                                    <w:rPr>
                                      <w:sz w:val="20"/>
                                    </w:rPr>
                                  </w:pPr>
                                  <w:r>
                                    <w:rPr>
                                      <w:sz w:val="20"/>
                                    </w:rPr>
                                    <w:t>其他</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16" w:type="dxa"/>
                                </w:tcPr>
                                <w:p>
                                  <w:pPr>
                                    <w:pStyle w:val="14"/>
                                    <w:spacing w:before="28"/>
                                    <w:ind w:right="98"/>
                                    <w:jc w:val="right"/>
                                    <w:rPr>
                                      <w:sz w:val="20"/>
                                    </w:rPr>
                                  </w:pPr>
                                  <w:r>
                                    <w:rPr>
                                      <w:w w:val="95"/>
                                      <w:sz w:val="20"/>
                                    </w:rPr>
                                    <w:t>二、本年年初余额</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816" w:type="dxa"/>
                                </w:tcPr>
                                <w:p>
                                  <w:pPr>
                                    <w:pStyle w:val="14"/>
                                    <w:spacing w:before="27"/>
                                    <w:ind w:left="686" w:right="680"/>
                                    <w:jc w:val="center"/>
                                    <w:rPr>
                                      <w:sz w:val="20"/>
                                    </w:rPr>
                                  </w:pPr>
                                  <w:r>
                                    <w:rPr>
                                      <w:sz w:val="20"/>
                                    </w:rPr>
                                    <w:t>……</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bl>
                          <w:p>
                            <w:pPr>
                              <w:pStyle w:val="6"/>
                              <w:spacing w:before="0"/>
                              <w:ind w:left="0"/>
                            </w:pPr>
                          </w:p>
                        </w:txbxContent>
                      </wps:txbx>
                      <wps:bodyPr lIns="0" tIns="0" rIns="0" bIns="0" upright="1"/>
                    </wps:wsp>
                  </a:graphicData>
                </a:graphic>
              </wp:anchor>
            </w:drawing>
          </mc:Choice>
          <mc:Fallback>
            <w:pict>
              <v:shape id="文本框 268" o:spid="_x0000_s1026" o:spt="202" type="#_x0000_t202" style="position:absolute;left:0pt;margin-left:48.5pt;margin-top:48.95pt;height:150.95pt;width:499.65pt;mso-position-horizontal-relative:page;z-index:15872000;mso-width-relative:page;mso-height-relative:page;" filled="f" stroked="f" coordsize="21600,21600" o:gfxdata="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qpOa82AAAAAoBAAAPAAAA&#10;AAAAAAEAIAAAACIAAABkcnMvZG93bnJldi54bWxQSwECFAAUAAAACACHTuJAAQJmzqMBAAApAwAA&#10;DgAAAAAAAAABACAAAAAn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6"/>
                        <w:gridCol w:w="1156"/>
                        <w:gridCol w:w="875"/>
                        <w:gridCol w:w="850"/>
                        <w:gridCol w:w="925"/>
                        <w:gridCol w:w="275"/>
                        <w:gridCol w:w="663"/>
                        <w:gridCol w:w="875"/>
                        <w:gridCol w:w="1075"/>
                        <w:gridCol w:w="1087"/>
                        <w:gridCol w:w="3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16" w:type="dxa"/>
                            <w:vMerge w:val="restart"/>
                          </w:tcPr>
                          <w:p>
                            <w:pPr>
                              <w:pStyle w:val="14"/>
                              <w:spacing w:before="12"/>
                              <w:rPr>
                                <w:b/>
                                <w:sz w:val="26"/>
                              </w:rPr>
                            </w:pPr>
                          </w:p>
                          <w:p>
                            <w:pPr>
                              <w:pStyle w:val="14"/>
                              <w:ind w:left="686" w:right="680"/>
                              <w:jc w:val="center"/>
                              <w:rPr>
                                <w:sz w:val="20"/>
                              </w:rPr>
                            </w:pPr>
                            <w:r>
                              <w:rPr>
                                <w:sz w:val="20"/>
                              </w:rPr>
                              <w:t>项目</w:t>
                            </w:r>
                          </w:p>
                        </w:tc>
                        <w:tc>
                          <w:tcPr>
                            <w:tcW w:w="4081" w:type="dxa"/>
                            <w:gridSpan w:val="5"/>
                          </w:tcPr>
                          <w:p>
                            <w:pPr>
                              <w:pStyle w:val="14"/>
                              <w:spacing w:before="28"/>
                              <w:ind w:left="1617" w:right="1611"/>
                              <w:jc w:val="center"/>
                              <w:rPr>
                                <w:sz w:val="20"/>
                              </w:rPr>
                            </w:pPr>
                            <w:r>
                              <w:rPr>
                                <w:sz w:val="20"/>
                              </w:rPr>
                              <w:t>本年金额</w:t>
                            </w:r>
                          </w:p>
                        </w:tc>
                        <w:tc>
                          <w:tcPr>
                            <w:tcW w:w="4081" w:type="dxa"/>
                            <w:gridSpan w:val="5"/>
                          </w:tcPr>
                          <w:p>
                            <w:pPr>
                              <w:pStyle w:val="14"/>
                              <w:spacing w:before="28"/>
                              <w:ind w:left="1618" w:right="1609"/>
                              <w:jc w:val="center"/>
                              <w:rPr>
                                <w:sz w:val="20"/>
                              </w:rPr>
                            </w:pPr>
                            <w:r>
                              <w:rPr>
                                <w:sz w:val="20"/>
                              </w:rPr>
                              <w:t>上年金额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16" w:type="dxa"/>
                            <w:vMerge w:val="continue"/>
                            <w:tcBorders>
                              <w:top w:val="nil"/>
                            </w:tcBorders>
                          </w:tcPr>
                          <w:p>
                            <w:pPr>
                              <w:rPr>
                                <w:sz w:val="2"/>
                                <w:szCs w:val="2"/>
                              </w:rPr>
                            </w:pPr>
                          </w:p>
                        </w:tc>
                        <w:tc>
                          <w:tcPr>
                            <w:tcW w:w="1156" w:type="dxa"/>
                          </w:tcPr>
                          <w:p>
                            <w:pPr>
                              <w:pStyle w:val="14"/>
                              <w:spacing w:before="28"/>
                              <w:ind w:left="177"/>
                              <w:rPr>
                                <w:sz w:val="20"/>
                              </w:rPr>
                            </w:pPr>
                            <w:r>
                              <w:rPr>
                                <w:sz w:val="20"/>
                              </w:rPr>
                              <w:t>实收资本</w:t>
                            </w:r>
                          </w:p>
                          <w:p>
                            <w:pPr>
                              <w:pStyle w:val="14"/>
                              <w:spacing w:before="56"/>
                              <w:ind w:left="107"/>
                              <w:rPr>
                                <w:sz w:val="20"/>
                              </w:rPr>
                            </w:pPr>
                            <w:r>
                              <w:rPr>
                                <w:sz w:val="20"/>
                              </w:rPr>
                              <w:t>（或股本）</w:t>
                            </w:r>
                          </w:p>
                        </w:tc>
                        <w:tc>
                          <w:tcPr>
                            <w:tcW w:w="875" w:type="dxa"/>
                          </w:tcPr>
                          <w:p>
                            <w:pPr>
                              <w:pStyle w:val="14"/>
                              <w:spacing w:before="28"/>
                              <w:ind w:left="137"/>
                              <w:rPr>
                                <w:sz w:val="20"/>
                              </w:rPr>
                            </w:pPr>
                            <w:r>
                              <w:rPr>
                                <w:w w:val="95"/>
                                <w:sz w:val="20"/>
                              </w:rPr>
                              <w:t>其他权</w:t>
                            </w:r>
                          </w:p>
                          <w:p>
                            <w:pPr>
                              <w:pStyle w:val="14"/>
                              <w:spacing w:before="56"/>
                              <w:ind w:left="137"/>
                              <w:rPr>
                                <w:sz w:val="20"/>
                              </w:rPr>
                            </w:pPr>
                            <w:r>
                              <w:rPr>
                                <w:w w:val="95"/>
                                <w:sz w:val="20"/>
                              </w:rPr>
                              <w:t>益工具</w:t>
                            </w:r>
                          </w:p>
                        </w:tc>
                        <w:tc>
                          <w:tcPr>
                            <w:tcW w:w="850" w:type="dxa"/>
                          </w:tcPr>
                          <w:p>
                            <w:pPr>
                              <w:pStyle w:val="14"/>
                              <w:spacing w:before="28"/>
                              <w:ind w:left="224"/>
                              <w:rPr>
                                <w:sz w:val="20"/>
                              </w:rPr>
                            </w:pPr>
                            <w:r>
                              <w:rPr>
                                <w:w w:val="95"/>
                                <w:sz w:val="20"/>
                              </w:rPr>
                              <w:t>资本</w:t>
                            </w:r>
                          </w:p>
                          <w:p>
                            <w:pPr>
                              <w:pStyle w:val="14"/>
                              <w:spacing w:before="56"/>
                              <w:ind w:left="224"/>
                              <w:rPr>
                                <w:sz w:val="20"/>
                              </w:rPr>
                            </w:pPr>
                            <w:r>
                              <w:rPr>
                                <w:w w:val="95"/>
                                <w:sz w:val="20"/>
                              </w:rPr>
                              <w:t>公积</w:t>
                            </w:r>
                          </w:p>
                        </w:tc>
                        <w:tc>
                          <w:tcPr>
                            <w:tcW w:w="925" w:type="dxa"/>
                          </w:tcPr>
                          <w:p>
                            <w:pPr>
                              <w:pStyle w:val="14"/>
                              <w:spacing w:before="28"/>
                              <w:ind w:left="162"/>
                              <w:rPr>
                                <w:sz w:val="20"/>
                              </w:rPr>
                            </w:pPr>
                            <w:r>
                              <w:rPr>
                                <w:sz w:val="20"/>
                              </w:rPr>
                              <w:t>减：库</w:t>
                            </w:r>
                          </w:p>
                          <w:p>
                            <w:pPr>
                              <w:pStyle w:val="14"/>
                              <w:spacing w:before="56"/>
                              <w:ind w:left="260"/>
                              <w:rPr>
                                <w:sz w:val="20"/>
                              </w:rPr>
                            </w:pPr>
                            <w:r>
                              <w:rPr>
                                <w:sz w:val="20"/>
                              </w:rPr>
                              <w:t>存股</w:t>
                            </w:r>
                          </w:p>
                        </w:tc>
                        <w:tc>
                          <w:tcPr>
                            <w:tcW w:w="938" w:type="dxa"/>
                            <w:gridSpan w:val="2"/>
                          </w:tcPr>
                          <w:p>
                            <w:pPr>
                              <w:pStyle w:val="14"/>
                              <w:spacing w:before="28"/>
                              <w:ind w:left="168"/>
                              <w:rPr>
                                <w:sz w:val="20"/>
                              </w:rPr>
                            </w:pPr>
                            <w:r>
                              <w:rPr>
                                <w:w w:val="95"/>
                                <w:sz w:val="20"/>
                              </w:rPr>
                              <w:t>其他综</w:t>
                            </w:r>
                          </w:p>
                          <w:p>
                            <w:pPr>
                              <w:pStyle w:val="14"/>
                              <w:spacing w:before="56"/>
                              <w:ind w:left="168"/>
                              <w:rPr>
                                <w:sz w:val="20"/>
                              </w:rPr>
                            </w:pPr>
                            <w:r>
                              <w:rPr>
                                <w:w w:val="95"/>
                                <w:sz w:val="20"/>
                              </w:rPr>
                              <w:t>合收益</w:t>
                            </w:r>
                          </w:p>
                        </w:tc>
                        <w:tc>
                          <w:tcPr>
                            <w:tcW w:w="875" w:type="dxa"/>
                          </w:tcPr>
                          <w:p>
                            <w:pPr>
                              <w:pStyle w:val="14"/>
                              <w:spacing w:before="28"/>
                              <w:ind w:left="235"/>
                              <w:rPr>
                                <w:sz w:val="20"/>
                              </w:rPr>
                            </w:pPr>
                            <w:r>
                              <w:rPr>
                                <w:w w:val="95"/>
                                <w:sz w:val="20"/>
                              </w:rPr>
                              <w:t>盈余</w:t>
                            </w:r>
                          </w:p>
                          <w:p>
                            <w:pPr>
                              <w:pStyle w:val="14"/>
                              <w:spacing w:before="56"/>
                              <w:ind w:left="235"/>
                              <w:rPr>
                                <w:sz w:val="20"/>
                              </w:rPr>
                            </w:pPr>
                            <w:r>
                              <w:rPr>
                                <w:w w:val="95"/>
                                <w:sz w:val="20"/>
                              </w:rPr>
                              <w:t>公积</w:t>
                            </w:r>
                          </w:p>
                        </w:tc>
                        <w:tc>
                          <w:tcPr>
                            <w:tcW w:w="1075" w:type="dxa"/>
                          </w:tcPr>
                          <w:p>
                            <w:pPr>
                              <w:pStyle w:val="14"/>
                              <w:spacing w:before="28"/>
                              <w:ind w:left="216" w:right="208"/>
                              <w:jc w:val="center"/>
                              <w:rPr>
                                <w:sz w:val="20"/>
                              </w:rPr>
                            </w:pPr>
                            <w:r>
                              <w:rPr>
                                <w:sz w:val="20"/>
                              </w:rPr>
                              <w:t>未分</w:t>
                            </w:r>
                          </w:p>
                          <w:p>
                            <w:pPr>
                              <w:pStyle w:val="14"/>
                              <w:spacing w:before="56"/>
                              <w:ind w:left="216" w:right="208"/>
                              <w:jc w:val="center"/>
                              <w:rPr>
                                <w:sz w:val="20"/>
                              </w:rPr>
                            </w:pPr>
                            <w:r>
                              <w:rPr>
                                <w:sz w:val="20"/>
                              </w:rPr>
                              <w:t>配利润</w:t>
                            </w:r>
                          </w:p>
                        </w:tc>
                        <w:tc>
                          <w:tcPr>
                            <w:tcW w:w="1087" w:type="dxa"/>
                          </w:tcPr>
                          <w:p>
                            <w:pPr>
                              <w:pStyle w:val="14"/>
                              <w:spacing w:before="28"/>
                              <w:ind w:left="143"/>
                              <w:rPr>
                                <w:sz w:val="20"/>
                              </w:rPr>
                            </w:pPr>
                            <w:r>
                              <w:rPr>
                                <w:sz w:val="20"/>
                              </w:rPr>
                              <w:t>所有者权</w:t>
                            </w:r>
                          </w:p>
                          <w:p>
                            <w:pPr>
                              <w:pStyle w:val="14"/>
                              <w:spacing w:before="56"/>
                              <w:ind w:left="241"/>
                              <w:rPr>
                                <w:sz w:val="20"/>
                              </w:rPr>
                            </w:pPr>
                            <w:r>
                              <w:rPr>
                                <w:sz w:val="20"/>
                              </w:rPr>
                              <w:t>益合计</w:t>
                            </w: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816" w:type="dxa"/>
                          </w:tcPr>
                          <w:p>
                            <w:pPr>
                              <w:pStyle w:val="14"/>
                              <w:spacing w:before="27"/>
                              <w:ind w:right="98"/>
                              <w:jc w:val="right"/>
                              <w:rPr>
                                <w:sz w:val="20"/>
                              </w:rPr>
                            </w:pPr>
                            <w:r>
                              <w:rPr>
                                <w:w w:val="95"/>
                                <w:sz w:val="20"/>
                              </w:rPr>
                              <w:t>一、上年年末余额</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 w:hRule="atLeast"/>
                        </w:trPr>
                        <w:tc>
                          <w:tcPr>
                            <w:tcW w:w="1816" w:type="dxa"/>
                          </w:tcPr>
                          <w:p>
                            <w:pPr>
                              <w:pStyle w:val="14"/>
                              <w:spacing w:before="27"/>
                              <w:ind w:right="98"/>
                              <w:jc w:val="right"/>
                              <w:rPr>
                                <w:sz w:val="20"/>
                              </w:rPr>
                            </w:pPr>
                            <w:r>
                              <w:rPr>
                                <w:w w:val="95"/>
                                <w:sz w:val="20"/>
                              </w:rPr>
                              <w:t>加：会计政策变更</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16" w:type="dxa"/>
                          </w:tcPr>
                          <w:p>
                            <w:pPr>
                              <w:pStyle w:val="14"/>
                              <w:spacing w:before="29"/>
                              <w:ind w:right="96"/>
                              <w:jc w:val="right"/>
                              <w:rPr>
                                <w:sz w:val="20"/>
                              </w:rPr>
                            </w:pPr>
                            <w:r>
                              <w:rPr>
                                <w:w w:val="95"/>
                                <w:sz w:val="20"/>
                              </w:rPr>
                              <w:t>前期差错更正</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6" w:type="dxa"/>
                          </w:tcPr>
                          <w:p>
                            <w:pPr>
                              <w:pStyle w:val="14"/>
                              <w:spacing w:before="28"/>
                              <w:ind w:left="507"/>
                              <w:rPr>
                                <w:sz w:val="20"/>
                              </w:rPr>
                            </w:pPr>
                            <w:r>
                              <w:rPr>
                                <w:sz w:val="20"/>
                              </w:rPr>
                              <w:t>其他</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16" w:type="dxa"/>
                          </w:tcPr>
                          <w:p>
                            <w:pPr>
                              <w:pStyle w:val="14"/>
                              <w:spacing w:before="28"/>
                              <w:ind w:right="98"/>
                              <w:jc w:val="right"/>
                              <w:rPr>
                                <w:sz w:val="20"/>
                              </w:rPr>
                            </w:pPr>
                            <w:r>
                              <w:rPr>
                                <w:w w:val="95"/>
                                <w:sz w:val="20"/>
                              </w:rPr>
                              <w:t>二、本年年初余额</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816" w:type="dxa"/>
                          </w:tcPr>
                          <w:p>
                            <w:pPr>
                              <w:pStyle w:val="14"/>
                              <w:spacing w:before="27"/>
                              <w:ind w:left="686" w:right="680"/>
                              <w:jc w:val="center"/>
                              <w:rPr>
                                <w:sz w:val="20"/>
                              </w:rPr>
                            </w:pPr>
                            <w:r>
                              <w:rPr>
                                <w:sz w:val="20"/>
                              </w:rPr>
                              <w:t>……</w:t>
                            </w:r>
                          </w:p>
                        </w:tc>
                        <w:tc>
                          <w:tcPr>
                            <w:tcW w:w="1156" w:type="dxa"/>
                          </w:tcPr>
                          <w:p>
                            <w:pPr>
                              <w:pStyle w:val="14"/>
                              <w:rPr>
                                <w:rFonts w:ascii="Times New Roman"/>
                                <w:sz w:val="20"/>
                              </w:rPr>
                            </w:pPr>
                          </w:p>
                        </w:tc>
                        <w:tc>
                          <w:tcPr>
                            <w:tcW w:w="875" w:type="dxa"/>
                          </w:tcPr>
                          <w:p>
                            <w:pPr>
                              <w:pStyle w:val="14"/>
                              <w:rPr>
                                <w:rFonts w:ascii="Times New Roman"/>
                                <w:sz w:val="20"/>
                              </w:rPr>
                            </w:pPr>
                          </w:p>
                        </w:tc>
                        <w:tc>
                          <w:tcPr>
                            <w:tcW w:w="850" w:type="dxa"/>
                          </w:tcPr>
                          <w:p>
                            <w:pPr>
                              <w:pStyle w:val="14"/>
                              <w:rPr>
                                <w:rFonts w:ascii="Times New Roman"/>
                                <w:sz w:val="20"/>
                              </w:rPr>
                            </w:pPr>
                          </w:p>
                        </w:tc>
                        <w:tc>
                          <w:tcPr>
                            <w:tcW w:w="925" w:type="dxa"/>
                          </w:tcPr>
                          <w:p>
                            <w:pPr>
                              <w:pStyle w:val="14"/>
                              <w:rPr>
                                <w:rFonts w:ascii="Times New Roman"/>
                                <w:sz w:val="20"/>
                              </w:rPr>
                            </w:pPr>
                          </w:p>
                        </w:tc>
                        <w:tc>
                          <w:tcPr>
                            <w:tcW w:w="938" w:type="dxa"/>
                            <w:gridSpan w:val="2"/>
                          </w:tcPr>
                          <w:p>
                            <w:pPr>
                              <w:pStyle w:val="14"/>
                              <w:rPr>
                                <w:rFonts w:ascii="Times New Roman"/>
                                <w:sz w:val="20"/>
                              </w:rPr>
                            </w:pPr>
                          </w:p>
                        </w:tc>
                        <w:tc>
                          <w:tcPr>
                            <w:tcW w:w="875" w:type="dxa"/>
                          </w:tcPr>
                          <w:p>
                            <w:pPr>
                              <w:pStyle w:val="14"/>
                              <w:rPr>
                                <w:rFonts w:ascii="Times New Roman"/>
                                <w:sz w:val="20"/>
                              </w:rPr>
                            </w:pPr>
                          </w:p>
                        </w:tc>
                        <w:tc>
                          <w:tcPr>
                            <w:tcW w:w="1075" w:type="dxa"/>
                          </w:tcPr>
                          <w:p>
                            <w:pPr>
                              <w:pStyle w:val="14"/>
                              <w:rPr>
                                <w:rFonts w:ascii="Times New Roman"/>
                                <w:sz w:val="20"/>
                              </w:rPr>
                            </w:pPr>
                          </w:p>
                        </w:tc>
                        <w:tc>
                          <w:tcPr>
                            <w:tcW w:w="1087" w:type="dxa"/>
                          </w:tcPr>
                          <w:p>
                            <w:pPr>
                              <w:pStyle w:val="14"/>
                              <w:rPr>
                                <w:rFonts w:ascii="Times New Roman"/>
                                <w:sz w:val="20"/>
                              </w:rPr>
                            </w:pPr>
                          </w:p>
                        </w:tc>
                        <w:tc>
                          <w:tcPr>
                            <w:tcW w:w="381" w:type="dxa"/>
                          </w:tcPr>
                          <w:p>
                            <w:pPr>
                              <w:pStyle w:val="14"/>
                              <w:rPr>
                                <w:rFonts w:ascii="Times New Roman"/>
                                <w:sz w:val="20"/>
                              </w:rPr>
                            </w:pPr>
                          </w:p>
                        </w:tc>
                      </w:tr>
                    </w:tbl>
                    <w:p>
                      <w:pPr>
                        <w:pStyle w:val="6"/>
                        <w:spacing w:before="0"/>
                        <w:ind w:left="0"/>
                      </w:pPr>
                    </w:p>
                  </w:txbxContent>
                </v:textbox>
              </v:shape>
            </w:pict>
          </mc:Fallback>
        </mc:AlternateContent>
      </w:r>
      <w:r>
        <w:rPr>
          <w:spacing w:val="-2"/>
          <w:w w:val="95"/>
        </w:rPr>
        <w:t>①列示导致所有者权益变动的交易或事项，即</w:t>
      </w:r>
      <w:r>
        <w:rPr>
          <w:color w:val="FF0000"/>
          <w:w w:val="95"/>
          <w:u w:val="double" w:color="FF0000"/>
        </w:rPr>
        <w:t>所有者权益变动的来源</w:t>
      </w:r>
      <w:r>
        <w:rPr>
          <w:spacing w:val="-6"/>
          <w:w w:val="95"/>
        </w:rPr>
        <w:t xml:space="preserve">，对一定时期所有者权益的变动情况进    </w:t>
      </w:r>
      <w:r>
        <w:rPr>
          <w:spacing w:val="-7"/>
          <w:w w:val="95"/>
        </w:rPr>
        <w:t>行全面反映；②按照所有者权益各组成部分</w:t>
      </w:r>
      <w:r>
        <w:rPr>
          <w:w w:val="95"/>
        </w:rPr>
        <w:t>（</w:t>
      </w:r>
      <w:r>
        <w:rPr>
          <w:spacing w:val="-4"/>
          <w:w w:val="95"/>
        </w:rPr>
        <w:t>即实收资本、资本公积、盈余公积、未分配利润和库存股</w:t>
      </w:r>
      <w:r>
        <w:rPr>
          <w:spacing w:val="-7"/>
          <w:w w:val="95"/>
        </w:rPr>
        <w:t>）</w:t>
      </w:r>
      <w:r>
        <w:rPr>
          <w:w w:val="95"/>
        </w:rPr>
        <w:t xml:space="preserve">列示交    </w:t>
      </w:r>
      <w:r>
        <w:t>易或事项对</w:t>
      </w:r>
      <w:r>
        <w:rPr>
          <w:color w:val="FF0000"/>
          <w:u w:val="double" w:color="FF0000"/>
        </w:rPr>
        <w:t>所有者权益各部分的影响。</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7"/>
        <w:ind w:left="0"/>
        <w:rPr>
          <w:sz w:val="28"/>
        </w:rPr>
      </w:pPr>
      <w:r>
        <mc:AlternateContent>
          <mc:Choice Requires="wps">
            <w:drawing>
              <wp:anchor distT="0" distB="0" distL="0" distR="0" simplePos="0" relativeHeight="487729152" behindDoc="1" locked="0" layoutInCell="1" allowOverlap="1">
                <wp:simplePos x="0" y="0"/>
                <wp:positionH relativeFrom="page">
                  <wp:posOffset>954405</wp:posOffset>
                </wp:positionH>
                <wp:positionV relativeFrom="paragraph">
                  <wp:posOffset>247650</wp:posOffset>
                </wp:positionV>
                <wp:extent cx="2007870" cy="185420"/>
                <wp:effectExtent l="0" t="0" r="11430" b="5080"/>
                <wp:wrapTopAndBottom/>
                <wp:docPr id="358" name="文本框 269"/>
                <wp:cNvGraphicFramePr/>
                <a:graphic xmlns:a="http://schemas.openxmlformats.org/drawingml/2006/main">
                  <a:graphicData uri="http://schemas.microsoft.com/office/word/2010/wordprocessingShape">
                    <wps:wsp>
                      <wps:cNvSpPr txBox="1"/>
                      <wps:spPr>
                        <a:xfrm>
                          <a:off x="0" y="0"/>
                          <a:ext cx="2007870" cy="185420"/>
                        </a:xfrm>
                        <a:prstGeom prst="rect">
                          <a:avLst/>
                        </a:prstGeom>
                        <a:solidFill>
                          <a:srgbClr val="C0C0C0"/>
                        </a:solidFill>
                        <a:ln>
                          <a:noFill/>
                        </a:ln>
                      </wps:spPr>
                      <wps:txbx>
                        <w:txbxContent>
                          <w:p>
                            <w:pPr>
                              <w:spacing w:before="21"/>
                              <w:ind w:left="-1" w:right="0" w:firstLine="0"/>
                              <w:jc w:val="left"/>
                              <w:rPr>
                                <w:b/>
                                <w:sz w:val="21"/>
                              </w:rPr>
                            </w:pPr>
                            <w:bookmarkStart w:id="187" w:name="二、所有者权益变动表项目的编制"/>
                            <w:bookmarkEnd w:id="187"/>
                            <w:r>
                              <w:rPr>
                                <w:b/>
                                <w:sz w:val="21"/>
                              </w:rPr>
                              <w:t>二、所有者权益变动表项目的编制</w:t>
                            </w:r>
                          </w:p>
                        </w:txbxContent>
                      </wps:txbx>
                      <wps:bodyPr lIns="0" tIns="0" rIns="0" bIns="0" upright="1"/>
                    </wps:wsp>
                  </a:graphicData>
                </a:graphic>
              </wp:anchor>
            </w:drawing>
          </mc:Choice>
          <mc:Fallback>
            <w:pict>
              <v:shape id="文本框 269" o:spid="_x0000_s1026" o:spt="202" type="#_x0000_t202" style="position:absolute;left:0pt;margin-left:75.15pt;margin-top:19.5pt;height:14.6pt;width:158.1pt;mso-position-horizontal-relative:page;mso-wrap-distance-bottom:0pt;mso-wrap-distance-top:0pt;z-index:-15587328;mso-width-relative:page;mso-height-relative:page;" fillcolor="#C0C0C0" filled="t" stroked="f" coordsize="21600,21600" o:gfxdata="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qJKTQ2AAAAAkBAAAPAAAAAAAAAAEAIAAAACIAAABkcnMvZG93bnJldi54bWxQSwECFAAU&#10;AAAACACHTuJALAr+ObgBAABRAwAADgAAAAAAAAABACAAAAAnAQAAZHJzL2Uyb0RvYy54bWxQSwUG&#10;AAAAAAYABgBZAQAAUQUAAAAA&#10;">
                <v:fill on="t" focussize="0,0"/>
                <v:stroke on="f"/>
                <v:imagedata o:title=""/>
                <o:lock v:ext="edit" aspectratio="f"/>
                <v:textbox inset="0mm,0mm,0mm,0mm">
                  <w:txbxContent>
                    <w:p>
                      <w:pPr>
                        <w:spacing w:before="21"/>
                        <w:ind w:left="-1" w:right="0" w:firstLine="0"/>
                        <w:jc w:val="left"/>
                        <w:rPr>
                          <w:b/>
                          <w:sz w:val="21"/>
                        </w:rPr>
                      </w:pPr>
                      <w:bookmarkStart w:id="187" w:name="二、所有者权益变动表项目的编制"/>
                      <w:bookmarkEnd w:id="187"/>
                      <w:r>
                        <w:rPr>
                          <w:b/>
                          <w:sz w:val="21"/>
                        </w:rPr>
                        <w:t>二、所有者权益变动表项目的编制</w:t>
                      </w:r>
                    </w:p>
                  </w:txbxContent>
                </v:textbox>
                <w10:wrap type="topAndBottom"/>
              </v:shape>
            </w:pict>
          </mc:Fallback>
        </mc:AlternateContent>
      </w:r>
    </w:p>
    <w:p>
      <w:pPr>
        <w:pStyle w:val="6"/>
        <w:spacing w:before="75"/>
      </w:pPr>
      <w:r>
        <w:t>所有者权益变动表各项目均需填列“</w:t>
      </w:r>
      <w:r>
        <w:rPr>
          <w:color w:val="FF0000"/>
          <w:u w:val="double" w:color="FF0000"/>
        </w:rPr>
        <w:t>本年金额</w:t>
      </w:r>
      <w:r>
        <w:t>”和“</w:t>
      </w:r>
      <w:r>
        <w:rPr>
          <w:color w:val="FF0000"/>
          <w:u w:val="double" w:color="FF0000"/>
        </w:rPr>
        <w:t>上年金额</w:t>
      </w:r>
      <w:r>
        <w:t>”两栏。</w:t>
      </w:r>
    </w:p>
    <w:p>
      <w:pPr>
        <w:pStyle w:val="6"/>
        <w:spacing w:before="0"/>
        <w:ind w:left="0"/>
      </w:pPr>
    </w:p>
    <w:p>
      <w:pPr>
        <w:pStyle w:val="3"/>
        <w:tabs>
          <w:tab w:val="left" w:pos="839"/>
        </w:tabs>
        <w:spacing w:before="187"/>
        <w:ind w:left="0" w:right="399"/>
        <w:jc w:val="center"/>
        <w:rPr>
          <w:rFonts w:hint="eastAsia" w:ascii="微软雅黑" w:eastAsia="微软雅黑"/>
        </w:rPr>
      </w:pPr>
      <w:bookmarkStart w:id="139" w:name="第四节　附注"/>
      <w:bookmarkEnd w:id="139"/>
      <w:bookmarkStart w:id="140" w:name="_bookmark32"/>
      <w:bookmarkEnd w:id="140"/>
      <w:r>
        <w:rPr>
          <w:rFonts w:hint="eastAsia" w:ascii="微软雅黑" w:eastAsia="微软雅黑"/>
          <w:shd w:val="clear" w:color="auto" w:fill="FFFF00"/>
        </w:rPr>
        <w:t>第四节</w:t>
      </w:r>
      <w:r>
        <w:rPr>
          <w:rFonts w:hint="eastAsia" w:ascii="微软雅黑" w:eastAsia="微软雅黑"/>
          <w:shd w:val="clear" w:color="auto" w:fill="FFFF00"/>
        </w:rPr>
        <w:tab/>
      </w:r>
      <w:r>
        <w:rPr>
          <w:rFonts w:hint="eastAsia" w:ascii="微软雅黑" w:eastAsia="微软雅黑"/>
          <w:shd w:val="clear" w:color="auto" w:fill="FFFF00"/>
        </w:rPr>
        <w:t>附注</w:t>
      </w:r>
    </w:p>
    <w:p>
      <w:pPr>
        <w:spacing w:before="139"/>
        <w:ind w:left="742" w:right="0" w:firstLine="0"/>
        <w:jc w:val="left"/>
        <w:rPr>
          <w:b/>
          <w:sz w:val="21"/>
        </w:rPr>
      </w:pPr>
      <w:bookmarkStart w:id="141" w:name="一、附注概述"/>
      <w:bookmarkEnd w:id="141"/>
      <w:r>
        <w:rPr>
          <w:b/>
          <w:sz w:val="21"/>
          <w:shd w:val="clear" w:color="auto" w:fill="C0C0C0"/>
        </w:rPr>
        <w:t>一、附注概述</w:t>
      </w:r>
    </w:p>
    <w:p>
      <w:pPr>
        <w:pStyle w:val="6"/>
        <w:spacing w:before="91" w:line="304" w:lineRule="auto"/>
        <w:ind w:left="322" w:right="621" w:firstLine="400"/>
      </w:pPr>
      <w:r>
        <mc:AlternateContent>
          <mc:Choice Requires="wps">
            <w:drawing>
              <wp:anchor distT="0" distB="0" distL="114300" distR="114300" simplePos="0" relativeHeight="482504704" behindDoc="1" locked="0" layoutInCell="1" allowOverlap="1">
                <wp:simplePos x="0" y="0"/>
                <wp:positionH relativeFrom="page">
                  <wp:posOffset>686435</wp:posOffset>
                </wp:positionH>
                <wp:positionV relativeFrom="paragraph">
                  <wp:posOffset>417830</wp:posOffset>
                </wp:positionV>
                <wp:extent cx="2540635" cy="0"/>
                <wp:effectExtent l="0" t="0" r="0" b="0"/>
                <wp:wrapNone/>
                <wp:docPr id="324" name="直线 270"/>
                <wp:cNvGraphicFramePr/>
                <a:graphic xmlns:a="http://schemas.openxmlformats.org/drawingml/2006/main">
                  <a:graphicData uri="http://schemas.microsoft.com/office/word/2010/wordprocessingShape">
                    <wps:wsp>
                      <wps:cNvCnPr/>
                      <wps:spPr>
                        <a:xfrm>
                          <a:off x="0" y="0"/>
                          <a:ext cx="2540635" cy="0"/>
                        </a:xfrm>
                        <a:prstGeom prst="line">
                          <a:avLst/>
                        </a:prstGeom>
                        <a:ln w="6096" cap="flat" cmpd="sng">
                          <a:solidFill>
                            <a:srgbClr val="FF0000"/>
                          </a:solidFill>
                          <a:prstDash val="solid"/>
                          <a:headEnd type="none" w="med" len="med"/>
                          <a:tailEnd type="none" w="med" len="med"/>
                        </a:ln>
                      </wps:spPr>
                      <wps:bodyPr upright="1"/>
                    </wps:wsp>
                  </a:graphicData>
                </a:graphic>
              </wp:anchor>
            </w:drawing>
          </mc:Choice>
          <mc:Fallback>
            <w:pict>
              <v:line id="直线 270" o:spid="_x0000_s1026" o:spt="20" style="position:absolute;left:0pt;margin-left:54.05pt;margin-top:32.9pt;height:0pt;width:200.05pt;mso-position-horizontal-relative:page;z-index:-20811776;mso-width-relative:page;mso-height-relative:page;" filled="f" stroked="t" coordsize="21600,21600" o:gfxdata="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8bia/XAAAACQEAAA8AAAAAAAAAAQAgAAAA&#10;IgAAAGRycy9kb3ducmV2LnhtbFBLAQIUABQAAAAIAIdO4kCPDM7j0wEAAJEDAAAOAAAAAAAAAAEA&#10;IAAAACYBAABkcnMvZTJvRG9jLnhtbFBLBQYAAAAABgAGAFkBAABrBQAAAAA=&#10;">
                <v:fill on="f" focussize="0,0"/>
                <v:stroke weight="0.48pt" color="#FF0000" joinstyle="round"/>
                <v:imagedata o:title=""/>
                <o:lock v:ext="edit" aspectratio="f"/>
              </v:line>
            </w:pict>
          </mc:Fallback>
        </mc:AlternateContent>
      </w:r>
      <w:r>
        <mc:AlternateContent>
          <mc:Choice Requires="wps">
            <w:drawing>
              <wp:anchor distT="0" distB="0" distL="114300" distR="114300" simplePos="0" relativeHeight="482505728" behindDoc="1" locked="0" layoutInCell="1" allowOverlap="1">
                <wp:simplePos x="0" y="0"/>
                <wp:positionH relativeFrom="page">
                  <wp:posOffset>954405</wp:posOffset>
                </wp:positionH>
                <wp:positionV relativeFrom="paragraph">
                  <wp:posOffset>427990</wp:posOffset>
                </wp:positionV>
                <wp:extent cx="1204595" cy="185420"/>
                <wp:effectExtent l="0" t="0" r="14605" b="5080"/>
                <wp:wrapNone/>
                <wp:docPr id="325" name="文本框 271"/>
                <wp:cNvGraphicFramePr/>
                <a:graphic xmlns:a="http://schemas.openxmlformats.org/drawingml/2006/main">
                  <a:graphicData uri="http://schemas.microsoft.com/office/word/2010/wordprocessingShape">
                    <wps:wsp>
                      <wps:cNvSpPr txBox="1"/>
                      <wps:spPr>
                        <a:xfrm>
                          <a:off x="0" y="0"/>
                          <a:ext cx="1204595" cy="185420"/>
                        </a:xfrm>
                        <a:prstGeom prst="rect">
                          <a:avLst/>
                        </a:prstGeom>
                        <a:solidFill>
                          <a:srgbClr val="C0C0C0"/>
                        </a:solidFill>
                        <a:ln>
                          <a:noFill/>
                        </a:ln>
                      </wps:spPr>
                      <wps:txbx>
                        <w:txbxContent>
                          <w:p>
                            <w:pPr>
                              <w:spacing w:before="20"/>
                              <w:ind w:left="-1" w:right="0" w:firstLine="0"/>
                              <w:jc w:val="left"/>
                              <w:rPr>
                                <w:b/>
                                <w:sz w:val="21"/>
                              </w:rPr>
                            </w:pPr>
                            <w:r>
                              <w:rPr>
                                <w:b/>
                                <w:sz w:val="21"/>
                              </w:rPr>
                              <w:t>二、附注的主要内容</w:t>
                            </w:r>
                          </w:p>
                        </w:txbxContent>
                      </wps:txbx>
                      <wps:bodyPr lIns="0" tIns="0" rIns="0" bIns="0" upright="1"/>
                    </wps:wsp>
                  </a:graphicData>
                </a:graphic>
              </wp:anchor>
            </w:drawing>
          </mc:Choice>
          <mc:Fallback>
            <w:pict>
              <v:shape id="文本框 271" o:spid="_x0000_s1026" o:spt="202" type="#_x0000_t202" style="position:absolute;left:0pt;margin-left:75.15pt;margin-top:33.7pt;height:14.6pt;width:94.85pt;mso-position-horizontal-relative:page;z-index:-20810752;mso-width-relative:page;mso-height-relative:page;" fillcolor="#C0C0C0" filled="t" stroked="f" coordsize="21600,21600" o:gfxdata="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sDcZPYAAAACQEAAA8AAAAAAAAAAQAgAAAAIgAAAGRycy9kb3ducmV2LnhtbFBLAQIU&#10;ABQAAAAIAIdO4kACIOG2ugEAAFEDAAAOAAAAAAAAAAEAIAAAACcBAABkcnMvZTJvRG9jLnhtbFBL&#10;BQYAAAAABgAGAFkBAABTBQAAAAA=&#10;">
                <v:fill on="t" focussize="0,0"/>
                <v:stroke on="f"/>
                <v:imagedata o:title=""/>
                <o:lock v:ext="edit" aspectratio="f"/>
                <v:textbox inset="0mm,0mm,0mm,0mm">
                  <w:txbxContent>
                    <w:p>
                      <w:pPr>
                        <w:spacing w:before="20"/>
                        <w:ind w:left="-1" w:right="0" w:firstLine="0"/>
                        <w:jc w:val="left"/>
                        <w:rPr>
                          <w:b/>
                          <w:sz w:val="21"/>
                        </w:rPr>
                      </w:pPr>
                      <w:r>
                        <w:rPr>
                          <w:b/>
                          <w:sz w:val="21"/>
                        </w:rPr>
                        <w:t>二、附注的主要内容</w:t>
                      </w:r>
                    </w:p>
                  </w:txbxContent>
                </v:textbox>
              </v:shape>
            </w:pict>
          </mc:Fallback>
        </mc:AlternateContent>
      </w:r>
      <w:r>
        <w:rPr>
          <w:w w:val="95"/>
        </w:rPr>
        <w:t>附注是</w:t>
      </w:r>
      <w:r>
        <w:rPr>
          <w:color w:val="FF0000"/>
          <w:spacing w:val="-13"/>
          <w:w w:val="95"/>
          <w:u w:val="double" w:color="FF0000"/>
        </w:rPr>
        <w:t>对在资产负债表、利润表、现金流量表和所有者权益变动表等报表中列示项目的文字描述或明细资料，</w:t>
      </w:r>
      <w:r>
        <w:rPr>
          <w:color w:val="FF0000"/>
          <w:spacing w:val="-199"/>
          <w:w w:val="95"/>
          <w:u w:val="double" w:color="FF0000"/>
        </w:rPr>
        <w:t>以</w:t>
      </w:r>
      <w:r>
        <w:rPr>
          <w:color w:val="FF0000"/>
          <w:spacing w:val="200"/>
          <w:w w:val="95"/>
          <w:u w:val="double" w:color="FF0000"/>
        </w:rPr>
        <w:t xml:space="preserve"> </w:t>
      </w:r>
      <w:r>
        <w:rPr>
          <w:color w:val="FF0000"/>
          <w:u w:val="double" w:color="FF0000"/>
        </w:rPr>
        <w:t>及对未能在这些报表中列示项目的说明等。</w:t>
      </w:r>
    </w:p>
    <w:p>
      <w:pPr>
        <w:pStyle w:val="6"/>
        <w:spacing w:before="0"/>
        <w:ind w:left="0"/>
        <w:rPr>
          <w:sz w:val="19"/>
        </w:rPr>
      </w:pPr>
    </w:p>
    <w:p>
      <w:pPr>
        <w:pStyle w:val="13"/>
        <w:numPr>
          <w:ilvl w:val="0"/>
          <w:numId w:val="111"/>
        </w:numPr>
        <w:tabs>
          <w:tab w:val="left" w:pos="925"/>
        </w:tabs>
        <w:spacing w:before="71" w:after="0" w:line="304" w:lineRule="auto"/>
        <w:ind w:left="322" w:right="720" w:firstLine="400"/>
        <w:jc w:val="both"/>
        <w:rPr>
          <w:sz w:val="20"/>
        </w:rPr>
      </w:pPr>
      <w:bookmarkStart w:id="142" w:name="二、附注的主要内容"/>
      <w:bookmarkEnd w:id="142"/>
      <w:bookmarkStart w:id="143" w:name="二、附注的主要内容"/>
      <w:bookmarkEnd w:id="143"/>
      <w:r>
        <w:rPr>
          <w:spacing w:val="-9"/>
          <w:sz w:val="20"/>
        </w:rPr>
        <w:t xml:space="preserve">企业的基本情况 </w:t>
      </w:r>
      <w:r>
        <w:rPr>
          <w:sz w:val="20"/>
        </w:rPr>
        <w:t>2</w:t>
      </w:r>
      <w:r>
        <w:rPr>
          <w:spacing w:val="-7"/>
          <w:sz w:val="20"/>
        </w:rPr>
        <w:t xml:space="preserve">.财务报表的编制基础 </w:t>
      </w:r>
      <w:r>
        <w:rPr>
          <w:sz w:val="20"/>
        </w:rPr>
        <w:t>3</w:t>
      </w:r>
      <w:r>
        <w:rPr>
          <w:spacing w:val="-6"/>
          <w:sz w:val="20"/>
        </w:rPr>
        <w:t xml:space="preserve">.遵循企业会计准则的声明 </w:t>
      </w:r>
      <w:r>
        <w:rPr>
          <w:sz w:val="20"/>
        </w:rPr>
        <w:t>4</w:t>
      </w:r>
      <w:r>
        <w:rPr>
          <w:spacing w:val="-6"/>
          <w:sz w:val="20"/>
        </w:rPr>
        <w:t xml:space="preserve">.重要会计政策和会计估计 </w:t>
      </w:r>
      <w:r>
        <w:rPr>
          <w:sz w:val="20"/>
        </w:rPr>
        <w:t>5.会计政</w:t>
      </w:r>
      <w:r>
        <w:rPr>
          <w:spacing w:val="-4"/>
          <w:sz w:val="20"/>
        </w:rPr>
        <w:t xml:space="preserve">策和会计估计变更以及差错更正的说明 </w:t>
      </w:r>
      <w:r>
        <w:rPr>
          <w:sz w:val="20"/>
        </w:rPr>
        <w:t>6</w:t>
      </w:r>
      <w:r>
        <w:rPr>
          <w:spacing w:val="-6"/>
          <w:sz w:val="20"/>
        </w:rPr>
        <w:t xml:space="preserve">.报表重要项目的说明 </w:t>
      </w:r>
      <w:r>
        <w:rPr>
          <w:sz w:val="20"/>
        </w:rPr>
        <w:t>7.或有和承诺事项、资产负债表日后事项、关联</w:t>
      </w:r>
      <w:r>
        <w:rPr>
          <w:spacing w:val="-4"/>
          <w:sz w:val="20"/>
        </w:rPr>
        <w:t xml:space="preserve">方关系及其交易等需要说明的事项 </w:t>
      </w:r>
      <w:r>
        <w:rPr>
          <w:sz w:val="20"/>
        </w:rPr>
        <w:t>8.有助于财务报表使用者评价企业管理资本的目标、政策及程序的信息</w:t>
      </w:r>
    </w:p>
    <w:p>
      <w:pPr>
        <w:pStyle w:val="6"/>
        <w:spacing w:before="0" w:line="304" w:lineRule="auto"/>
        <w:ind w:right="4992" w:firstLine="4269"/>
      </w:pPr>
      <w:r>
        <w:rPr>
          <w:color w:val="FF0000"/>
          <w:u w:val="double" w:color="FF0000"/>
        </w:rPr>
        <w:t>本章总结</w:t>
      </w:r>
      <w:r>
        <w:t>1.掌握资产负债表的作用、内容、结构及其编制方法</w:t>
      </w:r>
    </w:p>
    <w:p>
      <w:pPr>
        <w:pStyle w:val="13"/>
        <w:numPr>
          <w:ilvl w:val="0"/>
          <w:numId w:val="111"/>
        </w:numPr>
        <w:tabs>
          <w:tab w:val="left" w:pos="925"/>
        </w:tabs>
        <w:spacing w:before="2" w:after="0" w:line="240" w:lineRule="auto"/>
        <w:ind w:left="924" w:right="0" w:hanging="202"/>
        <w:jc w:val="left"/>
        <w:rPr>
          <w:sz w:val="20"/>
        </w:rPr>
      </w:pPr>
      <w:r>
        <w:rPr>
          <w:sz w:val="20"/>
        </w:rPr>
        <w:t>掌握利润表的作用、内容、结构及其编制方法</w:t>
      </w:r>
    </w:p>
    <w:p>
      <w:pPr>
        <w:pStyle w:val="13"/>
        <w:numPr>
          <w:ilvl w:val="0"/>
          <w:numId w:val="111"/>
        </w:numPr>
        <w:tabs>
          <w:tab w:val="left" w:pos="925"/>
        </w:tabs>
        <w:spacing w:before="70" w:after="0" w:line="240" w:lineRule="auto"/>
        <w:ind w:left="924" w:right="0" w:hanging="202"/>
        <w:jc w:val="left"/>
        <w:rPr>
          <w:sz w:val="20"/>
        </w:rPr>
      </w:pPr>
      <w:r>
        <w:rPr>
          <w:sz w:val="20"/>
        </w:rPr>
        <w:t>掌握所有者权益变动表的作用、内容、结构及其编制方法</w:t>
      </w:r>
    </w:p>
    <w:p>
      <w:pPr>
        <w:pStyle w:val="13"/>
        <w:numPr>
          <w:ilvl w:val="0"/>
          <w:numId w:val="111"/>
        </w:numPr>
        <w:tabs>
          <w:tab w:val="left" w:pos="925"/>
        </w:tabs>
        <w:spacing w:before="70" w:after="0" w:line="240" w:lineRule="auto"/>
        <w:ind w:left="924" w:right="0" w:hanging="202"/>
        <w:jc w:val="left"/>
        <w:rPr>
          <w:sz w:val="20"/>
        </w:rPr>
      </w:pPr>
      <w:r>
        <w:rPr>
          <w:sz w:val="20"/>
        </w:rPr>
        <w:t>熟悉附注的作用、主要内容</w:t>
      </w:r>
    </w:p>
    <w:p>
      <w:pPr>
        <w:pStyle w:val="2"/>
        <w:tabs>
          <w:tab w:val="left" w:pos="1120"/>
        </w:tabs>
      </w:pPr>
      <w:bookmarkStart w:id="144" w:name="_bookmark33"/>
      <w:bookmarkEnd w:id="144"/>
      <w:bookmarkStart w:id="145" w:name="第七章　管理会计基础"/>
      <w:bookmarkEnd w:id="145"/>
      <w:r>
        <w:rPr>
          <w:color w:val="FF0000"/>
        </w:rPr>
        <w:t>第</w:t>
      </w:r>
      <w:r>
        <w:rPr>
          <w:color w:val="FF0000"/>
          <w:spacing w:val="-3"/>
        </w:rPr>
        <w:t>七</w:t>
      </w:r>
      <w:r>
        <w:rPr>
          <w:color w:val="FF0000"/>
        </w:rPr>
        <w:t>章</w:t>
      </w:r>
      <w:r>
        <w:rPr>
          <w:color w:val="FF0000"/>
        </w:rPr>
        <w:tab/>
      </w:r>
      <w:r>
        <w:rPr>
          <w:color w:val="FF0000"/>
        </w:rPr>
        <w:t>管</w:t>
      </w:r>
      <w:r>
        <w:rPr>
          <w:color w:val="FF0000"/>
          <w:spacing w:val="-3"/>
        </w:rPr>
        <w:t>理</w:t>
      </w:r>
      <w:r>
        <w:rPr>
          <w:color w:val="FF0000"/>
        </w:rPr>
        <w:t>会计</w:t>
      </w:r>
      <w:r>
        <w:rPr>
          <w:color w:val="FF0000"/>
          <w:spacing w:val="-3"/>
        </w:rPr>
        <w:t>基</w:t>
      </w:r>
      <w:r>
        <w:rPr>
          <w:color w:val="FF0000"/>
        </w:rPr>
        <w:t>础</w:t>
      </w:r>
    </w:p>
    <w:p>
      <w:pPr>
        <w:pStyle w:val="5"/>
        <w:spacing w:before="184"/>
        <w:ind w:left="15" w:right="12"/>
        <w:jc w:val="center"/>
      </w:pPr>
      <w:bookmarkStart w:id="146" w:name="【本章考情分析】"/>
      <w:bookmarkEnd w:id="146"/>
      <w:r>
        <w:rPr>
          <w:color w:val="00AFEF"/>
          <w:u w:val="single" w:color="00AFEF"/>
        </w:rPr>
        <w:t>【本章考情分析】</w:t>
      </w:r>
    </w:p>
    <w:p>
      <w:pPr>
        <w:spacing w:after="0"/>
        <w:jc w:val="center"/>
        <w:sectPr>
          <w:pgSz w:w="11910" w:h="16160"/>
          <w:pgMar w:top="1680" w:right="360" w:bottom="860" w:left="760" w:header="0" w:footer="548" w:gutter="0"/>
        </w:sectPr>
      </w:pPr>
    </w:p>
    <w:p>
      <w:pPr>
        <w:pStyle w:val="6"/>
        <w:spacing w:before="11"/>
        <w:ind w:left="0"/>
        <w:rPr>
          <w:b/>
          <w:sz w:val="13"/>
        </w:rPr>
      </w:pPr>
    </w:p>
    <w:p>
      <w:pPr>
        <w:pStyle w:val="6"/>
        <w:spacing w:before="71" w:line="304" w:lineRule="auto"/>
        <w:ind w:left="322" w:right="721" w:firstLine="400"/>
      </w:pPr>
      <w:r>
        <w:rPr>
          <w:spacing w:val="-7"/>
        </w:rPr>
        <w:t>本章是《初级会计实务》</w:t>
      </w:r>
      <w:r>
        <w:rPr>
          <w:color w:val="FF0000"/>
          <w:u w:val="double" w:color="FF0000"/>
        </w:rPr>
        <w:t>比较重要的一章</w:t>
      </w:r>
      <w:r>
        <w:rPr>
          <w:spacing w:val="-10"/>
        </w:rPr>
        <w:t xml:space="preserve">，对于本章的学习，应重点注意要素费用的分配方法等。预计 </w:t>
      </w:r>
      <w:r>
        <w:t xml:space="preserve">2020 </w:t>
      </w:r>
      <w:r>
        <w:rPr>
          <w:spacing w:val="-11"/>
        </w:rPr>
        <w:t xml:space="preserve">年分数在 </w:t>
      </w:r>
      <w:r>
        <w:rPr>
          <w:color w:val="FF0000"/>
          <w:u w:val="double" w:color="FF0000"/>
        </w:rPr>
        <w:t>8</w:t>
      </w:r>
      <w:r>
        <w:rPr>
          <w:color w:val="FF0000"/>
          <w:spacing w:val="-25"/>
          <w:u w:val="double" w:color="FF0000"/>
        </w:rPr>
        <w:t xml:space="preserve"> 分</w:t>
      </w:r>
      <w:r>
        <w:t>左右。</w:t>
      </w:r>
    </w:p>
    <w:p>
      <w:pPr>
        <w:pStyle w:val="3"/>
        <w:tabs>
          <w:tab w:val="left" w:pos="839"/>
        </w:tabs>
        <w:spacing w:before="52"/>
        <w:ind w:left="0" w:right="399"/>
        <w:jc w:val="center"/>
        <w:rPr>
          <w:rFonts w:hint="eastAsia" w:ascii="微软雅黑" w:eastAsia="微软雅黑"/>
        </w:rPr>
      </w:pPr>
      <w:bookmarkStart w:id="147" w:name="_bookmark34"/>
      <w:bookmarkEnd w:id="147"/>
      <w:bookmarkStart w:id="148" w:name="第一节　管理会计概述"/>
      <w:bookmarkEnd w:id="148"/>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管理会计概述</w:t>
      </w:r>
    </w:p>
    <w:p>
      <w:pPr>
        <w:spacing w:before="138"/>
        <w:ind w:left="742" w:right="0" w:firstLine="0"/>
        <w:jc w:val="left"/>
        <w:rPr>
          <w:b/>
          <w:sz w:val="21"/>
        </w:rPr>
      </w:pPr>
      <w:bookmarkStart w:id="149" w:name="一、管理会计概念与目标"/>
      <w:bookmarkEnd w:id="149"/>
      <w:r>
        <w:rPr>
          <w:b/>
          <w:sz w:val="21"/>
          <w:shd w:val="clear" w:color="auto" w:fill="C0C0C0"/>
        </w:rPr>
        <w:t>一、管理会计概念与目标</w:t>
      </w:r>
    </w:p>
    <w:p>
      <w:pPr>
        <w:pStyle w:val="6"/>
        <w:spacing w:before="92" w:line="304" w:lineRule="auto"/>
        <w:ind w:left="322" w:right="647" w:firstLine="400"/>
      </w:pPr>
      <w:r>
        <w:rPr>
          <w:w w:val="95"/>
        </w:rPr>
        <w:t xml:space="preserve">管理会计是会计的重要分支，主要服务于单位（包括企业和行政事业单位，下同）内部管理需要，是通过利   </w:t>
      </w:r>
      <w:r>
        <w:t>用相关信息，有机融合财务与业务活动，在单位规划、决策、控制和评价等方面发挥童要作用的管理活动。</w:t>
      </w:r>
    </w:p>
    <w:p>
      <w:pPr>
        <w:pStyle w:val="6"/>
        <w:spacing w:before="2" w:line="302" w:lineRule="auto"/>
        <w:ind w:left="322" w:right="621" w:firstLine="400"/>
      </w:pPr>
      <w:r>
        <w:rPr>
          <w:w w:val="95"/>
        </w:rPr>
        <w:t>管理会计的目标是</w:t>
      </w:r>
      <w:r>
        <w:rPr>
          <w:color w:val="FF0000"/>
          <w:spacing w:val="-10"/>
          <w:w w:val="95"/>
          <w:u w:val="double" w:color="FF0000"/>
        </w:rPr>
        <w:t>通过运用管理会计工具方法，参与单位规划、决策、控制、评价活动并为之提供有用信息，</w:t>
      </w:r>
      <w:r>
        <w:rPr>
          <w:color w:val="FF0000"/>
          <w:spacing w:val="-198"/>
          <w:w w:val="95"/>
          <w:u w:val="double" w:color="FF0000"/>
        </w:rPr>
        <w:t>推</w:t>
      </w:r>
      <w:r>
        <w:rPr>
          <w:color w:val="FF0000"/>
          <w:spacing w:val="201"/>
          <w:w w:val="95"/>
          <w:u w:val="double" w:color="FF0000"/>
        </w:rPr>
        <w:t xml:space="preserve"> </w:t>
      </w:r>
      <w:r>
        <w:rPr>
          <w:color w:val="FF0000"/>
          <w:u w:val="double" w:color="FF0000"/>
        </w:rPr>
        <w:t>动单位实现战略规划。</w:t>
      </w:r>
    </w:p>
    <w:p>
      <w:pPr>
        <w:spacing w:before="0" w:line="225" w:lineRule="exact"/>
        <w:ind w:left="742" w:right="0" w:firstLine="0"/>
        <w:jc w:val="left"/>
        <w:rPr>
          <w:b/>
          <w:sz w:val="21"/>
        </w:rPr>
      </w:pPr>
      <w:bookmarkStart w:id="150" w:name="二、管理会计体系"/>
      <w:bookmarkEnd w:id="150"/>
      <w:r>
        <w:rPr>
          <w:b/>
          <w:sz w:val="21"/>
          <w:shd w:val="clear" w:color="auto" w:fill="C0C0C0"/>
        </w:rPr>
        <w:t>二、管理会计体系</w:t>
      </w:r>
    </w:p>
    <w:p>
      <w:pPr>
        <w:pStyle w:val="6"/>
        <w:spacing w:before="91"/>
      </w:pPr>
      <w:r>
        <w:t>中国特色的管理会计体系是一个由</w:t>
      </w:r>
      <w:r>
        <w:rPr>
          <w:color w:val="FF0000"/>
          <w:u w:val="double" w:color="FF0000"/>
        </w:rPr>
        <w:t>理论、指引、人才、信息化加服务市场构成的“4+1”</w:t>
      </w:r>
      <w:r>
        <w:t>的管理会计有机系</w:t>
      </w:r>
    </w:p>
    <w:p>
      <w:pPr>
        <w:pStyle w:val="6"/>
        <w:ind w:left="322"/>
      </w:pPr>
      <w:r>
        <w:t>统；</w:t>
      </w:r>
    </w:p>
    <w:p>
      <w:pPr>
        <w:pStyle w:val="6"/>
      </w:pPr>
      <w:r>
        <w:t>①理论体系是基础，解决目前对管理会计认识不一、缺乏公认的定义和框架等问题；</w:t>
      </w:r>
    </w:p>
    <w:p>
      <w:pPr>
        <w:pStyle w:val="6"/>
      </w:pPr>
      <w:r>
        <w:t>②指引体系是保障，与时俱进的拓展和开发管理会计工具方法，为管理会计的实务应用提供指导示范；</w:t>
      </w:r>
    </w:p>
    <w:p>
      <w:pPr>
        <w:pStyle w:val="6"/>
        <w:spacing w:before="71"/>
      </w:pPr>
      <w:r>
        <w:t>③人才队伍是关键，是该体系发挥主观能动性的核心；</w:t>
      </w:r>
    </w:p>
    <w:p>
      <w:pPr>
        <w:pStyle w:val="6"/>
        <w:spacing w:before="67"/>
      </w:pPr>
      <w:r>
        <w:t>④信息系统是支撑，通过现代化的信息化手段，充分实现会计和业务的有机融合，支撑管理会计的应用与发</w:t>
      </w:r>
    </w:p>
    <w:p>
      <w:pPr>
        <w:pStyle w:val="6"/>
        <w:ind w:left="322"/>
      </w:pPr>
      <w:r>
        <w:t>展。</w:t>
      </w:r>
    </w:p>
    <w:p>
      <w:pPr>
        <w:pStyle w:val="6"/>
        <w:spacing w:before="71" w:line="304" w:lineRule="auto"/>
        <w:ind w:right="621"/>
      </w:pPr>
      <w:r>
        <w:rPr>
          <w:spacing w:val="-7"/>
          <w:w w:val="95"/>
        </w:rPr>
        <w:t xml:space="preserve">⑤咨询服务是确保四大任务顺利实施推进的外部支撑，为单位提供更为科学、规范的管理会计实务解决方案。    </w:t>
      </w:r>
      <w:r>
        <w:rPr>
          <w:spacing w:val="-7"/>
        </w:rPr>
        <w:t>管理会计指引体系是管理会计理论研究成果的基础，形成的可操作性的系列标准。</w:t>
      </w:r>
    </w:p>
    <w:p>
      <w:pPr>
        <w:pStyle w:val="5"/>
        <w:spacing w:before="2"/>
      </w:pPr>
      <w:r>
        <w:t>（一）管理会计基本指引</w:t>
      </w:r>
    </w:p>
    <w:p>
      <w:pPr>
        <w:pStyle w:val="6"/>
      </w:pPr>
      <w:r>
        <w:t>管理会计基本指引在</w:t>
      </w:r>
      <w:r>
        <w:rPr>
          <w:color w:val="FF0000"/>
          <w:u w:val="double" w:color="FF0000"/>
        </w:rPr>
        <w:t>管理会计指引体系中起统领作用，是制定应用指引和建设案例库的基础</w:t>
      </w:r>
      <w:r>
        <w:t>。基本指引是将</w:t>
      </w:r>
    </w:p>
    <w:p>
      <w:pPr>
        <w:pStyle w:val="6"/>
        <w:spacing w:before="67" w:line="304" w:lineRule="auto"/>
        <w:ind w:left="322" w:right="662"/>
        <w:jc w:val="both"/>
      </w:pPr>
      <w:r>
        <w:rPr>
          <w:w w:val="95"/>
        </w:rPr>
        <w:t>管理会计普遍规律上升到标准，是对管理会计</w:t>
      </w:r>
      <w:r>
        <w:rPr>
          <w:color w:val="FF0000"/>
          <w:w w:val="95"/>
          <w:u w:val="double" w:color="FF0000"/>
        </w:rPr>
        <w:t>基本概念、基本原则、基本方法、基本目标</w:t>
      </w:r>
      <w:r>
        <w:rPr>
          <w:w w:val="95"/>
        </w:rPr>
        <w:t xml:space="preserve">等内容的总结、提炼。    </w:t>
      </w:r>
      <w:r>
        <w:rPr>
          <w:spacing w:val="-7"/>
        </w:rPr>
        <w:t>但是，不同于企业会计准则基本准则，管理会计基本指引只是对管理会计普遍规律和基本认识的总结升华，并不对应用指引中未做出描述的新问题提供处理依据。</w:t>
      </w:r>
    </w:p>
    <w:p>
      <w:pPr>
        <w:pStyle w:val="5"/>
        <w:spacing w:before="3"/>
      </w:pPr>
      <w:r>
        <w:t>（二）管理会计应用指引</w:t>
      </w:r>
    </w:p>
    <w:p>
      <w:pPr>
        <w:pStyle w:val="6"/>
        <w:spacing w:before="71"/>
      </w:pPr>
      <w:r>
        <w:t>在管理会计指引体系中，</w:t>
      </w:r>
      <w:r>
        <w:rPr>
          <w:color w:val="FF0000"/>
          <w:u w:val="double" w:color="FF0000"/>
        </w:rPr>
        <w:t>应用指引居于主体地位，</w:t>
      </w:r>
      <w:r>
        <w:t>是对单位管理会计工作的具体指导。</w:t>
      </w:r>
    </w:p>
    <w:p>
      <w:pPr>
        <w:pStyle w:val="5"/>
      </w:pPr>
      <w:r>
        <w:t>（三）管理会计案例库</w:t>
      </w:r>
    </w:p>
    <w:p>
      <w:pPr>
        <w:pStyle w:val="6"/>
        <w:spacing w:before="67"/>
      </w:pPr>
      <w:r>
        <w:rPr>
          <w:color w:val="FF0000"/>
          <w:u w:val="double" w:color="FF0000"/>
        </w:rPr>
        <w:t>对国内外管理会计经验的总结提炼，是对如何运用管理会计应用指引的实例示范。</w:t>
      </w:r>
    </w:p>
    <w:p>
      <w:pPr>
        <w:spacing w:before="58"/>
        <w:ind w:left="742" w:right="0" w:firstLine="0"/>
        <w:jc w:val="left"/>
        <w:rPr>
          <w:b/>
          <w:sz w:val="21"/>
        </w:rPr>
      </w:pPr>
      <w:r>
        <w:rPr>
          <w:b/>
          <w:sz w:val="21"/>
          <w:shd w:val="clear" w:color="auto" w:fill="C0C0C0"/>
        </w:rPr>
        <w:t>三、管理会计要素及具体内容</w:t>
      </w:r>
    </w:p>
    <w:p>
      <w:pPr>
        <w:pStyle w:val="5"/>
      </w:pPr>
      <w:r>
        <w:t>（一）应用环境</w:t>
      </w:r>
    </w:p>
    <w:p>
      <w:pPr>
        <w:pStyle w:val="13"/>
        <w:numPr>
          <w:ilvl w:val="0"/>
          <w:numId w:val="112"/>
        </w:numPr>
        <w:tabs>
          <w:tab w:val="left" w:pos="925"/>
        </w:tabs>
        <w:spacing w:before="70" w:after="0" w:line="240" w:lineRule="auto"/>
        <w:ind w:left="924" w:right="0" w:hanging="202"/>
        <w:jc w:val="left"/>
        <w:rPr>
          <w:sz w:val="20"/>
        </w:rPr>
      </w:pPr>
      <w:r>
        <w:rPr>
          <w:color w:val="FF0000"/>
          <w:sz w:val="20"/>
          <w:u w:val="double" w:color="FF0000"/>
        </w:rPr>
        <w:t>外部环境</w:t>
      </w:r>
      <w:r>
        <w:rPr>
          <w:sz w:val="20"/>
        </w:rPr>
        <w:t>：国内外经济、市场、法律、行业等因素</w:t>
      </w:r>
    </w:p>
    <w:p>
      <w:pPr>
        <w:pStyle w:val="13"/>
        <w:numPr>
          <w:ilvl w:val="0"/>
          <w:numId w:val="112"/>
        </w:numPr>
        <w:tabs>
          <w:tab w:val="left" w:pos="925"/>
        </w:tabs>
        <w:spacing w:before="70" w:after="0" w:line="240" w:lineRule="auto"/>
        <w:ind w:left="924" w:right="0" w:hanging="202"/>
        <w:jc w:val="left"/>
        <w:rPr>
          <w:sz w:val="20"/>
        </w:rPr>
      </w:pPr>
      <w:r>
        <w:rPr>
          <w:color w:val="FF0000"/>
          <w:sz w:val="20"/>
          <w:u w:val="double" w:color="FF0000"/>
        </w:rPr>
        <w:t>内部环境</w:t>
      </w:r>
      <w:r>
        <w:rPr>
          <w:sz w:val="20"/>
        </w:rPr>
        <w:t>：与管理会计建设和实施相关的价值创造模式、组织架构、管理模式、资源、信息系统等因素。</w:t>
      </w:r>
    </w:p>
    <w:p>
      <w:pPr>
        <w:pStyle w:val="6"/>
      </w:pPr>
      <w:r>
        <w:t>①价值创造模式：单位应准确分析和把握价值创造模式，推动财务与业务等的有机融合；</w:t>
      </w:r>
    </w:p>
    <w:p>
      <w:pPr>
        <w:pStyle w:val="6"/>
        <w:spacing w:before="68"/>
      </w:pPr>
      <w:r>
        <w:t>②组织架构：单位应根据组织架构特点，建立健全能够满足管理会计活动所需的管理会计组织体系。</w:t>
      </w:r>
    </w:p>
    <w:p>
      <w:pPr>
        <w:pStyle w:val="6"/>
        <w:spacing w:line="304" w:lineRule="auto"/>
        <w:ind w:left="322" w:right="722" w:firstLine="400"/>
      </w:pPr>
      <w:r>
        <w:rPr>
          <w:spacing w:val="-6"/>
          <w:w w:val="95"/>
        </w:rPr>
        <w:t xml:space="preserve">③管理模式；单位应根据管理模式确定责任主体，明确各层级以及各层级内的部门、岗位之间的管理会计责   </w:t>
      </w:r>
      <w:r>
        <w:rPr>
          <w:spacing w:val="-6"/>
        </w:rPr>
        <w:t>任权限，制定管理会计实施方案，以落实管理会计责任。</w:t>
      </w:r>
    </w:p>
    <w:p>
      <w:pPr>
        <w:pStyle w:val="6"/>
        <w:spacing w:before="2" w:line="304" w:lineRule="auto"/>
        <w:ind w:left="322" w:right="722" w:firstLine="400"/>
      </w:pPr>
      <w:r>
        <w:rPr>
          <w:spacing w:val="-8"/>
          <w:w w:val="95"/>
        </w:rPr>
        <w:t xml:space="preserve">④资源；单位应从人力、财力、物力等方面做好资源保障工作，加强资源整合，提高资源利用效率效果，确   </w:t>
      </w:r>
      <w:r>
        <w:rPr>
          <w:spacing w:val="-8"/>
        </w:rPr>
        <w:t>保管理会计工作顺利开展。单位应注重管理会计理念、知识培训，加强管理会计人才培养。</w:t>
      </w:r>
    </w:p>
    <w:p>
      <w:pPr>
        <w:spacing w:after="0" w:line="304" w:lineRule="auto"/>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22" w:firstLine="400"/>
      </w:pPr>
      <w:r>
        <w:rPr>
          <w:spacing w:val="-6"/>
          <w:w w:val="95"/>
        </w:rPr>
        <w:t xml:space="preserve">⑤信息系统；单位应将管理会计信息化需求纳入信息系统规划，通过信息系统整合、改造或新建等途径，及   </w:t>
      </w:r>
      <w:r>
        <w:rPr>
          <w:spacing w:val="-6"/>
        </w:rPr>
        <w:t>时、高效地提供和管理相关信息，推进管理会计实施。</w:t>
      </w:r>
    </w:p>
    <w:p>
      <w:pPr>
        <w:pStyle w:val="5"/>
        <w:spacing w:before="2"/>
      </w:pPr>
      <w:r>
        <w:t>（二）管理会计活动</w:t>
      </w:r>
    </w:p>
    <w:p>
      <w:pPr>
        <w:pStyle w:val="6"/>
        <w:spacing w:line="304" w:lineRule="auto"/>
        <w:ind w:left="322" w:right="621" w:firstLine="400"/>
      </w:pPr>
      <w:r>
        <w:rPr>
          <w:spacing w:val="-7"/>
          <w:w w:val="95"/>
        </w:rPr>
        <w:t xml:space="preserve">管理会计活动是单位管理会计工作的具体开展，是单位利用管理会计信息，运用管理会计工具方法，在规划、    </w:t>
      </w:r>
      <w:r>
        <w:rPr>
          <w:spacing w:val="-9"/>
        </w:rPr>
        <w:t>决策、控制、评价等方面服务于单位管理需要的相关活动。在了解和分析其应用环境的基础上，单位应将管理会计活动嵌入规划、决策、控制、评价等环节，形成完整的管理会计闭环。</w:t>
      </w:r>
    </w:p>
    <w:p>
      <w:pPr>
        <w:pStyle w:val="5"/>
        <w:spacing w:before="1"/>
      </w:pPr>
      <w:r>
        <w:t>（三）工具方法</w:t>
      </w:r>
    </w:p>
    <w:p>
      <w:pPr>
        <w:pStyle w:val="6"/>
        <w:spacing w:line="304" w:lineRule="auto"/>
        <w:ind w:left="322" w:right="722" w:firstLine="400"/>
        <w:jc w:val="both"/>
      </w:pPr>
      <w:r>
        <w:rPr>
          <w:spacing w:val="-3"/>
          <w:w w:val="95"/>
        </w:rPr>
        <w:t xml:space="preserve">管理会计工具方法是实现管理会计目标的具体手段，是单位应用管理会计时所采用的战略地图、滚动预算管   </w:t>
      </w:r>
      <w:r>
        <w:rPr>
          <w:spacing w:val="-7"/>
          <w:w w:val="95"/>
        </w:rPr>
        <w:t xml:space="preserve">理、作业成本管理、本量利分析、平衡计分卡等模型、技术、流程的统称。管理会计工具方法具有开放性，随着    </w:t>
      </w:r>
      <w:r>
        <w:rPr>
          <w:spacing w:val="-7"/>
        </w:rPr>
        <w:t>实践发展不断丰富完善。</w:t>
      </w:r>
    </w:p>
    <w:p>
      <w:pPr>
        <w:pStyle w:val="6"/>
        <w:spacing w:before="3" w:line="302" w:lineRule="auto"/>
        <w:ind w:left="322" w:right="720" w:firstLine="420"/>
      </w:pPr>
      <w:r>
        <w:drawing>
          <wp:anchor distT="0" distB="0" distL="0" distR="0" simplePos="0" relativeHeight="482506752" behindDoc="1" locked="0" layoutInCell="1" allowOverlap="1">
            <wp:simplePos x="0" y="0"/>
            <wp:positionH relativeFrom="page">
              <wp:posOffset>5508625</wp:posOffset>
            </wp:positionH>
            <wp:positionV relativeFrom="paragraph">
              <wp:posOffset>323215</wp:posOffset>
            </wp:positionV>
            <wp:extent cx="1720850" cy="1356360"/>
            <wp:effectExtent l="0" t="0" r="0" b="0"/>
            <wp:wrapNone/>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1.jpeg"/>
                    <pic:cNvPicPr>
                      <a:picLocks noChangeAspect="1"/>
                    </pic:cNvPicPr>
                  </pic:nvPicPr>
                  <pic:blipFill>
                    <a:blip r:embed="rId59" cstate="print"/>
                    <a:stretch>
                      <a:fillRect/>
                    </a:stretch>
                  </pic:blipFill>
                  <pic:spPr>
                    <a:xfrm>
                      <a:off x="0" y="0"/>
                      <a:ext cx="1720595" cy="1356360"/>
                    </a:xfrm>
                    <a:prstGeom prst="rect">
                      <a:avLst/>
                    </a:prstGeom>
                  </pic:spPr>
                </pic:pic>
              </a:graphicData>
            </a:graphic>
          </wp:anchor>
        </w:drawing>
      </w:r>
      <w:r>
        <mc:AlternateContent>
          <mc:Choice Requires="wps">
            <w:drawing>
              <wp:anchor distT="0" distB="0" distL="114300" distR="114300" simplePos="0" relativeHeight="15873024" behindDoc="0" locked="0" layoutInCell="1" allowOverlap="1">
                <wp:simplePos x="0" y="0"/>
                <wp:positionH relativeFrom="page">
                  <wp:posOffset>615950</wp:posOffset>
                </wp:positionH>
                <wp:positionV relativeFrom="paragraph">
                  <wp:posOffset>370840</wp:posOffset>
                </wp:positionV>
                <wp:extent cx="4777740" cy="1713230"/>
                <wp:effectExtent l="0" t="0" r="0" b="0"/>
                <wp:wrapNone/>
                <wp:docPr id="165" name="文本框 272"/>
                <wp:cNvGraphicFramePr/>
                <a:graphic xmlns:a="http://schemas.openxmlformats.org/drawingml/2006/main">
                  <a:graphicData uri="http://schemas.microsoft.com/office/word/2010/wordprocessingShape">
                    <wps:wsp>
                      <wps:cNvSpPr txBox="1"/>
                      <wps:spPr>
                        <a:xfrm>
                          <a:off x="0" y="0"/>
                          <a:ext cx="4777740" cy="171323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9"/>
                              <w:gridCol w:w="57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应用领域</w:t>
                                  </w:r>
                                </w:p>
                              </w:tc>
                              <w:tc>
                                <w:tcPr>
                                  <w:tcW w:w="5750" w:type="dxa"/>
                                </w:tcPr>
                                <w:p>
                                  <w:pPr>
                                    <w:pStyle w:val="14"/>
                                    <w:spacing w:before="68" w:line="238" w:lineRule="exact"/>
                                    <w:ind w:left="2453" w:right="2046"/>
                                    <w:jc w:val="center"/>
                                    <w:rPr>
                                      <w:sz w:val="20"/>
                                    </w:rPr>
                                  </w:pPr>
                                  <w:r>
                                    <w:rPr>
                                      <w:sz w:val="20"/>
                                    </w:rPr>
                                    <w:t>具体工具方法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战略管理领域</w:t>
                                  </w:r>
                                </w:p>
                              </w:tc>
                              <w:tc>
                                <w:tcPr>
                                  <w:tcW w:w="5750" w:type="dxa"/>
                                </w:tcPr>
                                <w:p>
                                  <w:pPr>
                                    <w:pStyle w:val="14"/>
                                    <w:spacing w:before="68" w:line="238" w:lineRule="exact"/>
                                    <w:ind w:left="107"/>
                                    <w:rPr>
                                      <w:sz w:val="20"/>
                                    </w:rPr>
                                  </w:pPr>
                                  <w:r>
                                    <w:rPr>
                                      <w:sz w:val="20"/>
                                    </w:rPr>
                                    <w:t>战略地图、价值链管理等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预算管理领域</w:t>
                                  </w:r>
                                </w:p>
                              </w:tc>
                              <w:tc>
                                <w:tcPr>
                                  <w:tcW w:w="5750" w:type="dxa"/>
                                </w:tcPr>
                                <w:p>
                                  <w:pPr>
                                    <w:pStyle w:val="14"/>
                                    <w:spacing w:before="68" w:line="238" w:lineRule="exact"/>
                                    <w:ind w:left="107"/>
                                    <w:rPr>
                                      <w:sz w:val="20"/>
                                    </w:rPr>
                                  </w:pPr>
                                  <w:r>
                                    <w:rPr>
                                      <w:sz w:val="20"/>
                                    </w:rPr>
                                    <w:t>滚动预算、零基预算、弹性预算、作业预算等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59" w:type="dxa"/>
                                </w:tcPr>
                                <w:p>
                                  <w:pPr>
                                    <w:pStyle w:val="14"/>
                                    <w:spacing w:before="68" w:line="238" w:lineRule="exact"/>
                                    <w:ind w:left="107"/>
                                    <w:rPr>
                                      <w:sz w:val="20"/>
                                    </w:rPr>
                                  </w:pPr>
                                  <w:r>
                                    <w:rPr>
                                      <w:sz w:val="20"/>
                                    </w:rPr>
                                    <w:t>成本管理领域</w:t>
                                  </w:r>
                                </w:p>
                              </w:tc>
                              <w:tc>
                                <w:tcPr>
                                  <w:tcW w:w="5750" w:type="dxa"/>
                                </w:tcPr>
                                <w:p>
                                  <w:pPr>
                                    <w:pStyle w:val="14"/>
                                    <w:spacing w:before="68" w:line="238" w:lineRule="exact"/>
                                    <w:ind w:left="107"/>
                                    <w:rPr>
                                      <w:sz w:val="20"/>
                                    </w:rPr>
                                  </w:pPr>
                                  <w:r>
                                    <w:rPr>
                                      <w:sz w:val="20"/>
                                    </w:rPr>
                                    <w:t>目标成本法、标准成本法、变动成本法、作业成本法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营运管理领域</w:t>
                                  </w:r>
                                </w:p>
                              </w:tc>
                              <w:tc>
                                <w:tcPr>
                                  <w:tcW w:w="5750" w:type="dxa"/>
                                </w:tcPr>
                                <w:p>
                                  <w:pPr>
                                    <w:pStyle w:val="14"/>
                                    <w:spacing w:before="68" w:line="238" w:lineRule="exact"/>
                                    <w:ind w:left="107"/>
                                    <w:rPr>
                                      <w:sz w:val="20"/>
                                    </w:rPr>
                                  </w:pPr>
                                  <w:r>
                                    <w:rPr>
                                      <w:sz w:val="20"/>
                                    </w:rPr>
                                    <w:t>本量利分析、敏感性分析、边际分析和标杆管理等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投融资管理领域</w:t>
                                  </w:r>
                                </w:p>
                              </w:tc>
                              <w:tc>
                                <w:tcPr>
                                  <w:tcW w:w="5750" w:type="dxa"/>
                                </w:tcPr>
                                <w:p>
                                  <w:pPr>
                                    <w:pStyle w:val="14"/>
                                    <w:spacing w:before="68" w:line="238" w:lineRule="exact"/>
                                    <w:ind w:left="107"/>
                                    <w:rPr>
                                      <w:sz w:val="20"/>
                                    </w:rPr>
                                  </w:pPr>
                                  <w:r>
                                    <w:rPr>
                                      <w:sz w:val="20"/>
                                    </w:rPr>
                                    <w:t>贴现现金流法、项目管理、情景分析、约束资源优化等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绩效管理领域</w:t>
                                  </w:r>
                                </w:p>
                              </w:tc>
                              <w:tc>
                                <w:tcPr>
                                  <w:tcW w:w="5750" w:type="dxa"/>
                                </w:tcPr>
                                <w:p>
                                  <w:pPr>
                                    <w:pStyle w:val="14"/>
                                    <w:spacing w:before="68" w:line="238" w:lineRule="exact"/>
                                    <w:ind w:left="107"/>
                                    <w:rPr>
                                      <w:sz w:val="20"/>
                                    </w:rPr>
                                  </w:pPr>
                                  <w:r>
                                    <w:rPr>
                                      <w:sz w:val="20"/>
                                    </w:rPr>
                                    <w:t>关键绩效指标法、经济增加值法、平衡计分卡、绩效棱柱模型等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风险领域</w:t>
                                  </w:r>
                                </w:p>
                              </w:tc>
                              <w:tc>
                                <w:tcPr>
                                  <w:tcW w:w="5750" w:type="dxa"/>
                                </w:tcPr>
                                <w:p>
                                  <w:pPr>
                                    <w:pStyle w:val="14"/>
                                    <w:spacing w:before="68" w:line="238" w:lineRule="exact"/>
                                    <w:ind w:left="107"/>
                                    <w:rPr>
                                      <w:sz w:val="20"/>
                                    </w:rPr>
                                  </w:pPr>
                                  <w:r>
                                    <w:rPr>
                                      <w:sz w:val="20"/>
                                    </w:rPr>
                                    <w:t>风险矩阵</w:t>
                                  </w:r>
                                </w:p>
                              </w:tc>
                            </w:tr>
                          </w:tbl>
                          <w:p>
                            <w:pPr>
                              <w:pStyle w:val="6"/>
                              <w:spacing w:before="0"/>
                              <w:ind w:left="0"/>
                            </w:pPr>
                          </w:p>
                        </w:txbxContent>
                      </wps:txbx>
                      <wps:bodyPr lIns="0" tIns="0" rIns="0" bIns="0" upright="1"/>
                    </wps:wsp>
                  </a:graphicData>
                </a:graphic>
              </wp:anchor>
            </w:drawing>
          </mc:Choice>
          <mc:Fallback>
            <w:pict>
              <v:shape id="文本框 272" o:spid="_x0000_s1026" o:spt="202" type="#_x0000_t202" style="position:absolute;left:0pt;margin-left:48.5pt;margin-top:29.2pt;height:134.9pt;width:376.2pt;mso-position-horizontal-relative:page;z-index:15873024;mso-width-relative:page;mso-height-relative:page;" filled="f" stroked="f" coordsize="21600,21600" o:gfxdata="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Mf/2y2QAAAAkBAAAPAAAA&#10;AAAAAAEAIAAAACIAAABkcnMvZG93bnJldi54bWxQSwECFAAUAAAACACHTuJAIJAZsKIBAAApAwAA&#10;DgAAAAAAAAABACAAAAAo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9"/>
                        <w:gridCol w:w="57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应用领域</w:t>
                            </w:r>
                          </w:p>
                        </w:tc>
                        <w:tc>
                          <w:tcPr>
                            <w:tcW w:w="5750" w:type="dxa"/>
                          </w:tcPr>
                          <w:p>
                            <w:pPr>
                              <w:pStyle w:val="14"/>
                              <w:spacing w:before="68" w:line="238" w:lineRule="exact"/>
                              <w:ind w:left="2453" w:right="2046"/>
                              <w:jc w:val="center"/>
                              <w:rPr>
                                <w:sz w:val="20"/>
                              </w:rPr>
                            </w:pPr>
                            <w:r>
                              <w:rPr>
                                <w:sz w:val="20"/>
                              </w:rPr>
                              <w:t>具体工具方法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战略管理领域</w:t>
                            </w:r>
                          </w:p>
                        </w:tc>
                        <w:tc>
                          <w:tcPr>
                            <w:tcW w:w="5750" w:type="dxa"/>
                          </w:tcPr>
                          <w:p>
                            <w:pPr>
                              <w:pStyle w:val="14"/>
                              <w:spacing w:before="68" w:line="238" w:lineRule="exact"/>
                              <w:ind w:left="107"/>
                              <w:rPr>
                                <w:sz w:val="20"/>
                              </w:rPr>
                            </w:pPr>
                            <w:r>
                              <w:rPr>
                                <w:sz w:val="20"/>
                              </w:rPr>
                              <w:t>战略地图、价值链管理等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预算管理领域</w:t>
                            </w:r>
                          </w:p>
                        </w:tc>
                        <w:tc>
                          <w:tcPr>
                            <w:tcW w:w="5750" w:type="dxa"/>
                          </w:tcPr>
                          <w:p>
                            <w:pPr>
                              <w:pStyle w:val="14"/>
                              <w:spacing w:before="68" w:line="238" w:lineRule="exact"/>
                              <w:ind w:left="107"/>
                              <w:rPr>
                                <w:sz w:val="20"/>
                              </w:rPr>
                            </w:pPr>
                            <w:r>
                              <w:rPr>
                                <w:sz w:val="20"/>
                              </w:rPr>
                              <w:t>滚动预算、零基预算、弹性预算、作业预算等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59" w:type="dxa"/>
                          </w:tcPr>
                          <w:p>
                            <w:pPr>
                              <w:pStyle w:val="14"/>
                              <w:spacing w:before="68" w:line="238" w:lineRule="exact"/>
                              <w:ind w:left="107"/>
                              <w:rPr>
                                <w:sz w:val="20"/>
                              </w:rPr>
                            </w:pPr>
                            <w:r>
                              <w:rPr>
                                <w:sz w:val="20"/>
                              </w:rPr>
                              <w:t>成本管理领域</w:t>
                            </w:r>
                          </w:p>
                        </w:tc>
                        <w:tc>
                          <w:tcPr>
                            <w:tcW w:w="5750" w:type="dxa"/>
                          </w:tcPr>
                          <w:p>
                            <w:pPr>
                              <w:pStyle w:val="14"/>
                              <w:spacing w:before="68" w:line="238" w:lineRule="exact"/>
                              <w:ind w:left="107"/>
                              <w:rPr>
                                <w:sz w:val="20"/>
                              </w:rPr>
                            </w:pPr>
                            <w:r>
                              <w:rPr>
                                <w:sz w:val="20"/>
                              </w:rPr>
                              <w:t>目标成本法、标准成本法、变动成本法、作业成本法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营运管理领域</w:t>
                            </w:r>
                          </w:p>
                        </w:tc>
                        <w:tc>
                          <w:tcPr>
                            <w:tcW w:w="5750" w:type="dxa"/>
                          </w:tcPr>
                          <w:p>
                            <w:pPr>
                              <w:pStyle w:val="14"/>
                              <w:spacing w:before="68" w:line="238" w:lineRule="exact"/>
                              <w:ind w:left="107"/>
                              <w:rPr>
                                <w:sz w:val="20"/>
                              </w:rPr>
                            </w:pPr>
                            <w:r>
                              <w:rPr>
                                <w:sz w:val="20"/>
                              </w:rPr>
                              <w:t>本量利分析、敏感性分析、边际分析和标杆管理等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投融资管理领域</w:t>
                            </w:r>
                          </w:p>
                        </w:tc>
                        <w:tc>
                          <w:tcPr>
                            <w:tcW w:w="5750" w:type="dxa"/>
                          </w:tcPr>
                          <w:p>
                            <w:pPr>
                              <w:pStyle w:val="14"/>
                              <w:spacing w:before="68" w:line="238" w:lineRule="exact"/>
                              <w:ind w:left="107"/>
                              <w:rPr>
                                <w:sz w:val="20"/>
                              </w:rPr>
                            </w:pPr>
                            <w:r>
                              <w:rPr>
                                <w:sz w:val="20"/>
                              </w:rPr>
                              <w:t>贴现现金流法、项目管理、情景分析、约束资源优化等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绩效管理领域</w:t>
                            </w:r>
                          </w:p>
                        </w:tc>
                        <w:tc>
                          <w:tcPr>
                            <w:tcW w:w="5750" w:type="dxa"/>
                          </w:tcPr>
                          <w:p>
                            <w:pPr>
                              <w:pStyle w:val="14"/>
                              <w:spacing w:before="68" w:line="238" w:lineRule="exact"/>
                              <w:ind w:left="107"/>
                              <w:rPr>
                                <w:sz w:val="20"/>
                              </w:rPr>
                            </w:pPr>
                            <w:r>
                              <w:rPr>
                                <w:sz w:val="20"/>
                              </w:rPr>
                              <w:t>关键绩效指标法、经济增加值法、平衡计分卡、绩效棱柱模型等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759" w:type="dxa"/>
                          </w:tcPr>
                          <w:p>
                            <w:pPr>
                              <w:pStyle w:val="14"/>
                              <w:spacing w:before="68" w:line="238" w:lineRule="exact"/>
                              <w:ind w:left="107"/>
                              <w:rPr>
                                <w:sz w:val="20"/>
                              </w:rPr>
                            </w:pPr>
                            <w:r>
                              <w:rPr>
                                <w:sz w:val="20"/>
                              </w:rPr>
                              <w:t>风险领域</w:t>
                            </w:r>
                          </w:p>
                        </w:tc>
                        <w:tc>
                          <w:tcPr>
                            <w:tcW w:w="5750" w:type="dxa"/>
                          </w:tcPr>
                          <w:p>
                            <w:pPr>
                              <w:pStyle w:val="14"/>
                              <w:spacing w:before="68" w:line="238" w:lineRule="exact"/>
                              <w:ind w:left="107"/>
                              <w:rPr>
                                <w:sz w:val="20"/>
                              </w:rPr>
                            </w:pPr>
                            <w:r>
                              <w:rPr>
                                <w:sz w:val="20"/>
                              </w:rPr>
                              <w:t>风险矩阵</w:t>
                            </w:r>
                          </w:p>
                        </w:tc>
                      </w:tr>
                    </w:tbl>
                    <w:p>
                      <w:pPr>
                        <w:pStyle w:val="6"/>
                        <w:spacing w:before="0"/>
                        <w:ind w:left="0"/>
                      </w:pPr>
                    </w:p>
                  </w:txbxContent>
                </v:textbox>
              </v:shape>
            </w:pict>
          </mc:Fallback>
        </mc:AlternateContent>
      </w:r>
      <w:r>
        <w:rPr>
          <w:spacing w:val="-1"/>
          <w:w w:val="95"/>
        </w:rPr>
        <w:t>管理会计工具方法主要应用于以下领域：</w:t>
      </w:r>
      <w:r>
        <w:rPr>
          <w:color w:val="FF0000"/>
          <w:spacing w:val="-8"/>
          <w:w w:val="95"/>
          <w:u w:val="double" w:color="FF0000"/>
        </w:rPr>
        <w:t>战略管理、预算管理、成本管理、营运管理、投融资管理、绩效管</w:t>
      </w:r>
      <w:r>
        <w:rPr>
          <w:color w:val="FF0000"/>
          <w:spacing w:val="-199"/>
          <w:w w:val="95"/>
          <w:u w:val="double" w:color="FF0000"/>
        </w:rPr>
        <w:t>理</w:t>
      </w:r>
      <w:r>
        <w:rPr>
          <w:color w:val="FF0000"/>
          <w:spacing w:val="191"/>
          <w:w w:val="95"/>
          <w:u w:val="double" w:color="FF0000"/>
        </w:rPr>
        <w:t xml:space="preserve"> </w:t>
      </w:r>
      <w:r>
        <w:rPr>
          <w:color w:val="FF0000"/>
          <w:u w:val="double" w:color="FF0000"/>
        </w:rPr>
        <w:t>、风险管理等。</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4"/>
        <w:ind w:left="0"/>
        <w:rPr>
          <w:sz w:val="25"/>
        </w:rPr>
      </w:pPr>
    </w:p>
    <w:p>
      <w:pPr>
        <w:pStyle w:val="5"/>
        <w:spacing w:before="71"/>
      </w:pPr>
      <w:r>
        <w:t>（四）信息与报告</w:t>
      </w:r>
    </w:p>
    <w:p>
      <w:pPr>
        <w:spacing w:before="70"/>
        <w:ind w:left="723" w:right="0" w:firstLine="0"/>
        <w:jc w:val="left"/>
        <w:rPr>
          <w:sz w:val="20"/>
        </w:rPr>
      </w:pPr>
      <w:r>
        <w:rPr>
          <w:sz w:val="20"/>
        </w:rPr>
        <w:t>管理会计信息包括</w:t>
      </w:r>
      <w:r>
        <w:rPr>
          <w:b/>
          <w:color w:val="00AFEF"/>
          <w:sz w:val="20"/>
          <w:u w:val="single" w:color="00AFEF"/>
        </w:rPr>
        <w:t>管理会计应用过程中所使用和生成</w:t>
      </w:r>
      <w:r>
        <w:rPr>
          <w:sz w:val="20"/>
        </w:rPr>
        <w:t>的</w:t>
      </w:r>
      <w:r>
        <w:rPr>
          <w:color w:val="FF0000"/>
          <w:sz w:val="20"/>
          <w:u w:val="double" w:color="FF0000"/>
        </w:rPr>
        <w:t>财务信息和非财务信息</w:t>
      </w:r>
      <w:r>
        <w:rPr>
          <w:sz w:val="20"/>
        </w:rPr>
        <w:t>，是管理会计报告的</w:t>
      </w:r>
      <w:r>
        <w:rPr>
          <w:color w:val="FF0000"/>
          <w:sz w:val="20"/>
          <w:u w:val="double" w:color="FF0000"/>
        </w:rPr>
        <w:t>基本元</w:t>
      </w:r>
    </w:p>
    <w:p>
      <w:pPr>
        <w:pStyle w:val="6"/>
        <w:spacing w:before="71"/>
        <w:ind w:left="322"/>
      </w:pPr>
      <w:r>
        <w:rPr>
          <w:color w:val="FF0000"/>
          <w:u w:val="double" w:color="FF0000"/>
        </w:rPr>
        <w:t>素</w:t>
      </w:r>
      <w:r>
        <w:t>。</w:t>
      </w:r>
    </w:p>
    <w:p>
      <w:pPr>
        <w:pStyle w:val="6"/>
      </w:pPr>
      <w:r>
        <w:t>管理会计报告按期间可以分为</w:t>
      </w:r>
      <w:r>
        <w:rPr>
          <w:color w:val="FF0000"/>
          <w:u w:val="double" w:color="FF0000"/>
        </w:rPr>
        <w:t>定期报告和不定期报告</w:t>
      </w:r>
      <w:r>
        <w:t>，按内容可以分为</w:t>
      </w:r>
      <w:r>
        <w:rPr>
          <w:color w:val="FF0000"/>
          <w:u w:val="double" w:color="FF0000"/>
        </w:rPr>
        <w:t>综合性报告和专项报告</w:t>
      </w:r>
      <w:r>
        <w:t>等类别。</w:t>
      </w:r>
    </w:p>
    <w:p>
      <w:pPr>
        <w:spacing w:before="55"/>
        <w:ind w:left="742" w:right="0" w:firstLine="0"/>
        <w:jc w:val="left"/>
        <w:rPr>
          <w:b/>
          <w:sz w:val="21"/>
        </w:rPr>
      </w:pPr>
      <w:r>
        <w:rPr>
          <w:b/>
          <w:sz w:val="21"/>
          <w:shd w:val="clear" w:color="auto" w:fill="C0C0C0"/>
        </w:rPr>
        <w:t>四、管理会计应用原则和应用主体</w:t>
      </w:r>
    </w:p>
    <w:p>
      <w:pPr>
        <w:pStyle w:val="5"/>
        <w:spacing w:before="72"/>
      </w:pPr>
      <w:r>
        <w:t>（一）应用原则</w:t>
      </w:r>
    </w:p>
    <w:p>
      <w:pPr>
        <w:pStyle w:val="6"/>
        <w:spacing w:before="68"/>
      </w:pPr>
      <w:r>
        <w:rPr>
          <w:color w:val="FF0000"/>
          <w:u w:val="double" w:color="FF0000"/>
        </w:rPr>
        <w:t>1.战略导向原则</w:t>
      </w:r>
      <w:r>
        <w:t>：以战略规划为导向；</w:t>
      </w:r>
      <w:r>
        <w:rPr>
          <w:color w:val="FF0000"/>
          <w:u w:val="double" w:color="FF0000"/>
        </w:rPr>
        <w:t>2.融合性原则</w:t>
      </w:r>
      <w:r>
        <w:t>：将财务与业务融合；</w:t>
      </w:r>
      <w:r>
        <w:rPr>
          <w:color w:val="FF0000"/>
          <w:u w:val="double" w:color="FF0000"/>
        </w:rPr>
        <w:t>3.适应性原则</w:t>
      </w:r>
      <w:r>
        <w:t>：与单位应用环境</w:t>
      </w:r>
    </w:p>
    <w:p>
      <w:pPr>
        <w:pStyle w:val="6"/>
        <w:ind w:left="322"/>
      </w:pPr>
      <w:r>
        <w:t>和自身特征相适应；</w:t>
      </w:r>
      <w:r>
        <w:rPr>
          <w:color w:val="FF0000"/>
          <w:u w:val="double" w:color="FF0000"/>
        </w:rPr>
        <w:t>4.成本效益原则</w:t>
      </w:r>
      <w:r>
        <w:t>：权衡实施成本和预期效益。</w:t>
      </w:r>
    </w:p>
    <w:p>
      <w:pPr>
        <w:pStyle w:val="6"/>
      </w:pPr>
      <w:r>
        <w:t>管理会计应用主体视管理决策主体确定，可以是单位整体，也可以是单位内部的责任中心。</w:t>
      </w:r>
    </w:p>
    <w:p>
      <w:pPr>
        <w:pStyle w:val="5"/>
      </w:pPr>
      <w:r>
        <w:t>（二）应用主体</w:t>
      </w:r>
    </w:p>
    <w:p>
      <w:pPr>
        <w:pStyle w:val="6"/>
        <w:spacing w:before="71" w:line="304" w:lineRule="auto"/>
        <w:ind w:left="322" w:right="662" w:firstLine="400"/>
      </w:pPr>
      <w:r>
        <w:rPr>
          <w:w w:val="95"/>
        </w:rPr>
        <w:t xml:space="preserve">管理会计应用主体应视管理决策主体确定，可以是单位整体，也可以是单位内部的责任中心；可以是企业，   </w:t>
      </w:r>
      <w:r>
        <w:t>也可以是行政事业单位。</w:t>
      </w:r>
    </w:p>
    <w:p>
      <w:pPr>
        <w:pStyle w:val="3"/>
        <w:tabs>
          <w:tab w:val="left" w:pos="839"/>
        </w:tabs>
        <w:spacing w:before="49"/>
        <w:ind w:left="0" w:right="399"/>
        <w:jc w:val="center"/>
        <w:rPr>
          <w:rFonts w:hint="eastAsia" w:ascii="微软雅黑" w:eastAsia="微软雅黑"/>
        </w:rPr>
      </w:pPr>
      <w:bookmarkStart w:id="151" w:name="第二节　产品成本核算的要求和一般程序"/>
      <w:bookmarkEnd w:id="151"/>
      <w:bookmarkStart w:id="152" w:name="_bookmark35"/>
      <w:bookmarkEnd w:id="152"/>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产品成本核算的要求和一般程序</w:t>
      </w:r>
    </w:p>
    <w:p>
      <w:pPr>
        <w:spacing w:before="141"/>
        <w:ind w:left="742" w:right="0" w:firstLine="0"/>
        <w:jc w:val="left"/>
        <w:rPr>
          <w:b/>
          <w:sz w:val="21"/>
        </w:rPr>
      </w:pPr>
      <w:bookmarkStart w:id="153" w:name="一、成本核算的要求"/>
      <w:bookmarkEnd w:id="153"/>
      <w:r>
        <w:rPr>
          <w:b/>
          <w:sz w:val="21"/>
          <w:shd w:val="clear" w:color="auto" w:fill="C0C0C0"/>
        </w:rPr>
        <w:t>一、成本核算的要求</w:t>
      </w:r>
    </w:p>
    <w:p>
      <w:pPr>
        <w:pStyle w:val="5"/>
        <w:spacing w:before="89"/>
      </w:pPr>
      <w:r>
        <w:t>（一）做好各项基础工作</w:t>
      </w:r>
    </w:p>
    <w:p>
      <w:pPr>
        <w:pStyle w:val="5"/>
      </w:pPr>
      <w:r>
        <w:t>（二）正确划分各种费用支出的界限</w:t>
      </w:r>
    </w:p>
    <w:p>
      <w:pPr>
        <w:pStyle w:val="6"/>
      </w:pPr>
      <w:r>
        <w:t>费用着重于按会计期间进行归集，一般以生产过程中取得的各种原始凭证为计算依据；成本着重于按产品进</w:t>
      </w:r>
    </w:p>
    <w:p>
      <w:pPr>
        <w:spacing w:after="0"/>
        <w:sectPr>
          <w:pgSz w:w="11910" w:h="16160"/>
          <w:pgMar w:top="1680" w:right="360" w:bottom="860" w:left="760" w:header="0" w:footer="548" w:gutter="0"/>
        </w:sectPr>
      </w:pPr>
    </w:p>
    <w:p>
      <w:pPr>
        <w:pStyle w:val="6"/>
        <w:spacing w:before="11"/>
        <w:ind w:left="0"/>
        <w:rPr>
          <w:sz w:val="13"/>
        </w:rPr>
      </w:pPr>
    </w:p>
    <w:p>
      <w:pPr>
        <w:pStyle w:val="6"/>
        <w:spacing w:before="71" w:line="304" w:lineRule="auto"/>
        <w:ind w:right="2662" w:hanging="401"/>
      </w:pPr>
      <w:r>
        <w:rPr>
          <w:w w:val="95"/>
        </w:rPr>
        <w:t xml:space="preserve">行归集，一般以成本计算单或成本汇总表及产品入库单等为计算依据，不包括期间费用。   </w:t>
      </w:r>
      <w:r>
        <w:t>为正确计算产品成本，必须正确划分以下五个方面的费用界限：</w:t>
      </w:r>
    </w:p>
    <w:p>
      <w:pPr>
        <w:pStyle w:val="6"/>
        <w:spacing w:before="2" w:line="304" w:lineRule="auto"/>
        <w:ind w:left="322" w:right="722" w:firstLine="400"/>
        <w:jc w:val="both"/>
      </w:pPr>
      <w:r>
        <w:rPr>
          <w:w w:val="95"/>
        </w:rPr>
        <w:t>1</w:t>
      </w:r>
      <w:r>
        <w:rPr>
          <w:spacing w:val="-1"/>
          <w:w w:val="95"/>
        </w:rPr>
        <w:t>.正确划分收益性支出与资本性支出的界限；</w:t>
      </w:r>
      <w:r>
        <w:rPr>
          <w:spacing w:val="-6"/>
          <w:w w:val="95"/>
        </w:rPr>
        <w:t>2</w:t>
      </w:r>
      <w:r>
        <w:rPr>
          <w:spacing w:val="-5"/>
          <w:w w:val="95"/>
        </w:rPr>
        <w:t>.正确划分成本费用、期间费用和营业外支出的界限；</w:t>
      </w:r>
      <w:r>
        <w:rPr>
          <w:spacing w:val="-7"/>
          <w:w w:val="95"/>
        </w:rPr>
        <w:t>3</w:t>
      </w:r>
      <w:r>
        <w:rPr>
          <w:spacing w:val="-3"/>
          <w:w w:val="95"/>
        </w:rPr>
        <w:t xml:space="preserve">.正确   </w:t>
      </w:r>
      <w:r>
        <w:rPr>
          <w:spacing w:val="-4"/>
          <w:w w:val="95"/>
        </w:rPr>
        <w:t>划分本期费用和以后期间费用的界限；</w:t>
      </w:r>
      <w:r>
        <w:rPr>
          <w:spacing w:val="-10"/>
          <w:w w:val="95"/>
        </w:rPr>
        <w:t>4</w:t>
      </w:r>
      <w:r>
        <w:rPr>
          <w:spacing w:val="-4"/>
          <w:w w:val="95"/>
        </w:rPr>
        <w:t>.正确划分各种产品成本费用的界限；</w:t>
      </w:r>
      <w:r>
        <w:rPr>
          <w:spacing w:val="-10"/>
          <w:w w:val="95"/>
        </w:rPr>
        <w:t>5</w:t>
      </w:r>
      <w:r>
        <w:rPr>
          <w:spacing w:val="-3"/>
          <w:w w:val="95"/>
        </w:rPr>
        <w:t xml:space="preserve">.正确划分本期完工产品与期末在    </w:t>
      </w:r>
      <w:r>
        <w:rPr>
          <w:spacing w:val="-3"/>
        </w:rPr>
        <w:t>产品成本的界限。</w:t>
      </w:r>
    </w:p>
    <w:p>
      <w:pPr>
        <w:pStyle w:val="5"/>
        <w:spacing w:before="0"/>
      </w:pPr>
      <w:r>
        <w:t>（三）根据生产特点和管理要求选择适当的成本计算方法</w:t>
      </w:r>
    </w:p>
    <w:p>
      <w:pPr>
        <w:pStyle w:val="6"/>
        <w:spacing w:before="71" w:line="304" w:lineRule="auto"/>
        <w:ind w:left="322" w:right="722" w:firstLine="400"/>
      </w:pPr>
      <w:r>
        <w:rPr>
          <w:spacing w:val="-4"/>
          <w:w w:val="95"/>
        </w:rPr>
        <w:t>产品成本的计算，关键是选择适当的产品成本计算方法。目前，企业常用的产品成本计算方法有</w:t>
      </w:r>
      <w:r>
        <w:rPr>
          <w:color w:val="FF0000"/>
          <w:spacing w:val="-4"/>
          <w:w w:val="95"/>
          <w:u w:val="double" w:color="FF0000"/>
        </w:rPr>
        <w:t>品种法、分</w:t>
      </w:r>
      <w:r>
        <w:rPr>
          <w:color w:val="FF0000"/>
          <w:spacing w:val="-198"/>
          <w:w w:val="95"/>
          <w:u w:val="double" w:color="FF0000"/>
        </w:rPr>
        <w:t>批</w:t>
      </w:r>
      <w:r>
        <w:rPr>
          <w:color w:val="FF0000"/>
          <w:spacing w:val="190"/>
          <w:w w:val="95"/>
          <w:u w:val="double" w:color="FF0000"/>
        </w:rPr>
        <w:t xml:space="preserve"> </w:t>
      </w:r>
      <w:r>
        <w:rPr>
          <w:color w:val="FF0000"/>
          <w:u w:val="double" w:color="FF0000"/>
        </w:rPr>
        <w:t>法、分步法、分类法、定额法、标准成本法等。</w:t>
      </w:r>
    </w:p>
    <w:p>
      <w:pPr>
        <w:pStyle w:val="5"/>
        <w:spacing w:before="1"/>
      </w:pPr>
      <w:r>
        <w:t>（四）遵守一致性原则</w:t>
      </w:r>
    </w:p>
    <w:p>
      <w:pPr>
        <w:spacing w:before="71" w:line="304" w:lineRule="auto"/>
        <w:ind w:left="322" w:right="722" w:firstLine="400"/>
        <w:jc w:val="left"/>
        <w:rPr>
          <w:sz w:val="20"/>
        </w:rPr>
      </w:pPr>
      <w:r>
        <w:rPr>
          <w:w w:val="95"/>
          <w:sz w:val="20"/>
        </w:rPr>
        <w:t>企业产品成本核算采用的</w:t>
      </w:r>
      <w:r>
        <w:rPr>
          <w:b/>
          <w:color w:val="00AFEF"/>
          <w:spacing w:val="-4"/>
          <w:w w:val="95"/>
          <w:sz w:val="20"/>
          <w:u w:val="single" w:color="00AFEF"/>
        </w:rPr>
        <w:t>会计政策和会计估计一经确定，不得随意变更，</w:t>
      </w:r>
      <w:r>
        <w:rPr>
          <w:spacing w:val="-4"/>
          <w:w w:val="95"/>
          <w:sz w:val="20"/>
        </w:rPr>
        <w:t xml:space="preserve">在成本核算中，各种处理方法要前   </w:t>
      </w:r>
      <w:r>
        <w:rPr>
          <w:spacing w:val="-4"/>
          <w:sz w:val="20"/>
        </w:rPr>
        <w:t>后一致，使前后各项的成本资料相互可比。</w:t>
      </w:r>
    </w:p>
    <w:p>
      <w:pPr>
        <w:pStyle w:val="5"/>
        <w:spacing w:before="0" w:line="256" w:lineRule="exact"/>
      </w:pPr>
      <w:r>
        <w:t>（五）编制产品成本报表</w:t>
      </w:r>
    </w:p>
    <w:p>
      <w:pPr>
        <w:spacing w:before="21"/>
        <w:ind w:left="742" w:right="0" w:firstLine="0"/>
        <w:jc w:val="left"/>
        <w:rPr>
          <w:b/>
          <w:sz w:val="21"/>
        </w:rPr>
      </w:pPr>
      <w:bookmarkStart w:id="154" w:name="二、成本核算的一般程序"/>
      <w:bookmarkEnd w:id="154"/>
      <w:r>
        <w:rPr>
          <w:b/>
          <w:sz w:val="21"/>
          <w:shd w:val="clear" w:color="auto" w:fill="C0C0C0"/>
        </w:rPr>
        <w:t>二、成本核算的一般程序</w:t>
      </w:r>
    </w:p>
    <w:p>
      <w:pPr>
        <w:pStyle w:val="6"/>
        <w:spacing w:before="92"/>
      </w:pPr>
      <w:r>
        <w:t>1.根据生产特点和成本管理的要求，确定成本核算对象。2.确定成本项目。3.设置有关成本和费用明细账。</w:t>
      </w:r>
    </w:p>
    <w:p>
      <w:pPr>
        <w:pStyle w:val="6"/>
        <w:spacing w:line="304" w:lineRule="auto"/>
        <w:ind w:left="322" w:right="720" w:firstLine="400"/>
      </w:pPr>
      <w:r>
        <w:rPr>
          <w:w w:val="95"/>
        </w:rPr>
        <w:t>4</w:t>
      </w:r>
      <w:r>
        <w:rPr>
          <w:spacing w:val="-5"/>
          <w:w w:val="95"/>
        </w:rPr>
        <w:t xml:space="preserve">.收集确定各种产品的生产量、入库量、在产品盘存量以及材料、工时、动力消耗等，并对所有已发生费用   </w:t>
      </w:r>
      <w:r>
        <w:rPr>
          <w:spacing w:val="-15"/>
        </w:rPr>
        <w:t xml:space="preserve">进行审核 </w:t>
      </w:r>
      <w:r>
        <w:t>5.归集所发生的全部费用，并按照确定的成本计算对象予以分配，按成本项目计算各种产品的在产品成本、产成品成本和单位成本。6.结转产品销售成本。</w:t>
      </w:r>
    </w:p>
    <w:p>
      <w:pPr>
        <w:spacing w:before="0" w:line="224" w:lineRule="exact"/>
        <w:ind w:left="742" w:right="0" w:firstLine="0"/>
        <w:jc w:val="left"/>
        <w:rPr>
          <w:b/>
          <w:sz w:val="21"/>
        </w:rPr>
      </w:pPr>
      <w:bookmarkStart w:id="155" w:name="三、产品成本核算对象"/>
      <w:bookmarkEnd w:id="155"/>
      <w:r>
        <w:rPr>
          <w:b/>
          <w:sz w:val="21"/>
          <w:shd w:val="clear" w:color="auto" w:fill="C0C0C0"/>
        </w:rPr>
        <w:t>三、产品成本核算对象</w:t>
      </w:r>
    </w:p>
    <w:p>
      <w:pPr>
        <w:pStyle w:val="5"/>
        <w:spacing w:before="91"/>
      </w:pPr>
      <w:r>
        <w:t>（一）成本核算对象的概念</w:t>
      </w:r>
    </w:p>
    <w:p>
      <w:pPr>
        <w:pStyle w:val="5"/>
        <w:spacing w:before="68"/>
      </w:pPr>
      <w:r>
        <w:rPr>
          <w:color w:val="00AFEF"/>
          <w:u w:val="single" w:color="00AFEF"/>
        </w:rPr>
        <w:t>成本核算对象，是指确定归集和分配生产费用的具体对象，即生产费用承担的客体。</w:t>
      </w:r>
    </w:p>
    <w:p>
      <w:pPr>
        <w:pStyle w:val="5"/>
      </w:pPr>
      <w:r>
        <w:t>（二）成本核算对象的确定</w:t>
      </w:r>
    </w:p>
    <w:p>
      <w:pPr>
        <w:pStyle w:val="13"/>
        <w:numPr>
          <w:ilvl w:val="0"/>
          <w:numId w:val="113"/>
        </w:numPr>
        <w:tabs>
          <w:tab w:val="left" w:pos="1224"/>
        </w:tabs>
        <w:spacing w:before="70" w:after="0" w:line="240" w:lineRule="auto"/>
        <w:ind w:left="1223" w:right="0" w:hanging="501"/>
        <w:jc w:val="left"/>
        <w:rPr>
          <w:sz w:val="20"/>
        </w:rPr>
      </w:pPr>
      <w:r>
        <w:rPr>
          <w:color w:val="FF0000"/>
          <w:sz w:val="20"/>
          <w:u w:val="double" w:color="FF0000"/>
        </w:rPr>
        <w:t>大量大批单步骤</w:t>
      </w:r>
      <w:r>
        <w:rPr>
          <w:spacing w:val="-2"/>
          <w:sz w:val="20"/>
        </w:rPr>
        <w:t>生产产品或管理上不要求提供有关生产步骤成本信息的，以</w:t>
      </w:r>
      <w:r>
        <w:rPr>
          <w:color w:val="FF0000"/>
          <w:sz w:val="20"/>
          <w:u w:val="double" w:color="FF0000"/>
        </w:rPr>
        <w:t>产品品种</w:t>
      </w:r>
      <w:r>
        <w:rPr>
          <w:sz w:val="20"/>
        </w:rPr>
        <w:t>为成本核算对象；</w:t>
      </w:r>
    </w:p>
    <w:p>
      <w:pPr>
        <w:pStyle w:val="13"/>
        <w:numPr>
          <w:ilvl w:val="0"/>
          <w:numId w:val="113"/>
        </w:numPr>
        <w:tabs>
          <w:tab w:val="left" w:pos="1224"/>
        </w:tabs>
        <w:spacing w:before="70" w:after="0" w:line="304" w:lineRule="auto"/>
        <w:ind w:left="322" w:right="662" w:firstLine="400"/>
        <w:jc w:val="left"/>
        <w:rPr>
          <w:sz w:val="20"/>
        </w:rPr>
      </w:pPr>
      <w:r>
        <w:rPr>
          <w:color w:val="FF0000"/>
          <w:w w:val="99"/>
          <w:sz w:val="20"/>
          <w:u w:val="double" w:color="FF0000"/>
        </w:rPr>
        <w:t>小批单件生产</w:t>
      </w:r>
      <w:r>
        <w:rPr>
          <w:spacing w:val="-6"/>
          <w:w w:val="99"/>
          <w:sz w:val="20"/>
        </w:rPr>
        <w:t>产品的，以每批或每件产品为成本核算对象；</w:t>
      </w:r>
      <w:r>
        <w:rPr>
          <w:spacing w:val="2"/>
          <w:w w:val="99"/>
          <w:sz w:val="20"/>
        </w:rPr>
        <w:t>（</w:t>
      </w:r>
      <w:r>
        <w:rPr>
          <w:spacing w:val="-2"/>
          <w:w w:val="99"/>
          <w:sz w:val="20"/>
        </w:rPr>
        <w:t>3</w:t>
      </w:r>
      <w:r>
        <w:rPr>
          <w:spacing w:val="2"/>
          <w:w w:val="99"/>
          <w:sz w:val="20"/>
        </w:rPr>
        <w:t>）</w:t>
      </w:r>
      <w:r>
        <w:rPr>
          <w:color w:val="FF0000"/>
          <w:w w:val="99"/>
          <w:sz w:val="20"/>
          <w:u w:val="double" w:color="FF0000"/>
        </w:rPr>
        <w:t>多步骤连续加工产品</w:t>
      </w:r>
      <w:r>
        <w:rPr>
          <w:w w:val="99"/>
          <w:sz w:val="20"/>
        </w:rPr>
        <w:t>且管理上要求提供有关生产步骤成本信息的，以</w:t>
      </w:r>
      <w:r>
        <w:rPr>
          <w:color w:val="FF0000"/>
          <w:w w:val="99"/>
          <w:sz w:val="20"/>
          <w:u w:val="double" w:color="FF0000"/>
        </w:rPr>
        <w:t>每种产品及各生产步骤为成本</w:t>
      </w:r>
      <w:r>
        <w:rPr>
          <w:spacing w:val="-21"/>
          <w:w w:val="99"/>
          <w:sz w:val="20"/>
        </w:rPr>
        <w:t>核算对象；</w:t>
      </w:r>
      <w:r>
        <w:rPr>
          <w:spacing w:val="2"/>
          <w:w w:val="99"/>
          <w:sz w:val="20"/>
        </w:rPr>
        <w:t>（</w:t>
      </w:r>
      <w:r>
        <w:rPr>
          <w:spacing w:val="-2"/>
          <w:w w:val="99"/>
          <w:sz w:val="20"/>
        </w:rPr>
        <w:t>4</w:t>
      </w:r>
      <w:r>
        <w:rPr>
          <w:w w:val="99"/>
          <w:sz w:val="20"/>
        </w:rPr>
        <w:t>）产品规格繁多的，可将产品结构、</w:t>
      </w:r>
      <w:r>
        <w:rPr>
          <w:sz w:val="20"/>
        </w:rPr>
        <w:t>耗用原材料和工艺过程基本相同的各种产品，适当合并作业成本核算对象。</w:t>
      </w:r>
    </w:p>
    <w:p>
      <w:pPr>
        <w:spacing w:before="0" w:line="224" w:lineRule="exact"/>
        <w:ind w:left="742" w:right="0" w:firstLine="0"/>
        <w:jc w:val="left"/>
        <w:rPr>
          <w:b/>
          <w:sz w:val="21"/>
        </w:rPr>
      </w:pPr>
      <w:bookmarkStart w:id="156" w:name="四、产品成本项目"/>
      <w:bookmarkEnd w:id="156"/>
      <w:r>
        <w:rPr>
          <w:b/>
          <w:sz w:val="21"/>
          <w:shd w:val="clear" w:color="auto" w:fill="C0C0C0"/>
        </w:rPr>
        <w:t>四、产品成本项目</w:t>
      </w:r>
    </w:p>
    <w:p>
      <w:pPr>
        <w:pStyle w:val="6"/>
        <w:spacing w:before="89"/>
      </w:pPr>
      <w:r>
        <w:t>1.直接材料；2.燃料及动力；3.直接人工；</w:t>
      </w:r>
    </w:p>
    <w:p>
      <w:pPr>
        <w:pStyle w:val="6"/>
        <w:spacing w:line="304" w:lineRule="auto"/>
        <w:ind w:left="322" w:right="722" w:firstLine="400"/>
      </w:pPr>
      <w:r>
        <w:rPr>
          <w:w w:val="95"/>
        </w:rPr>
        <w:t>4</w:t>
      </w:r>
      <w:r>
        <w:rPr>
          <w:spacing w:val="-3"/>
          <w:w w:val="95"/>
        </w:rPr>
        <w:t>.制造费用。如</w:t>
      </w:r>
      <w:r>
        <w:rPr>
          <w:color w:val="FF0000"/>
          <w:spacing w:val="-3"/>
          <w:w w:val="95"/>
          <w:u w:val="double" w:color="FF0000"/>
        </w:rPr>
        <w:t>车间管理人员的工资及提取的福利费、车间房屋建筑物和机器设备的折旧费、租赁费、机物</w:t>
      </w:r>
      <w:r>
        <w:rPr>
          <w:color w:val="FF0000"/>
          <w:spacing w:val="-197"/>
          <w:w w:val="95"/>
          <w:u w:val="double" w:color="FF0000"/>
        </w:rPr>
        <w:t>料</w:t>
      </w:r>
      <w:r>
        <w:rPr>
          <w:color w:val="FF0000"/>
          <w:spacing w:val="189"/>
          <w:w w:val="95"/>
          <w:u w:val="double" w:color="FF0000"/>
        </w:rPr>
        <w:t xml:space="preserve"> </w:t>
      </w:r>
      <w:r>
        <w:rPr>
          <w:color w:val="FF0000"/>
          <w:u w:val="double" w:color="FF0000"/>
        </w:rPr>
        <w:t>消耗、水电费、办公费以及停工损失、信息系统维护费</w:t>
      </w:r>
      <w:r>
        <w:t>等。</w:t>
      </w:r>
    </w:p>
    <w:p>
      <w:pPr>
        <w:pStyle w:val="6"/>
        <w:spacing w:before="2"/>
      </w:pPr>
      <w:r>
        <w:t>各企业可根据具体情况，增设“废品损失”、“直接燃料和动力”等成本项目。</w:t>
      </w:r>
    </w:p>
    <w:p>
      <w:pPr>
        <w:pStyle w:val="3"/>
        <w:tabs>
          <w:tab w:val="left" w:pos="839"/>
        </w:tabs>
        <w:spacing w:before="121"/>
        <w:ind w:left="0" w:right="399"/>
        <w:jc w:val="center"/>
        <w:rPr>
          <w:rFonts w:hint="eastAsia" w:ascii="微软雅黑" w:eastAsia="微软雅黑"/>
        </w:rPr>
      </w:pPr>
      <w:bookmarkStart w:id="157" w:name="第三节　产品成本的归集和分配"/>
      <w:bookmarkEnd w:id="157"/>
      <w:bookmarkStart w:id="158" w:name="_bookmark36"/>
      <w:bookmarkEnd w:id="158"/>
      <w:r>
        <w:rPr>
          <w:rFonts w:hint="eastAsia" w:ascii="微软雅黑" w:eastAsia="微软雅黑"/>
          <w:shd w:val="clear" w:color="auto" w:fill="FFFF00"/>
        </w:rPr>
        <w:t>第三节</w:t>
      </w:r>
      <w:r>
        <w:rPr>
          <w:rFonts w:hint="eastAsia" w:ascii="微软雅黑" w:eastAsia="微软雅黑"/>
          <w:shd w:val="clear" w:color="auto" w:fill="FFFF00"/>
        </w:rPr>
        <w:tab/>
      </w:r>
      <w:r>
        <w:rPr>
          <w:rFonts w:hint="eastAsia" w:ascii="微软雅黑" w:eastAsia="微软雅黑"/>
          <w:shd w:val="clear" w:color="auto" w:fill="FFFF00"/>
        </w:rPr>
        <w:t>产品成本的归集和分配</w:t>
      </w:r>
    </w:p>
    <w:p>
      <w:pPr>
        <w:pStyle w:val="6"/>
        <w:spacing w:before="10"/>
        <w:ind w:left="0"/>
        <w:rPr>
          <w:rFonts w:ascii="微软雅黑"/>
          <w:b/>
          <w:sz w:val="5"/>
        </w:rPr>
      </w:pPr>
    </w:p>
    <w:p>
      <w:pPr>
        <w:spacing w:before="69"/>
        <w:ind w:left="742" w:right="0" w:firstLine="0"/>
        <w:jc w:val="left"/>
        <w:rPr>
          <w:b/>
          <w:sz w:val="21"/>
        </w:rPr>
      </w:pPr>
      <w:r>
        <w:rPr>
          <w:b/>
          <w:sz w:val="21"/>
          <w:shd w:val="clear" w:color="auto" w:fill="C0C0C0"/>
        </w:rPr>
        <w:t>一、产品成本归集与分配的基本原则</w:t>
      </w:r>
    </w:p>
    <w:p>
      <w:pPr>
        <w:pStyle w:val="13"/>
        <w:numPr>
          <w:ilvl w:val="0"/>
          <w:numId w:val="114"/>
        </w:numPr>
        <w:tabs>
          <w:tab w:val="left" w:pos="925"/>
        </w:tabs>
        <w:spacing w:before="73" w:after="0" w:line="240" w:lineRule="auto"/>
        <w:ind w:left="924" w:right="0" w:hanging="202"/>
        <w:jc w:val="left"/>
        <w:rPr>
          <w:sz w:val="20"/>
        </w:rPr>
      </w:pPr>
      <w:r>
        <w:rPr>
          <w:sz w:val="20"/>
        </w:rPr>
        <w:t>受益性原则，即谁受益、谁负担，负担多少视受益程度而定；</w:t>
      </w:r>
    </w:p>
    <w:p>
      <w:pPr>
        <w:pStyle w:val="13"/>
        <w:numPr>
          <w:ilvl w:val="0"/>
          <w:numId w:val="114"/>
        </w:numPr>
        <w:tabs>
          <w:tab w:val="left" w:pos="925"/>
        </w:tabs>
        <w:spacing w:before="67" w:after="0" w:line="304" w:lineRule="auto"/>
        <w:ind w:left="322" w:right="720" w:firstLine="400"/>
        <w:jc w:val="left"/>
        <w:rPr>
          <w:sz w:val="20"/>
        </w:rPr>
      </w:pPr>
      <w:r>
        <w:rPr>
          <w:spacing w:val="-6"/>
          <w:w w:val="95"/>
          <w:sz w:val="20"/>
        </w:rPr>
        <w:t xml:space="preserve">及时性原则，即要及时将各项成本费用分配给受益对象，不应将本应在上期或下期分配的成本费用分配给   </w:t>
      </w:r>
      <w:r>
        <w:rPr>
          <w:spacing w:val="-6"/>
          <w:sz w:val="20"/>
        </w:rPr>
        <w:t>本期；</w:t>
      </w:r>
    </w:p>
    <w:p>
      <w:pPr>
        <w:pStyle w:val="13"/>
        <w:numPr>
          <w:ilvl w:val="0"/>
          <w:numId w:val="114"/>
        </w:numPr>
        <w:tabs>
          <w:tab w:val="left" w:pos="925"/>
        </w:tabs>
        <w:spacing w:before="2" w:after="0" w:line="240" w:lineRule="auto"/>
        <w:ind w:left="924" w:right="0" w:hanging="202"/>
        <w:jc w:val="left"/>
        <w:rPr>
          <w:sz w:val="20"/>
        </w:rPr>
      </w:pPr>
      <w:r>
        <w:rPr>
          <w:sz w:val="20"/>
        </w:rPr>
        <w:t>成本效益性原则，即成本分配所带来的效益要远大于分配成本；</w:t>
      </w:r>
    </w:p>
    <w:p>
      <w:pPr>
        <w:pStyle w:val="13"/>
        <w:numPr>
          <w:ilvl w:val="0"/>
          <w:numId w:val="114"/>
        </w:numPr>
        <w:tabs>
          <w:tab w:val="left" w:pos="925"/>
        </w:tabs>
        <w:spacing w:before="70" w:after="0" w:line="240" w:lineRule="auto"/>
        <w:ind w:left="924" w:right="0" w:hanging="202"/>
        <w:jc w:val="left"/>
        <w:rPr>
          <w:sz w:val="20"/>
        </w:rPr>
      </w:pPr>
      <w:r>
        <w:rPr>
          <w:sz w:val="20"/>
        </w:rPr>
        <w:t>基础性原则，即成本分配要以完整、准确的原始记录为依据；</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13"/>
        <w:numPr>
          <w:ilvl w:val="0"/>
          <w:numId w:val="114"/>
        </w:numPr>
        <w:tabs>
          <w:tab w:val="left" w:pos="925"/>
        </w:tabs>
        <w:spacing w:before="71" w:after="0" w:line="240" w:lineRule="auto"/>
        <w:ind w:left="924" w:right="0" w:hanging="202"/>
        <w:jc w:val="left"/>
        <w:rPr>
          <w:sz w:val="20"/>
        </w:rPr>
      </w:pPr>
      <w:r>
        <w:rPr>
          <w:sz w:val="20"/>
        </w:rPr>
        <w:t>管理性原则，即成本分配要有助于企业加强成本管理。</w:t>
      </w:r>
    </w:p>
    <w:p>
      <w:pPr>
        <w:spacing w:before="55"/>
        <w:ind w:left="742" w:right="0" w:firstLine="0"/>
        <w:jc w:val="left"/>
        <w:rPr>
          <w:b/>
          <w:sz w:val="21"/>
        </w:rPr>
      </w:pPr>
      <w:r>
        <w:rPr>
          <w:b/>
          <w:sz w:val="21"/>
          <w:shd w:val="clear" w:color="auto" w:fill="C0C0C0"/>
        </w:rPr>
        <w:t>二、要素费用的归集与分配</w:t>
      </w:r>
    </w:p>
    <w:p>
      <w:pPr>
        <w:pStyle w:val="5"/>
        <w:spacing w:before="72"/>
      </w:pPr>
      <w:r>
        <w:t>（一）成本核算的科目设置</w:t>
      </w:r>
    </w:p>
    <w:p>
      <w:pPr>
        <w:pStyle w:val="13"/>
        <w:numPr>
          <w:ilvl w:val="0"/>
          <w:numId w:val="115"/>
        </w:numPr>
        <w:tabs>
          <w:tab w:val="left" w:pos="925"/>
          <w:tab w:val="left" w:pos="1923"/>
        </w:tabs>
        <w:spacing w:before="71" w:after="0" w:line="304" w:lineRule="auto"/>
        <w:ind w:left="1923" w:right="5261" w:hanging="1200"/>
        <w:jc w:val="left"/>
        <w:rPr>
          <w:sz w:val="20"/>
        </w:rPr>
      </w:pPr>
      <w:r>
        <w:rPr>
          <w:sz w:val="20"/>
        </w:rPr>
        <w:t>生产成本</w:t>
      </w:r>
      <w:r>
        <w:rPr>
          <w:sz w:val="20"/>
        </w:rPr>
        <w:tab/>
      </w:r>
      <w:r>
        <w:rPr>
          <w:sz w:val="20"/>
        </w:rPr>
        <w:t>基本生产车间：生产成本—基本生产成</w:t>
      </w:r>
      <w:r>
        <w:rPr>
          <w:spacing w:val="-12"/>
          <w:sz w:val="20"/>
        </w:rPr>
        <w:t>本</w:t>
      </w:r>
      <w:r>
        <w:rPr>
          <w:sz w:val="20"/>
        </w:rPr>
        <w:t>辅助生产车间：生产成本—辅助生产成</w:t>
      </w:r>
      <w:r>
        <w:rPr>
          <w:spacing w:val="-12"/>
          <w:sz w:val="20"/>
        </w:rPr>
        <w:t>本</w:t>
      </w:r>
    </w:p>
    <w:p>
      <w:pPr>
        <w:pStyle w:val="13"/>
        <w:numPr>
          <w:ilvl w:val="0"/>
          <w:numId w:val="115"/>
        </w:numPr>
        <w:tabs>
          <w:tab w:val="left" w:pos="925"/>
          <w:tab w:val="left" w:pos="1923"/>
        </w:tabs>
        <w:spacing w:before="0" w:after="0" w:line="256" w:lineRule="exact"/>
        <w:ind w:left="924" w:right="0" w:hanging="202"/>
        <w:jc w:val="left"/>
        <w:rPr>
          <w:sz w:val="20"/>
        </w:rPr>
      </w:pPr>
      <w:r>
        <w:rPr>
          <w:sz w:val="20"/>
        </w:rPr>
        <w:t>制造费用</w:t>
      </w:r>
      <w:r>
        <w:rPr>
          <w:sz w:val="20"/>
        </w:rPr>
        <w:tab/>
      </w:r>
      <w:r>
        <w:rPr>
          <w:sz w:val="20"/>
        </w:rPr>
        <w:t>基本生产车间：制造费用</w:t>
      </w:r>
    </w:p>
    <w:p>
      <w:pPr>
        <w:pStyle w:val="6"/>
        <w:ind w:left="1923"/>
      </w:pPr>
      <w:r>
        <w:t>辅助生产车间：制造费用</w:t>
      </w:r>
    </w:p>
    <w:p>
      <w:pPr>
        <w:spacing w:before="70" w:line="304" w:lineRule="auto"/>
        <w:ind w:left="742" w:right="6247" w:hanging="20"/>
        <w:jc w:val="left"/>
        <w:rPr>
          <w:sz w:val="20"/>
        </w:rPr>
      </w:pPr>
      <w:r>
        <w:drawing>
          <wp:anchor distT="0" distB="0" distL="0" distR="0" simplePos="0" relativeHeight="482508800" behindDoc="1" locked="0" layoutInCell="1" allowOverlap="1">
            <wp:simplePos x="0" y="0"/>
            <wp:positionH relativeFrom="page">
              <wp:posOffset>2065655</wp:posOffset>
            </wp:positionH>
            <wp:positionV relativeFrom="paragraph">
              <wp:posOffset>291465</wp:posOffset>
            </wp:positionV>
            <wp:extent cx="1421130" cy="275590"/>
            <wp:effectExtent l="0" t="0" r="0" b="0"/>
            <wp:wrapNone/>
            <wp:docPr id="1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2.png"/>
                    <pic:cNvPicPr>
                      <a:picLocks noChangeAspect="1"/>
                    </pic:cNvPicPr>
                  </pic:nvPicPr>
                  <pic:blipFill>
                    <a:blip r:embed="rId60" cstate="print"/>
                    <a:stretch>
                      <a:fillRect/>
                    </a:stretch>
                  </pic:blipFill>
                  <pic:spPr>
                    <a:xfrm>
                      <a:off x="0" y="0"/>
                      <a:ext cx="1421344" cy="275822"/>
                    </a:xfrm>
                    <a:prstGeom prst="rect">
                      <a:avLst/>
                    </a:prstGeom>
                  </pic:spPr>
                </pic:pic>
              </a:graphicData>
            </a:graphic>
          </wp:anchor>
        </w:drawing>
      </w:r>
      <w:r>
        <w:rPr>
          <w:b/>
          <w:sz w:val="20"/>
        </w:rPr>
        <w:t>（二）材料、燃料、动力费用的归集和分配</w:t>
      </w:r>
      <w:r>
        <w:rPr>
          <w:sz w:val="20"/>
        </w:rPr>
        <w:t>1.一般分配法</w:t>
      </w:r>
    </w:p>
    <w:p>
      <w:pPr>
        <w:pStyle w:val="6"/>
        <w:spacing w:before="8"/>
        <w:ind w:left="0"/>
        <w:rPr>
          <w:sz w:val="25"/>
        </w:rPr>
      </w:pPr>
    </w:p>
    <w:p>
      <w:pPr>
        <w:pStyle w:val="6"/>
        <w:spacing w:before="0" w:line="302" w:lineRule="auto"/>
        <w:ind w:right="5961"/>
      </w:pPr>
      <w:r>
        <w:rPr>
          <w:spacing w:val="-1"/>
        </w:rPr>
        <w:t>某种产品分配的费用=该产品分配标准×分配率</w:t>
      </w:r>
      <w:r>
        <w:t>2.定额分配法</w:t>
      </w:r>
    </w:p>
    <w:p>
      <w:pPr>
        <w:pStyle w:val="6"/>
        <w:spacing w:before="5" w:line="304" w:lineRule="auto"/>
        <w:ind w:left="322" w:right="647" w:firstLine="400"/>
      </w:pPr>
      <w:r>
        <w:rPr>
          <w:w w:val="95"/>
        </w:rPr>
        <w:t>在消耗定额比较准确的情况下，原材料、燃料也可按照产品的</w:t>
      </w:r>
      <w:r>
        <w:rPr>
          <w:color w:val="FF0000"/>
          <w:w w:val="95"/>
          <w:u w:val="double" w:color="FF0000"/>
        </w:rPr>
        <w:t>材料定额消耗量比例或材料定额费用比例</w:t>
      </w:r>
      <w:r>
        <w:rPr>
          <w:w w:val="95"/>
        </w:rPr>
        <w:t xml:space="preserve">进行   </w:t>
      </w:r>
      <w:r>
        <w:t>分配。</w:t>
      </w:r>
    </w:p>
    <w:p>
      <w:pPr>
        <w:spacing w:before="1" w:line="304" w:lineRule="auto"/>
        <w:ind w:left="723" w:right="7452" w:firstLine="0"/>
        <w:jc w:val="left"/>
        <w:rPr>
          <w:sz w:val="20"/>
        </w:rPr>
      </w:pPr>
      <w:r>
        <w:drawing>
          <wp:anchor distT="0" distB="0" distL="0" distR="0" simplePos="0" relativeHeight="1024" behindDoc="0" locked="0" layoutInCell="1" allowOverlap="1">
            <wp:simplePos x="0" y="0"/>
            <wp:positionH relativeFrom="page">
              <wp:posOffset>1398270</wp:posOffset>
            </wp:positionH>
            <wp:positionV relativeFrom="paragraph">
              <wp:posOffset>438150</wp:posOffset>
            </wp:positionV>
            <wp:extent cx="1402715" cy="266065"/>
            <wp:effectExtent l="0" t="0" r="0" b="0"/>
            <wp:wrapTopAndBottom/>
            <wp:docPr id="10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3.png"/>
                    <pic:cNvPicPr>
                      <a:picLocks noChangeAspect="1"/>
                    </pic:cNvPicPr>
                  </pic:nvPicPr>
                  <pic:blipFill>
                    <a:blip r:embed="rId61" cstate="print"/>
                    <a:stretch>
                      <a:fillRect/>
                    </a:stretch>
                  </pic:blipFill>
                  <pic:spPr>
                    <a:xfrm>
                      <a:off x="0" y="0"/>
                      <a:ext cx="1402623" cy="266033"/>
                    </a:xfrm>
                    <a:prstGeom prst="rect">
                      <a:avLst/>
                    </a:prstGeom>
                  </pic:spPr>
                </pic:pic>
              </a:graphicData>
            </a:graphic>
          </wp:anchor>
        </w:drawing>
      </w:r>
      <w:r>
        <w:rPr>
          <w:b/>
          <w:sz w:val="20"/>
        </w:rPr>
        <w:t>（三）</w:t>
      </w:r>
      <w:r>
        <w:rPr>
          <w:b/>
          <w:spacing w:val="-2"/>
          <w:sz w:val="20"/>
        </w:rPr>
        <w:t>职工薪酬的归集和分配</w:t>
      </w:r>
      <w:r>
        <w:rPr>
          <w:sz w:val="20"/>
        </w:rPr>
        <w:t>1.一般分配法</w:t>
      </w:r>
    </w:p>
    <w:p>
      <w:pPr>
        <w:pStyle w:val="6"/>
        <w:spacing w:before="139" w:line="302" w:lineRule="auto"/>
        <w:ind w:right="5961"/>
      </w:pPr>
      <w:r>
        <w:rPr>
          <w:spacing w:val="-1"/>
        </w:rPr>
        <w:t>某种产品分配的工资=该产品生产工时×分配率</w:t>
      </w:r>
      <w:r>
        <w:t>2.定额分配法</w:t>
      </w:r>
    </w:p>
    <w:p>
      <w:pPr>
        <w:pStyle w:val="6"/>
        <w:spacing w:before="4" w:line="304" w:lineRule="auto"/>
        <w:ind w:left="322" w:right="647" w:firstLine="400"/>
      </w:pPr>
      <w:r>
        <w:rPr>
          <w:w w:val="95"/>
        </w:rPr>
        <w:t xml:space="preserve">如果取得各种产品的实际生产工时数据比较困难，而各种产品的单件工时定额比较准确，也可按产品的定额   </w:t>
      </w:r>
      <w:r>
        <w:t>工时比例分配职工薪酬。</w:t>
      </w:r>
    </w:p>
    <w:p>
      <w:pPr>
        <w:pStyle w:val="6"/>
        <w:spacing w:before="2"/>
      </w:pPr>
      <w:r>
        <w:drawing>
          <wp:anchor distT="0" distB="0" distL="0" distR="0" simplePos="0" relativeHeight="1024" behindDoc="0" locked="0" layoutInCell="1" allowOverlap="1">
            <wp:simplePos x="0" y="0"/>
            <wp:positionH relativeFrom="page">
              <wp:posOffset>3084195</wp:posOffset>
            </wp:positionH>
            <wp:positionV relativeFrom="paragraph">
              <wp:posOffset>243840</wp:posOffset>
            </wp:positionV>
            <wp:extent cx="1646555" cy="287020"/>
            <wp:effectExtent l="0" t="0" r="0" b="0"/>
            <wp:wrapTopAndBottom/>
            <wp:docPr id="1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4.png"/>
                    <pic:cNvPicPr>
                      <a:picLocks noChangeAspect="1"/>
                    </pic:cNvPicPr>
                  </pic:nvPicPr>
                  <pic:blipFill>
                    <a:blip r:embed="rId62" cstate="print"/>
                    <a:stretch>
                      <a:fillRect/>
                    </a:stretch>
                  </pic:blipFill>
                  <pic:spPr>
                    <a:xfrm>
                      <a:off x="0" y="0"/>
                      <a:ext cx="1646746" cy="287178"/>
                    </a:xfrm>
                    <a:prstGeom prst="rect">
                      <a:avLst/>
                    </a:prstGeom>
                  </pic:spPr>
                </pic:pic>
              </a:graphicData>
            </a:graphic>
          </wp:anchor>
        </w:drawing>
      </w:r>
      <w:r>
        <w:t>某产品的定额工时=该种产品投产量×单位产品工时定额</w:t>
      </w:r>
    </w:p>
    <w:p>
      <w:pPr>
        <w:pStyle w:val="6"/>
        <w:spacing w:before="0"/>
        <w:ind w:left="0"/>
      </w:pPr>
    </w:p>
    <w:p>
      <w:pPr>
        <w:pStyle w:val="6"/>
        <w:spacing w:before="156"/>
      </w:pPr>
      <w:r>
        <w:t>某产品应分配的生产工资=该产品定额工时×分配率</w:t>
      </w:r>
    </w:p>
    <w:p>
      <w:pPr>
        <w:spacing w:before="68" w:line="304" w:lineRule="auto"/>
        <w:ind w:left="723" w:right="7051" w:firstLine="0"/>
        <w:jc w:val="left"/>
        <w:rPr>
          <w:sz w:val="20"/>
        </w:rPr>
      </w:pPr>
      <w:r>
        <w:rPr>
          <w:b/>
          <w:sz w:val="20"/>
        </w:rPr>
        <w:t>（四）辅助生产费用的归集和分配</w:t>
      </w:r>
      <w:r>
        <w:rPr>
          <w:sz w:val="20"/>
        </w:rPr>
        <w:t>辅助生产费用的归集</w:t>
      </w:r>
    </w:p>
    <w:p>
      <w:pPr>
        <w:pStyle w:val="6"/>
        <w:spacing w:before="2" w:line="304" w:lineRule="auto"/>
        <w:ind w:left="322" w:right="625" w:firstLine="396"/>
      </w:pPr>
      <w:r>
        <w:rPr>
          <w:w w:val="95"/>
        </w:rPr>
        <w:t xml:space="preserve">辅助生产发生各项生产费用时记入“生产成本—辅助生产成本”科目及其明细科目。一般情况下，辅助生产    的制造费用，与基本生产的制造费用一样，先通过“制造费用”科目进行单独归集，然后再转入“辅助生产成本”  </w:t>
      </w:r>
      <w:r>
        <w:t>科目。</w:t>
      </w:r>
    </w:p>
    <w:p>
      <w:pPr>
        <w:pStyle w:val="6"/>
        <w:spacing w:before="3" w:line="302" w:lineRule="auto"/>
        <w:ind w:left="322" w:right="720" w:firstLine="400"/>
      </w:pPr>
      <w:r>
        <w:rPr>
          <w:spacing w:val="-4"/>
          <w:w w:val="95"/>
        </w:rPr>
        <w:t xml:space="preserve">对于辅助生产车间规模很小、制造费用很少且辅助生产不对外提供产品和劳务的，为简化核算工作，辅助生   </w:t>
      </w:r>
      <w:r>
        <w:rPr>
          <w:spacing w:val="-4"/>
        </w:rPr>
        <w:t>产的制造费用也可以不通过“制造费用”科目，而直接记入“生产成本—辅助生产成本”科目。</w:t>
      </w:r>
    </w:p>
    <w:p>
      <w:pPr>
        <w:pStyle w:val="5"/>
        <w:spacing w:before="4"/>
      </w:pPr>
      <w:r>
        <w:t>（二）辅助生产费用的分配及账务处理</w:t>
      </w:r>
    </w:p>
    <w:p>
      <w:pPr>
        <w:pStyle w:val="6"/>
        <w:spacing w:before="71" w:line="304" w:lineRule="auto"/>
        <w:ind w:left="322" w:right="720" w:firstLine="400"/>
      </w:pPr>
      <w:r>
        <w:rPr>
          <w:spacing w:val="-2"/>
          <w:w w:val="95"/>
        </w:rPr>
        <w:t>辅助生产费用的分配方法很多，通常采用</w:t>
      </w:r>
      <w:r>
        <w:rPr>
          <w:color w:val="FF0000"/>
          <w:spacing w:val="-5"/>
          <w:w w:val="95"/>
          <w:u w:val="double" w:color="FF0000"/>
        </w:rPr>
        <w:t>直接分配法、交互分配法、计划成本分配法、顺序分配法和代数分</w:t>
      </w:r>
      <w:r>
        <w:rPr>
          <w:color w:val="FF0000"/>
          <w:spacing w:val="-199"/>
          <w:w w:val="95"/>
          <w:u w:val="double" w:color="FF0000"/>
        </w:rPr>
        <w:t>配</w:t>
      </w:r>
      <w:r>
        <w:rPr>
          <w:color w:val="FF0000"/>
          <w:spacing w:val="190"/>
          <w:w w:val="95"/>
          <w:u w:val="double" w:color="FF0000"/>
        </w:rPr>
        <w:t xml:space="preserve"> </w:t>
      </w:r>
      <w:r>
        <w:rPr>
          <w:color w:val="FF0000"/>
          <w:u w:val="double" w:color="FF0000"/>
        </w:rPr>
        <w:t>法</w:t>
      </w:r>
      <w:r>
        <w:t>等。本章介绍直接分配法、交互分配法和计划成本分配法。</w:t>
      </w:r>
    </w:p>
    <w:p>
      <w:pPr>
        <w:pStyle w:val="13"/>
        <w:numPr>
          <w:ilvl w:val="0"/>
          <w:numId w:val="116"/>
        </w:numPr>
        <w:tabs>
          <w:tab w:val="left" w:pos="925"/>
        </w:tabs>
        <w:spacing w:before="2" w:after="0" w:line="240" w:lineRule="auto"/>
        <w:ind w:left="924" w:right="0" w:hanging="202"/>
        <w:jc w:val="left"/>
        <w:rPr>
          <w:sz w:val="20"/>
        </w:rPr>
      </w:pPr>
      <w:r>
        <w:rPr>
          <w:b/>
          <w:sz w:val="20"/>
        </w:rPr>
        <w:t>直接分配法:</w:t>
      </w:r>
      <w:r>
        <w:rPr>
          <w:sz w:val="20"/>
        </w:rPr>
        <w:t>直接分配法的特点是</w:t>
      </w:r>
      <w:r>
        <w:rPr>
          <w:color w:val="FF0000"/>
          <w:sz w:val="20"/>
          <w:u w:val="double" w:color="FF0000"/>
        </w:rPr>
        <w:t>不考虑各辅助生产车间之间相互提供劳务或产品</w:t>
      </w:r>
      <w:r>
        <w:rPr>
          <w:sz w:val="20"/>
        </w:rPr>
        <w:t>的情况，而是将各种辅</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6"/>
        <w:spacing w:before="71"/>
        <w:ind w:left="322"/>
      </w:pPr>
      <w:r>
        <w:t>助生产费用直接分配给辅助生产以外的各受益单位。</w:t>
      </w:r>
    </w:p>
    <w:p>
      <w:pPr>
        <w:pStyle w:val="6"/>
        <w:spacing w:line="304" w:lineRule="auto"/>
        <w:ind w:left="322" w:right="720" w:firstLine="400"/>
      </w:pPr>
      <w:r>
        <w:rPr>
          <w:spacing w:val="-2"/>
          <w:w w:val="95"/>
        </w:rPr>
        <w:t>采用此方法，各辅助生产费用</w:t>
      </w:r>
      <w:r>
        <w:rPr>
          <w:color w:val="FF0000"/>
          <w:w w:val="95"/>
          <w:u w:val="double" w:color="FF0000"/>
        </w:rPr>
        <w:t>只进行对外分配</w:t>
      </w:r>
      <w:r>
        <w:rPr>
          <w:spacing w:val="-6"/>
          <w:w w:val="95"/>
        </w:rPr>
        <w:t>，分配一次，计算简单，但</w:t>
      </w:r>
      <w:r>
        <w:rPr>
          <w:color w:val="FF0000"/>
          <w:w w:val="95"/>
          <w:u w:val="double" w:color="FF0000"/>
        </w:rPr>
        <w:t>分配结果不够准确</w:t>
      </w:r>
      <w:r>
        <w:rPr>
          <w:spacing w:val="-3"/>
          <w:w w:val="95"/>
        </w:rPr>
        <w:t>。适用于</w:t>
      </w:r>
      <w:r>
        <w:rPr>
          <w:color w:val="FF0000"/>
          <w:w w:val="95"/>
          <w:u w:val="double" w:color="FF0000"/>
        </w:rPr>
        <w:t>辅助生</w:t>
      </w:r>
      <w:r>
        <w:rPr>
          <w:color w:val="FF0000"/>
          <w:spacing w:val="-199"/>
          <w:w w:val="95"/>
          <w:u w:val="double" w:color="FF0000"/>
        </w:rPr>
        <w:t>产</w:t>
      </w:r>
      <w:r>
        <w:rPr>
          <w:color w:val="FF0000"/>
          <w:spacing w:val="189"/>
          <w:w w:val="95"/>
          <w:u w:val="double" w:color="FF0000"/>
        </w:rPr>
        <w:t xml:space="preserve"> </w:t>
      </w:r>
      <w:r>
        <w:rPr>
          <w:color w:val="FF0000"/>
          <w:u w:val="double" w:color="FF0000"/>
        </w:rPr>
        <w:t>内部相互提供产品和劳务不多、不进行费用的交互分配、对辅助生产成本和企业产品成本影响不大</w:t>
      </w:r>
      <w:r>
        <w:t>的情况。</w:t>
      </w:r>
    </w:p>
    <w:p>
      <w:pPr>
        <w:pStyle w:val="13"/>
        <w:numPr>
          <w:ilvl w:val="0"/>
          <w:numId w:val="116"/>
        </w:numPr>
        <w:tabs>
          <w:tab w:val="left" w:pos="925"/>
        </w:tabs>
        <w:spacing w:before="2" w:after="0" w:line="304" w:lineRule="auto"/>
        <w:ind w:left="322" w:right="720" w:firstLine="400"/>
        <w:jc w:val="both"/>
        <w:rPr>
          <w:sz w:val="20"/>
        </w:rPr>
      </w:pPr>
      <w:r>
        <w:rPr>
          <w:b/>
          <w:sz w:val="20"/>
        </w:rPr>
        <w:t>交互分配法:</w:t>
      </w:r>
      <w:r>
        <w:rPr>
          <w:sz w:val="20"/>
        </w:rPr>
        <w:t>交互分配法的特点是</w:t>
      </w:r>
      <w:r>
        <w:rPr>
          <w:color w:val="FF0000"/>
          <w:sz w:val="20"/>
          <w:u w:val="double" w:color="FF0000"/>
        </w:rPr>
        <w:t>辅助生产费用通过两次分配完成</w:t>
      </w:r>
      <w:r>
        <w:rPr>
          <w:sz w:val="20"/>
        </w:rPr>
        <w:t>，首先将辅助生产明细账上的合计数根</w:t>
      </w:r>
      <w:r>
        <w:rPr>
          <w:spacing w:val="-5"/>
          <w:w w:val="95"/>
          <w:sz w:val="20"/>
        </w:rPr>
        <w:t>据各辅助生产车间、部门相互提供的劳务数量计算分配率，在辅助生产车间进行交互分配；然后将各辅助生产车</w:t>
      </w:r>
      <w:r>
        <w:rPr>
          <w:spacing w:val="1"/>
          <w:w w:val="99"/>
          <w:sz w:val="20"/>
        </w:rPr>
        <w:t>间交</w:t>
      </w:r>
      <w:r>
        <w:rPr>
          <w:w w:val="99"/>
          <w:sz w:val="20"/>
        </w:rPr>
        <w:t>互分配后的实际费用（</w:t>
      </w:r>
      <w:r>
        <w:rPr>
          <w:color w:val="FF0000"/>
          <w:w w:val="99"/>
          <w:sz w:val="20"/>
          <w:u w:val="double" w:color="FF0000"/>
        </w:rPr>
        <w:t>即交互前的费用加上交互分配转入的费用，减去交互分配转出的费用</w:t>
      </w:r>
      <w:r>
        <w:rPr>
          <w:spacing w:val="-99"/>
          <w:w w:val="99"/>
          <w:sz w:val="20"/>
        </w:rPr>
        <w:t>）</w:t>
      </w:r>
      <w:r>
        <w:rPr>
          <w:w w:val="99"/>
          <w:sz w:val="20"/>
        </w:rPr>
        <w:t>，再按提供的</w:t>
      </w:r>
      <w:r>
        <w:rPr>
          <w:w w:val="95"/>
          <w:sz w:val="20"/>
        </w:rPr>
        <w:t>劳务</w:t>
      </w:r>
      <w:r>
        <w:rPr>
          <w:spacing w:val="-2"/>
          <w:w w:val="95"/>
          <w:sz w:val="20"/>
        </w:rPr>
        <w:t>量在辅助生产车间以外的各收益单位之间进行分配。这种分配方法的优点是</w:t>
      </w:r>
      <w:r>
        <w:rPr>
          <w:color w:val="FF0000"/>
          <w:spacing w:val="-3"/>
          <w:w w:val="95"/>
          <w:sz w:val="20"/>
          <w:u w:val="double" w:color="FF0000"/>
        </w:rPr>
        <w:t>提高了分配的正确性，但同时加</w:t>
      </w:r>
      <w:r>
        <w:rPr>
          <w:color w:val="FF0000"/>
          <w:spacing w:val="6"/>
          <w:w w:val="95"/>
          <w:sz w:val="20"/>
          <w:u w:val="double" w:color="FF0000"/>
        </w:rPr>
        <w:t xml:space="preserve">大 </w:t>
      </w:r>
      <w:r>
        <w:rPr>
          <w:color w:val="FF0000"/>
          <w:sz w:val="20"/>
          <w:u w:val="double" w:color="FF0000"/>
        </w:rPr>
        <w:t>了分配的工作量。</w:t>
      </w:r>
    </w:p>
    <w:p>
      <w:pPr>
        <w:spacing w:before="2"/>
        <w:ind w:left="723" w:right="0" w:firstLine="0"/>
        <w:jc w:val="left"/>
        <w:rPr>
          <w:sz w:val="20"/>
        </w:rPr>
      </w:pPr>
      <w:r>
        <w:rPr>
          <w:sz w:val="20"/>
        </w:rPr>
        <w:t>①</w:t>
      </w:r>
      <w:r>
        <w:rPr>
          <w:b/>
          <w:color w:val="00AFEF"/>
          <w:sz w:val="20"/>
          <w:u w:val="single" w:color="00AFEF"/>
        </w:rPr>
        <w:t>对内交互分配率</w:t>
      </w:r>
      <w:r>
        <w:rPr>
          <w:sz w:val="20"/>
        </w:rPr>
        <w:t>=辅助生产费用总额÷辅助生产提供的总产品或劳务总量</w:t>
      </w:r>
    </w:p>
    <w:p>
      <w:pPr>
        <w:pStyle w:val="6"/>
        <w:spacing w:before="71" w:line="304" w:lineRule="auto"/>
        <w:ind w:left="322" w:right="756" w:firstLine="400"/>
      </w:pPr>
      <w:r>
        <w:rPr>
          <w:w w:val="95"/>
        </w:rPr>
        <w:t>②</w:t>
      </w:r>
      <w:r>
        <w:rPr>
          <w:b/>
          <w:color w:val="00AFEF"/>
          <w:w w:val="95"/>
          <w:u w:val="single" w:color="00AFEF"/>
        </w:rPr>
        <w:t>对外分配率=</w:t>
      </w:r>
      <w:r>
        <w:rPr>
          <w:w w:val="95"/>
        </w:rPr>
        <w:t>（交互分配前的成本费用+交互分配转入的成本费用-交互分配转出的成本费用）÷对</w:t>
      </w:r>
      <w:r>
        <w:rPr>
          <w:color w:val="FF0000"/>
          <w:w w:val="95"/>
          <w:u w:val="double" w:color="FF0000"/>
        </w:rPr>
        <w:t>辅助以</w:t>
      </w:r>
      <w:r>
        <w:rPr>
          <w:color w:val="FF0000"/>
          <w:spacing w:val="-199"/>
          <w:w w:val="95"/>
          <w:u w:val="double" w:color="FF0000"/>
        </w:rPr>
        <w:t>外</w:t>
      </w:r>
      <w:r>
        <w:rPr>
          <w:color w:val="FF0000"/>
          <w:spacing w:val="187"/>
          <w:w w:val="95"/>
          <w:u w:val="double" w:color="FF0000"/>
        </w:rPr>
        <w:t xml:space="preserve"> </w:t>
      </w:r>
      <w:r>
        <w:rPr>
          <w:color w:val="FF0000"/>
          <w:u w:val="double" w:color="FF0000"/>
        </w:rPr>
        <w:t>的其他部门</w:t>
      </w:r>
      <w:r>
        <w:t>提供的产品或劳务总量</w:t>
      </w:r>
    </w:p>
    <w:p>
      <w:pPr>
        <w:pStyle w:val="6"/>
        <w:spacing w:before="0" w:line="256" w:lineRule="exact"/>
      </w:pPr>
      <w:r>
        <mc:AlternateContent>
          <mc:Choice Requires="wps">
            <w:drawing>
              <wp:anchor distT="0" distB="0" distL="114300" distR="114300" simplePos="0" relativeHeight="15875072" behindDoc="0" locked="0" layoutInCell="1" allowOverlap="1">
                <wp:simplePos x="0" y="0"/>
                <wp:positionH relativeFrom="page">
                  <wp:posOffset>1068705</wp:posOffset>
                </wp:positionH>
                <wp:positionV relativeFrom="paragraph">
                  <wp:posOffset>137795</wp:posOffset>
                </wp:positionV>
                <wp:extent cx="251460" cy="5715"/>
                <wp:effectExtent l="0" t="0" r="0" b="0"/>
                <wp:wrapNone/>
                <wp:docPr id="166" name="任意多边形 273"/>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73" o:spid="_x0000_s1026" o:spt="100" style="position:absolute;left:0pt;margin-left:84.15pt;margin-top:10.85pt;height:0.45pt;width:19.8pt;mso-position-horizontal-relative:page;z-index:15875072;mso-width-relative:page;mso-height-relative:page;" filled="f" stroked="t" coordsize="396,9" o:gfxdata="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5&#10;lOJm2QAAAAkBAAAPAAAAAAAAAAEAIAAAACIAAABkcnMvZG93bnJldi54bWxQSwECFAAUAAAACACH&#10;TuJABtiNkJUCAABXBwAADgAAAAAAAAABACAAAAAo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】对外分配的辅助成本=交互分配前的费用+交互分配转入的费用-交互分配转出的费用</w:t>
      </w:r>
    </w:p>
    <w:p>
      <w:pPr>
        <w:pStyle w:val="13"/>
        <w:numPr>
          <w:ilvl w:val="0"/>
          <w:numId w:val="116"/>
        </w:numPr>
        <w:tabs>
          <w:tab w:val="left" w:pos="925"/>
        </w:tabs>
        <w:spacing w:before="70" w:after="0" w:line="304" w:lineRule="auto"/>
        <w:ind w:left="322" w:right="720" w:firstLine="400"/>
        <w:jc w:val="both"/>
        <w:rPr>
          <w:sz w:val="20"/>
        </w:rPr>
      </w:pPr>
      <w:r>
        <w:rPr>
          <w:b/>
          <w:w w:val="95"/>
          <w:sz w:val="20"/>
        </w:rPr>
        <w:t>计划成本分配法:</w:t>
      </w:r>
      <w:r>
        <w:rPr>
          <w:w w:val="95"/>
          <w:sz w:val="20"/>
        </w:rPr>
        <w:t>划成本分配法的特点是辅助生产为各受益单位提供的劳务，都按</w:t>
      </w:r>
      <w:r>
        <w:rPr>
          <w:color w:val="FF0000"/>
          <w:w w:val="95"/>
          <w:sz w:val="20"/>
          <w:u w:val="double" w:color="FF0000"/>
        </w:rPr>
        <w:t>劳务的计划单位成本进</w:t>
      </w:r>
      <w:r>
        <w:rPr>
          <w:color w:val="FF0000"/>
          <w:spacing w:val="6"/>
          <w:w w:val="95"/>
          <w:sz w:val="20"/>
          <w:u w:val="double" w:color="FF0000"/>
        </w:rPr>
        <w:t>行 分配</w:t>
      </w:r>
      <w:r>
        <w:rPr>
          <w:spacing w:val="-5"/>
          <w:w w:val="95"/>
          <w:sz w:val="20"/>
        </w:rPr>
        <w:t>，辅助生产车间实际发生的费用</w:t>
      </w:r>
      <w:r>
        <w:rPr>
          <w:w w:val="95"/>
          <w:sz w:val="20"/>
        </w:rPr>
        <w:t>（</w:t>
      </w:r>
      <w:r>
        <w:rPr>
          <w:color w:val="FF0000"/>
          <w:spacing w:val="-2"/>
          <w:w w:val="95"/>
          <w:sz w:val="20"/>
          <w:u w:val="double" w:color="FF0000"/>
        </w:rPr>
        <w:t xml:space="preserve">包括辅助生产内部交互分配转入的费用，不需要减转出的费用，即只加不    </w:t>
      </w:r>
      <w:r>
        <w:rPr>
          <w:color w:val="FF0000"/>
          <w:sz w:val="20"/>
          <w:u w:val="double" w:color="FF0000"/>
        </w:rPr>
        <w:t>减</w:t>
      </w:r>
      <w:r>
        <w:rPr>
          <w:sz w:val="20"/>
        </w:rPr>
        <w:t>）与按计划单位成本分配转出的费用之间的</w:t>
      </w:r>
      <w:r>
        <w:rPr>
          <w:color w:val="FF0000"/>
          <w:sz w:val="20"/>
          <w:u w:val="double" w:color="FF0000"/>
        </w:rPr>
        <w:t>差额</w:t>
      </w:r>
      <w:r>
        <w:rPr>
          <w:sz w:val="20"/>
        </w:rPr>
        <w:t>采用简化计算方法</w:t>
      </w:r>
      <w:r>
        <w:rPr>
          <w:color w:val="FF0000"/>
          <w:sz w:val="20"/>
          <w:u w:val="double" w:color="FF0000"/>
        </w:rPr>
        <w:t>全部计入管理费用。</w:t>
      </w:r>
    </w:p>
    <w:p>
      <w:pPr>
        <w:pStyle w:val="6"/>
        <w:spacing w:before="3" w:line="304" w:lineRule="auto"/>
        <w:ind w:left="322" w:right="647" w:firstLine="400"/>
      </w:pPr>
      <w:r>
        <w:rPr>
          <w:w w:val="95"/>
        </w:rPr>
        <w:t xml:space="preserve">这种方法便于考核和分析受益单位的成本，有利于分清各单位的经济责任。但成本分配不够准确，适用于辅   </w:t>
      </w:r>
      <w:r>
        <w:t>助生产劳务计划单位成本比较准确的企业。</w:t>
      </w:r>
    </w:p>
    <w:p>
      <w:pPr>
        <w:pStyle w:val="6"/>
        <w:spacing w:before="0" w:line="304" w:lineRule="auto"/>
        <w:ind w:left="322" w:right="722" w:firstLine="400"/>
      </w:pPr>
      <w:r>
        <mc:AlternateContent>
          <mc:Choice Requires="wps">
            <w:drawing>
              <wp:anchor distT="0" distB="0" distL="114300" distR="114300" simplePos="0" relativeHeight="482509824" behindDoc="1" locked="0" layoutInCell="1" allowOverlap="1">
                <wp:simplePos x="0" y="0"/>
                <wp:positionH relativeFrom="page">
                  <wp:posOffset>1068705</wp:posOffset>
                </wp:positionH>
                <wp:positionV relativeFrom="paragraph">
                  <wp:posOffset>137795</wp:posOffset>
                </wp:positionV>
                <wp:extent cx="251460" cy="5715"/>
                <wp:effectExtent l="0" t="0" r="0" b="0"/>
                <wp:wrapNone/>
                <wp:docPr id="327" name="任意多边形 274"/>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74" o:spid="_x0000_s1026" o:spt="100" style="position:absolute;left:0pt;margin-left:84.15pt;margin-top:10.85pt;height:0.45pt;width:19.8pt;mso-position-horizontal-relative:page;z-index:-20806656;mso-width-relative:page;mso-height-relative:page;" filled="f" stroked="t" coordsize="396,9" o:gfxdata="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DmU&#10;4mbZAAAACQEAAA8AAAAAAAAAAQAgAAAAIgAAAGRycy9kb3ducmV2LnhtbFBLAQIUABQAAAAIAIdO&#10;4kAE4o5L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7"/>
          <w:w w:val="95"/>
        </w:rPr>
        <w:t>】①对外分配的实际辅助成本=交互分配前的费用+按计划成本转入的费用</w:t>
      </w:r>
      <w:r>
        <w:rPr>
          <w:w w:val="95"/>
        </w:rPr>
        <w:t>（不减按计划成本转出的费</w:t>
      </w:r>
      <w:r>
        <w:rPr>
          <w:spacing w:val="2"/>
          <w:w w:val="99"/>
        </w:rPr>
        <w:t>用</w:t>
      </w:r>
      <w:r>
        <w:rPr>
          <w:spacing w:val="-101"/>
          <w:w w:val="99"/>
        </w:rPr>
        <w:t>）</w:t>
      </w:r>
      <w:r>
        <w:rPr>
          <w:w w:val="99"/>
        </w:rPr>
        <w:t>；②计划成本与实际成本的差额全部转入管理费用。</w:t>
      </w:r>
    </w:p>
    <w:p>
      <w:pPr>
        <w:pStyle w:val="5"/>
        <w:spacing w:before="1"/>
      </w:pPr>
      <w:r>
        <w:t>（五）制造费用的归集与分配</w:t>
      </w:r>
    </w:p>
    <w:p>
      <w:pPr>
        <w:pStyle w:val="13"/>
        <w:numPr>
          <w:ilvl w:val="0"/>
          <w:numId w:val="117"/>
        </w:numPr>
        <w:tabs>
          <w:tab w:val="left" w:pos="925"/>
        </w:tabs>
        <w:spacing w:before="70" w:after="0" w:line="304" w:lineRule="auto"/>
        <w:ind w:left="322" w:right="621" w:firstLine="400"/>
        <w:jc w:val="left"/>
        <w:rPr>
          <w:sz w:val="20"/>
        </w:rPr>
      </w:pPr>
      <w:r>
        <w:rPr>
          <w:b/>
          <w:sz w:val="20"/>
        </w:rPr>
        <w:t>制造费用的归集:</w:t>
      </w:r>
      <w:r>
        <w:rPr>
          <w:sz w:val="20"/>
        </w:rPr>
        <w:t>制造费用包括物料消耗，车间管理人员的薪酬，车间管理用房屋和设备的折旧费、租赁</w:t>
      </w:r>
      <w:r>
        <w:rPr>
          <w:spacing w:val="-11"/>
          <w:w w:val="95"/>
          <w:sz w:val="20"/>
        </w:rPr>
        <w:t xml:space="preserve">费和保险费，车间管理用具摊销，车间管理用的照明费、水费、取暖费、劳动保护费、设计制图费、试验检验费、    </w:t>
      </w:r>
      <w:r>
        <w:rPr>
          <w:spacing w:val="-11"/>
          <w:sz w:val="20"/>
        </w:rPr>
        <w:t>差旅费、办公费以及</w:t>
      </w:r>
      <w:r>
        <w:rPr>
          <w:color w:val="FF0000"/>
          <w:spacing w:val="-11"/>
          <w:sz w:val="20"/>
          <w:u w:val="double" w:color="FF0000"/>
        </w:rPr>
        <w:t>季节性及修理期间停工损失</w:t>
      </w:r>
      <w:r>
        <w:rPr>
          <w:spacing w:val="-11"/>
          <w:sz w:val="20"/>
        </w:rPr>
        <w:t>等。</w:t>
      </w:r>
    </w:p>
    <w:p>
      <w:pPr>
        <w:pStyle w:val="13"/>
        <w:numPr>
          <w:ilvl w:val="0"/>
          <w:numId w:val="117"/>
        </w:numPr>
        <w:tabs>
          <w:tab w:val="left" w:pos="925"/>
        </w:tabs>
        <w:spacing w:before="1" w:after="0" w:line="304" w:lineRule="auto"/>
        <w:ind w:left="322" w:right="722" w:firstLine="400"/>
        <w:jc w:val="left"/>
        <w:rPr>
          <w:sz w:val="20"/>
        </w:rPr>
      </w:pPr>
      <w:r>
        <w:rPr>
          <w:b/>
          <w:w w:val="95"/>
          <w:sz w:val="20"/>
        </w:rPr>
        <w:t>制造费用的分配:</w:t>
      </w:r>
      <w:r>
        <w:rPr>
          <w:w w:val="95"/>
          <w:sz w:val="20"/>
        </w:rPr>
        <w:t>通常采用</w:t>
      </w:r>
      <w:r>
        <w:rPr>
          <w:color w:val="FF0000"/>
          <w:spacing w:val="-3"/>
          <w:w w:val="95"/>
          <w:sz w:val="20"/>
          <w:u w:val="double" w:color="FF0000"/>
        </w:rPr>
        <w:t>生产工人工时比例法</w:t>
      </w:r>
      <w:r>
        <w:rPr>
          <w:color w:val="FF0000"/>
          <w:w w:val="95"/>
          <w:sz w:val="20"/>
          <w:u w:val="double" w:color="FF0000"/>
        </w:rPr>
        <w:t>（或生产工时比例法</w:t>
      </w:r>
      <w:r>
        <w:rPr>
          <w:color w:val="FF0000"/>
          <w:spacing w:val="-99"/>
          <w:w w:val="95"/>
          <w:sz w:val="20"/>
          <w:u w:val="double" w:color="FF0000"/>
        </w:rPr>
        <w:t>）</w:t>
      </w:r>
      <w:r>
        <w:rPr>
          <w:color w:val="FF0000"/>
          <w:spacing w:val="-7"/>
          <w:w w:val="95"/>
          <w:sz w:val="20"/>
          <w:u w:val="double" w:color="FF0000"/>
        </w:rPr>
        <w:t>、生产工人工资比例法</w:t>
      </w:r>
      <w:r>
        <w:rPr>
          <w:color w:val="FF0000"/>
          <w:w w:val="95"/>
          <w:sz w:val="20"/>
          <w:u w:val="double" w:color="FF0000"/>
        </w:rPr>
        <w:t>（或生产工资</w:t>
      </w:r>
      <w:r>
        <w:rPr>
          <w:color w:val="FF0000"/>
          <w:spacing w:val="-198"/>
          <w:w w:val="95"/>
          <w:sz w:val="20"/>
          <w:u w:val="double" w:color="FF0000"/>
        </w:rPr>
        <w:t>比</w:t>
      </w:r>
      <w:r>
        <w:rPr>
          <w:color w:val="FF0000"/>
          <w:spacing w:val="182"/>
          <w:w w:val="95"/>
          <w:sz w:val="20"/>
          <w:u w:val="double" w:color="FF0000"/>
        </w:rPr>
        <w:t xml:space="preserve"> </w:t>
      </w:r>
      <w:r>
        <w:rPr>
          <w:color w:val="FF0000"/>
          <w:sz w:val="20"/>
          <w:u w:val="double" w:color="FF0000"/>
        </w:rPr>
        <w:t>例法</w:t>
      </w:r>
      <w:r>
        <w:rPr>
          <w:color w:val="FF0000"/>
          <w:spacing w:val="-99"/>
          <w:sz w:val="20"/>
          <w:u w:val="double" w:color="FF0000"/>
        </w:rPr>
        <w:t>）</w:t>
      </w:r>
      <w:r>
        <w:rPr>
          <w:color w:val="FF0000"/>
          <w:sz w:val="20"/>
          <w:u w:val="double" w:color="FF0000"/>
        </w:rPr>
        <w:t>、机器工时比例法和按年度计划分配率分配法</w:t>
      </w:r>
      <w:r>
        <w:rPr>
          <w:sz w:val="20"/>
        </w:rPr>
        <w:t>等。</w:t>
      </w:r>
    </w:p>
    <w:p>
      <w:pPr>
        <w:pStyle w:val="6"/>
        <w:spacing w:before="2"/>
      </w:pPr>
      <w:r>
        <w:t>制造费用分配率=制造费用总额÷各产品分配标准之和</w:t>
      </w:r>
    </w:p>
    <w:p>
      <w:pPr>
        <w:pStyle w:val="6"/>
      </w:pPr>
      <w:r>
        <w:t>某种产品应分配的制造费用=该种产品分配标准×制造费用分配率</w:t>
      </w:r>
    </w:p>
    <w:p>
      <w:pPr>
        <w:pStyle w:val="6"/>
      </w:pPr>
      <w:r>
        <w:t>【</w:t>
      </w:r>
      <w:r>
        <w:rPr>
          <w:color w:val="FF0000"/>
          <w:u w:val="double" w:color="FF0000"/>
        </w:rPr>
        <w:t>提示</w:t>
      </w:r>
      <w:r>
        <w:t>】1.分配方法已经确定，不得随意变更，如需变更，应当在附注中说明。</w:t>
      </w:r>
    </w:p>
    <w:p>
      <w:pPr>
        <w:pStyle w:val="6"/>
      </w:pPr>
      <w:r>
        <w:t>2.制造费用应当</w:t>
      </w:r>
      <w:r>
        <w:rPr>
          <w:color w:val="FF0000"/>
          <w:u w:val="double" w:color="FF0000"/>
        </w:rPr>
        <w:t>按照车间分别进行</w:t>
      </w:r>
      <w:r>
        <w:t>，不应将各车间的制造费用汇总，在企业范围内统一分配。</w:t>
      </w:r>
    </w:p>
    <w:p>
      <w:pPr>
        <w:pStyle w:val="5"/>
        <w:spacing w:before="68"/>
      </w:pPr>
      <w:r>
        <w:t>（六）废品损失和停工损失</w:t>
      </w:r>
    </w:p>
    <w:p>
      <w:pPr>
        <w:pStyle w:val="13"/>
        <w:numPr>
          <w:ilvl w:val="0"/>
          <w:numId w:val="118"/>
        </w:numPr>
        <w:tabs>
          <w:tab w:val="left" w:pos="925"/>
        </w:tabs>
        <w:spacing w:before="70" w:after="0" w:line="304" w:lineRule="auto"/>
        <w:ind w:left="322" w:right="739" w:firstLine="400"/>
        <w:jc w:val="left"/>
        <w:rPr>
          <w:sz w:val="18"/>
        </w:rPr>
      </w:pPr>
      <w:r>
        <w:rPr>
          <w:w w:val="95"/>
          <w:sz w:val="20"/>
        </w:rPr>
        <w:t>废品损失的核算:废品损失是指</w:t>
      </w:r>
      <w:r>
        <w:rPr>
          <w:b/>
          <w:color w:val="00AFEF"/>
          <w:w w:val="95"/>
          <w:sz w:val="20"/>
          <w:u w:val="single" w:color="00AFEF"/>
        </w:rPr>
        <w:t xml:space="preserve">在生产过程中发生的和入库后发现的不可修复废品的生产成本以及可修复   </w:t>
      </w:r>
      <w:r>
        <w:rPr>
          <w:b/>
          <w:color w:val="00AFEF"/>
          <w:sz w:val="20"/>
          <w:u w:val="single" w:color="00AFEF"/>
        </w:rPr>
        <w:t>废品的修复费用</w:t>
      </w:r>
      <w:r>
        <w:rPr>
          <w:sz w:val="20"/>
        </w:rPr>
        <w:t>，扣除回收的废品残料价值和应收赔款以后的损失。</w:t>
      </w:r>
    </w:p>
    <w:p>
      <w:pPr>
        <w:pStyle w:val="6"/>
        <w:spacing w:before="2"/>
      </w:pPr>
      <w:r>
        <w:rPr>
          <w:spacing w:val="-15"/>
          <w:w w:val="99"/>
        </w:rPr>
        <w:t>废品损失包括：</w:t>
      </w:r>
      <w:r>
        <w:rPr>
          <w:color w:val="FF0000"/>
          <w:w w:val="99"/>
          <w:u w:val="double" w:color="FF0000"/>
        </w:rPr>
        <w:t>（</w:t>
      </w:r>
      <w:r>
        <w:rPr>
          <w:color w:val="FF0000"/>
          <w:spacing w:val="1"/>
          <w:w w:val="99"/>
          <w:u w:val="double" w:color="FF0000"/>
        </w:rPr>
        <w:t>1</w:t>
      </w:r>
      <w:r>
        <w:rPr>
          <w:color w:val="FF0000"/>
          <w:w w:val="99"/>
          <w:u w:val="double" w:color="FF0000"/>
        </w:rPr>
        <w:t>）不可修复废品的生产成本；</w:t>
      </w:r>
    </w:p>
    <w:p>
      <w:pPr>
        <w:pStyle w:val="6"/>
        <w:ind w:left="0" w:right="1762"/>
        <w:jc w:val="right"/>
      </w:pPr>
      <w:r>
        <w:rPr>
          <w:color w:val="FF0000"/>
          <w:w w:val="95"/>
          <w:u w:val="double" w:color="FF0000"/>
        </w:rPr>
        <w:t>（2）可修复废品的修复费用，扣除回收的废品残料价值和应收赔款以后的损失。</w:t>
      </w:r>
    </w:p>
    <w:p>
      <w:pPr>
        <w:pStyle w:val="6"/>
        <w:ind w:left="0" w:right="1860"/>
        <w:jc w:val="right"/>
      </w:pPr>
      <w:r>
        <mc:AlternateContent>
          <mc:Choice Requires="wps">
            <w:drawing>
              <wp:anchor distT="0" distB="0" distL="114300" distR="114300" simplePos="0" relativeHeight="482509824" behindDoc="1" locked="0" layoutInCell="1" allowOverlap="1">
                <wp:simplePos x="0" y="0"/>
                <wp:positionH relativeFrom="page">
                  <wp:posOffset>1068705</wp:posOffset>
                </wp:positionH>
                <wp:positionV relativeFrom="paragraph">
                  <wp:posOffset>181610</wp:posOffset>
                </wp:positionV>
                <wp:extent cx="251460" cy="5715"/>
                <wp:effectExtent l="0" t="0" r="0" b="0"/>
                <wp:wrapNone/>
                <wp:docPr id="326" name="任意多边形 275"/>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75" o:spid="_x0000_s1026" o:spt="100" style="position:absolute;left:0pt;margin-left:84.15pt;margin-top:14.3pt;height:0.45pt;width:19.8pt;mso-position-horizontal-relative:page;z-index:-20806656;mso-width-relative:page;mso-height-relative:page;" filled="f" stroked="t" coordsize="396,9" o:gfxdata="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c5+A+2QAA&#10;AAkBAAAPAAAAAAAAAAEAIAAAACIAAABkcnMvZG93bnJldi54bWxQSwECFAAUAAAACACHTuJAYz92&#10;QY8CAABXBwAADgAAAAAAAAABACAAAAAoAQAAZHJzL2Uyb0RvYy54bWxQSwUGAAAAAAYABgBZAQAA&#10;KQ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9"/>
        </w:rPr>
        <w:t>【</w:t>
      </w:r>
      <w:r>
        <w:rPr>
          <w:b/>
          <w:color w:val="00AFEF"/>
          <w:spacing w:val="1"/>
          <w:w w:val="99"/>
        </w:rPr>
        <w:t>提示</w:t>
      </w:r>
      <w:r>
        <w:rPr>
          <w:spacing w:val="2"/>
          <w:w w:val="99"/>
        </w:rPr>
        <w:t>】</w:t>
      </w:r>
      <w:r>
        <w:rPr>
          <w:color w:val="FF0000"/>
          <w:w w:val="99"/>
          <w:u w:val="double" w:color="FF0000"/>
        </w:rPr>
        <w:t>废品损失不包括</w:t>
      </w:r>
      <w:r>
        <w:rPr>
          <w:spacing w:val="-99"/>
          <w:w w:val="99"/>
        </w:rPr>
        <w:t>：</w:t>
      </w:r>
      <w:r>
        <w:rPr>
          <w:w w:val="99"/>
        </w:rPr>
        <w:t>（</w:t>
      </w:r>
      <w:r>
        <w:rPr>
          <w:spacing w:val="1"/>
          <w:w w:val="99"/>
        </w:rPr>
        <w:t>1</w:t>
      </w:r>
      <w:r>
        <w:rPr>
          <w:w w:val="99"/>
        </w:rPr>
        <w:t>）经质量检验部门鉴定不需要返修，可以降价出售的不合格品；</w:t>
      </w:r>
    </w:p>
    <w:p>
      <w:pPr>
        <w:pStyle w:val="6"/>
        <w:spacing w:before="68" w:line="304" w:lineRule="auto"/>
        <w:ind w:right="621"/>
        <w:rPr>
          <w:b/>
        </w:rPr>
      </w:pPr>
      <w:r>
        <w:rPr>
          <w:w w:val="99"/>
        </w:rPr>
        <w:t>（</w:t>
      </w:r>
      <w:r>
        <w:rPr>
          <w:spacing w:val="1"/>
          <w:w w:val="99"/>
        </w:rPr>
        <w:t>2</w:t>
      </w:r>
      <w:r>
        <w:rPr>
          <w:spacing w:val="-12"/>
          <w:w w:val="99"/>
        </w:rPr>
        <w:t>）</w:t>
      </w:r>
      <w:r>
        <w:rPr>
          <w:w w:val="99"/>
        </w:rPr>
        <w:t>产品入库后由于保管不善等原因而损坏变质的产品</w:t>
      </w:r>
      <w:r>
        <w:rPr>
          <w:spacing w:val="-113"/>
          <w:w w:val="99"/>
        </w:rPr>
        <w:t>；</w:t>
      </w:r>
      <w:r>
        <w:rPr>
          <w:spacing w:val="2"/>
          <w:w w:val="99"/>
        </w:rPr>
        <w:t>（</w:t>
      </w:r>
      <w:r>
        <w:rPr>
          <w:spacing w:val="-2"/>
          <w:w w:val="99"/>
        </w:rPr>
        <w:t>3</w:t>
      </w:r>
      <w:r>
        <w:rPr>
          <w:spacing w:val="-10"/>
          <w:w w:val="99"/>
        </w:rPr>
        <w:t>）</w:t>
      </w:r>
      <w:r>
        <w:rPr>
          <w:spacing w:val="-5"/>
          <w:w w:val="99"/>
        </w:rPr>
        <w:t xml:space="preserve">实行“三包”企业在产品出售后发现的废品。 </w:t>
      </w:r>
      <w:r>
        <w:rPr>
          <w:b/>
        </w:rPr>
        <w:t>1.不可修复废品损失:</w:t>
      </w:r>
    </w:p>
    <w:p>
      <w:pPr>
        <w:pStyle w:val="6"/>
        <w:spacing w:before="2"/>
      </w:pPr>
      <w:r>
        <w:t>不可修复废品损失的生产成本，可按废品所耗实际费用计算，也可按废品所耗定额费用计算。</w:t>
      </w:r>
    </w:p>
    <w:p>
      <w:pPr>
        <w:spacing w:after="0"/>
        <w:sectPr>
          <w:pgSz w:w="11910" w:h="16160"/>
          <w:pgMar w:top="1680" w:right="360" w:bottom="860" w:left="760" w:header="0" w:footer="548" w:gutter="0"/>
        </w:sectPr>
      </w:pPr>
    </w:p>
    <w:p>
      <w:pPr>
        <w:pStyle w:val="6"/>
        <w:spacing w:before="11"/>
        <w:ind w:left="0"/>
        <w:rPr>
          <w:sz w:val="13"/>
        </w:rPr>
      </w:pPr>
    </w:p>
    <w:p>
      <w:pPr>
        <w:pStyle w:val="13"/>
        <w:numPr>
          <w:ilvl w:val="0"/>
          <w:numId w:val="119"/>
        </w:numPr>
        <w:tabs>
          <w:tab w:val="left" w:pos="1224"/>
        </w:tabs>
        <w:spacing w:before="71" w:after="0" w:line="304" w:lineRule="auto"/>
        <w:ind w:left="322" w:right="621" w:firstLine="400"/>
        <w:jc w:val="left"/>
        <w:rPr>
          <w:sz w:val="20"/>
        </w:rPr>
      </w:pPr>
      <w:r>
        <w:rPr>
          <w:sz w:val="20"/>
        </w:rPr>
        <w:t>废品损失采用按废品所耗实际费用计算时，要将废品报废前与合格品计算在一起的各项费用，采用适</w:t>
      </w:r>
      <w:r>
        <w:rPr>
          <w:w w:val="95"/>
          <w:sz w:val="20"/>
        </w:rPr>
        <w:t>当的分配方法在</w:t>
      </w:r>
      <w:r>
        <w:rPr>
          <w:color w:val="FF0000"/>
          <w:w w:val="95"/>
          <w:sz w:val="20"/>
          <w:u w:val="double" w:color="FF0000"/>
        </w:rPr>
        <w:t>合格品与废品之间进行分配</w:t>
      </w:r>
      <w:r>
        <w:rPr>
          <w:spacing w:val="-14"/>
          <w:w w:val="95"/>
          <w:sz w:val="20"/>
        </w:rPr>
        <w:t xml:space="preserve">，计算出废品的实际成本，从“生产成本”科目贷方转入“废品损失”    </w:t>
      </w:r>
      <w:r>
        <w:rPr>
          <w:spacing w:val="-9"/>
          <w:sz w:val="20"/>
        </w:rPr>
        <w:t>科目借方。如果废品是在</w:t>
      </w:r>
      <w:r>
        <w:rPr>
          <w:color w:val="FF0000"/>
          <w:sz w:val="20"/>
          <w:u w:val="double" w:color="FF0000"/>
        </w:rPr>
        <w:t>完工以后发现</w:t>
      </w:r>
      <w:r>
        <w:rPr>
          <w:spacing w:val="-10"/>
          <w:sz w:val="20"/>
        </w:rPr>
        <w:t>的，</w:t>
      </w:r>
      <w:r>
        <w:rPr>
          <w:color w:val="FF0000"/>
          <w:sz w:val="20"/>
          <w:u w:val="double" w:color="FF0000"/>
        </w:rPr>
        <w:t>单位废品负担的各项生产费用应与单位合格产品完全相同</w:t>
      </w:r>
      <w:r>
        <w:rPr>
          <w:spacing w:val="-5"/>
          <w:sz w:val="20"/>
        </w:rPr>
        <w:t>，可按合格品产量和废品的数量比例分配各项生产费用，计算废品的实际成本。</w:t>
      </w:r>
    </w:p>
    <w:p>
      <w:pPr>
        <w:pStyle w:val="13"/>
        <w:numPr>
          <w:ilvl w:val="0"/>
          <w:numId w:val="119"/>
        </w:numPr>
        <w:tabs>
          <w:tab w:val="left" w:pos="1224"/>
        </w:tabs>
        <w:spacing w:before="4" w:after="0" w:line="302" w:lineRule="auto"/>
        <w:ind w:left="322" w:right="763" w:firstLine="400"/>
        <w:jc w:val="left"/>
        <w:rPr>
          <w:sz w:val="20"/>
        </w:rPr>
      </w:pPr>
      <w:r>
        <w:rPr>
          <w:w w:val="95"/>
          <w:sz w:val="20"/>
        </w:rPr>
        <w:t>废品损失采用按</w:t>
      </w:r>
      <w:r>
        <w:rPr>
          <w:color w:val="FF0000"/>
          <w:w w:val="95"/>
          <w:sz w:val="20"/>
          <w:u w:val="double" w:color="FF0000"/>
        </w:rPr>
        <w:t>废品所耗定额费用</w:t>
      </w:r>
      <w:r>
        <w:rPr>
          <w:w w:val="95"/>
          <w:sz w:val="20"/>
        </w:rPr>
        <w:t xml:space="preserve">计算不可修复废品成本时，废品的生产成本是按废品数量和各项费   </w:t>
      </w:r>
      <w:r>
        <w:rPr>
          <w:sz w:val="20"/>
        </w:rPr>
        <w:t>用定额计算的，</w:t>
      </w:r>
      <w:r>
        <w:rPr>
          <w:color w:val="FF0000"/>
          <w:sz w:val="20"/>
          <w:u w:val="double" w:color="FF0000"/>
        </w:rPr>
        <w:t>不需要考虑废品实际发生的生产费用。</w:t>
      </w:r>
    </w:p>
    <w:p>
      <w:pPr>
        <w:pStyle w:val="5"/>
        <w:numPr>
          <w:ilvl w:val="0"/>
          <w:numId w:val="118"/>
        </w:numPr>
        <w:tabs>
          <w:tab w:val="left" w:pos="925"/>
        </w:tabs>
        <w:spacing w:before="4" w:after="0" w:line="240" w:lineRule="auto"/>
        <w:ind w:left="924" w:right="0" w:hanging="202"/>
        <w:jc w:val="left"/>
        <w:rPr>
          <w:sz w:val="18"/>
        </w:rPr>
      </w:pPr>
      <w:r>
        <w:t>可修复废品损失</w:t>
      </w:r>
    </w:p>
    <w:p>
      <w:pPr>
        <w:pStyle w:val="6"/>
        <w:spacing w:before="71" w:line="304" w:lineRule="auto"/>
        <w:ind w:left="322" w:right="662" w:firstLine="400"/>
        <w:jc w:val="both"/>
      </w:pPr>
      <w:r>
        <w:rPr>
          <w:w w:val="95"/>
        </w:rPr>
        <w:t>可修复</w:t>
      </w:r>
      <w:r>
        <w:rPr>
          <w:color w:val="FF0000"/>
          <w:w w:val="95"/>
          <w:u w:val="double" w:color="FF0000"/>
        </w:rPr>
        <w:t>废品返修以前发生的生产费用，不是废品损失</w:t>
      </w:r>
      <w:r>
        <w:rPr>
          <w:w w:val="95"/>
        </w:rPr>
        <w:t xml:space="preserve">，不需要计算其生产成本，而应留在“基本生产成本”   </w:t>
      </w:r>
      <w:r>
        <w:rPr>
          <w:spacing w:val="-2"/>
        </w:rPr>
        <w:t>科目和所属有关产品成本明细账中，不需要转出。</w:t>
      </w:r>
      <w:r>
        <w:rPr>
          <w:color w:val="FF0000"/>
          <w:u w:val="double" w:color="FF0000"/>
        </w:rPr>
        <w:t>返修发生</w:t>
      </w:r>
      <w:r>
        <w:rPr>
          <w:spacing w:val="-4"/>
        </w:rPr>
        <w:t>的各种费用，应根据各种费用分配表，记入“废品损</w:t>
      </w:r>
      <w:r>
        <w:rPr>
          <w:spacing w:val="-9"/>
        </w:rPr>
        <w:t>失”科目的借方；修复完毕再转入“基本生产成本”。</w:t>
      </w:r>
    </w:p>
    <w:p>
      <w:pPr>
        <w:pStyle w:val="6"/>
        <w:spacing w:before="2"/>
      </w:pPr>
      <w:r>
        <w:t>2.停工损失的核算</w:t>
      </w:r>
    </w:p>
    <w:p>
      <w:pPr>
        <w:pStyle w:val="6"/>
        <w:spacing w:before="68" w:line="304" w:lineRule="auto"/>
        <w:ind w:left="322" w:right="722" w:firstLine="400"/>
      </w:pPr>
      <w:r>
        <w:rPr>
          <w:w w:val="95"/>
        </w:rPr>
        <w:t>停工损失是指生产车间或车间内某个班组在</w:t>
      </w:r>
      <w:r>
        <w:rPr>
          <w:color w:val="FF0000"/>
          <w:spacing w:val="-4"/>
          <w:w w:val="95"/>
          <w:u w:val="double" w:color="FF0000"/>
        </w:rPr>
        <w:t>停工期间发生的各项费用，包括停工期间发生的原材料费用、人</w:t>
      </w:r>
      <w:r>
        <w:rPr>
          <w:color w:val="FF0000"/>
          <w:spacing w:val="-199"/>
          <w:w w:val="95"/>
          <w:u w:val="double" w:color="FF0000"/>
        </w:rPr>
        <w:t>工</w:t>
      </w:r>
      <w:r>
        <w:rPr>
          <w:color w:val="FF0000"/>
          <w:spacing w:val="189"/>
          <w:w w:val="95"/>
          <w:u w:val="double" w:color="FF0000"/>
        </w:rPr>
        <w:t xml:space="preserve"> </w:t>
      </w:r>
      <w:r>
        <w:rPr>
          <w:color w:val="FF0000"/>
          <w:u w:val="double" w:color="FF0000"/>
        </w:rPr>
        <w:t>费用和制造费用</w:t>
      </w:r>
      <w:r>
        <w:t>等。应由过失单位或保险公司负担的</w:t>
      </w:r>
      <w:r>
        <w:rPr>
          <w:color w:val="FF0000"/>
          <w:u w:val="double" w:color="FF0000"/>
        </w:rPr>
        <w:t>赔款</w:t>
      </w:r>
      <w:r>
        <w:t>，应从停工损失中</w:t>
      </w:r>
      <w:r>
        <w:rPr>
          <w:color w:val="FF0000"/>
          <w:u w:val="double" w:color="FF0000"/>
        </w:rPr>
        <w:t>扣除</w:t>
      </w:r>
      <w:r>
        <w:t>。</w:t>
      </w:r>
    </w:p>
    <w:p>
      <w:pPr>
        <w:pStyle w:val="6"/>
        <w:spacing w:before="2" w:line="304" w:lineRule="auto"/>
        <w:ind w:left="322" w:right="720" w:firstLine="400"/>
      </w:pPr>
      <w:r>
        <w:rPr>
          <w:spacing w:val="-6"/>
          <w:w w:val="95"/>
        </w:rPr>
        <w:t xml:space="preserve">不单独核算停工损失的企业，不设立“停工损失”科目，直接反映在“制造费用”和“营业外支出”等科目   </w:t>
      </w:r>
      <w:r>
        <w:rPr>
          <w:spacing w:val="-6"/>
        </w:rPr>
        <w:t>中。辅助生产一般不单独核算停工损失。</w:t>
      </w:r>
    </w:p>
    <w:p>
      <w:pPr>
        <w:pStyle w:val="6"/>
        <w:spacing w:before="2" w:line="304" w:lineRule="auto"/>
        <w:ind w:left="322" w:right="621" w:firstLine="400"/>
      </w:pPr>
      <w:r>
        <mc:AlternateContent>
          <mc:Choice Requires="wps">
            <w:drawing>
              <wp:anchor distT="0" distB="0" distL="114300" distR="114300" simplePos="0" relativeHeight="15877120" behindDoc="0" locked="0" layoutInCell="1" allowOverlap="1">
                <wp:simplePos x="0" y="0"/>
                <wp:positionH relativeFrom="page">
                  <wp:posOffset>615950</wp:posOffset>
                </wp:positionH>
                <wp:positionV relativeFrom="paragraph">
                  <wp:posOffset>370840</wp:posOffset>
                </wp:positionV>
                <wp:extent cx="6353810" cy="1687830"/>
                <wp:effectExtent l="0" t="0" r="0" b="0"/>
                <wp:wrapNone/>
                <wp:docPr id="167" name="文本框 276"/>
                <wp:cNvGraphicFramePr/>
                <a:graphic xmlns:a="http://schemas.openxmlformats.org/drawingml/2006/main">
                  <a:graphicData uri="http://schemas.microsoft.com/office/word/2010/wordprocessingShape">
                    <wps:wsp>
                      <wps:cNvSpPr txBox="1"/>
                      <wps:spPr>
                        <a:xfrm>
                          <a:off x="0" y="0"/>
                          <a:ext cx="6353810" cy="168783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06"/>
                              <w:gridCol w:w="3775"/>
                              <w:gridCol w:w="43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906" w:type="dxa"/>
                                  <w:vMerge w:val="restart"/>
                                </w:tcPr>
                                <w:p>
                                  <w:pPr>
                                    <w:pStyle w:val="14"/>
                                    <w:rPr>
                                      <w:sz w:val="20"/>
                                    </w:rPr>
                                  </w:pPr>
                                </w:p>
                                <w:p>
                                  <w:pPr>
                                    <w:pStyle w:val="14"/>
                                    <w:spacing w:before="11"/>
                                    <w:rPr>
                                      <w:sz w:val="23"/>
                                    </w:rPr>
                                  </w:pPr>
                                </w:p>
                                <w:p>
                                  <w:pPr>
                                    <w:pStyle w:val="14"/>
                                    <w:ind w:left="553"/>
                                    <w:rPr>
                                      <w:sz w:val="20"/>
                                    </w:rPr>
                                  </w:pPr>
                                  <w:r>
                                    <w:rPr>
                                      <w:sz w:val="20"/>
                                    </w:rPr>
                                    <w:t>停工损失分类</w:t>
                                  </w:r>
                                </w:p>
                              </w:tc>
                              <w:tc>
                                <w:tcPr>
                                  <w:tcW w:w="3775" w:type="dxa"/>
                                </w:tcPr>
                                <w:p>
                                  <w:pPr>
                                    <w:pStyle w:val="14"/>
                                    <w:rPr>
                                      <w:sz w:val="18"/>
                                    </w:rPr>
                                  </w:pPr>
                                </w:p>
                                <w:p>
                                  <w:pPr>
                                    <w:pStyle w:val="14"/>
                                    <w:ind w:right="1278"/>
                                    <w:jc w:val="right"/>
                                    <w:rPr>
                                      <w:sz w:val="20"/>
                                    </w:rPr>
                                  </w:pPr>
                                  <w:r>
                                    <w:rPr>
                                      <w:w w:val="95"/>
                                      <w:sz w:val="20"/>
                                    </w:rPr>
                                    <w:t>正常停工</w:t>
                                  </w:r>
                                </w:p>
                              </w:tc>
                              <w:tc>
                                <w:tcPr>
                                  <w:tcW w:w="4310" w:type="dxa"/>
                                </w:tcPr>
                                <w:p>
                                  <w:pPr>
                                    <w:pStyle w:val="14"/>
                                    <w:spacing w:before="6" w:line="320" w:lineRule="atLeast"/>
                                    <w:ind w:left="106" w:firstLine="400"/>
                                    <w:rPr>
                                      <w:sz w:val="20"/>
                                    </w:rPr>
                                  </w:pPr>
                                  <w:r>
                                    <w:rPr>
                                      <w:spacing w:val="-2"/>
                                      <w:sz w:val="20"/>
                                    </w:rPr>
                                    <w:t>包括季节性停工、正常生产周期间的停工、</w:t>
                                  </w:r>
                                  <w:r>
                                    <w:rPr>
                                      <w:sz w:val="20"/>
                                    </w:rPr>
                                    <w:t>计划内减产停工等；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906" w:type="dxa"/>
                                  <w:vMerge w:val="continue"/>
                                  <w:tcBorders>
                                    <w:top w:val="nil"/>
                                  </w:tcBorders>
                                </w:tcPr>
                                <w:p>
                                  <w:pPr>
                                    <w:rPr>
                                      <w:sz w:val="2"/>
                                      <w:szCs w:val="2"/>
                                    </w:rPr>
                                  </w:pPr>
                                </w:p>
                              </w:tc>
                              <w:tc>
                                <w:tcPr>
                                  <w:tcW w:w="3775" w:type="dxa"/>
                                </w:tcPr>
                                <w:p>
                                  <w:pPr>
                                    <w:pStyle w:val="14"/>
                                    <w:rPr>
                                      <w:sz w:val="18"/>
                                    </w:rPr>
                                  </w:pPr>
                                </w:p>
                                <w:p>
                                  <w:pPr>
                                    <w:pStyle w:val="14"/>
                                    <w:ind w:right="1177"/>
                                    <w:jc w:val="right"/>
                                    <w:rPr>
                                      <w:sz w:val="20"/>
                                    </w:rPr>
                                  </w:pPr>
                                  <w:r>
                                    <w:rPr>
                                      <w:w w:val="95"/>
                                      <w:sz w:val="20"/>
                                    </w:rPr>
                                    <w:t>非正常停工</w:t>
                                  </w:r>
                                </w:p>
                              </w:tc>
                              <w:tc>
                                <w:tcPr>
                                  <w:tcW w:w="4310" w:type="dxa"/>
                                </w:tcPr>
                                <w:p>
                                  <w:pPr>
                                    <w:pStyle w:val="14"/>
                                    <w:spacing w:before="7" w:line="326" w:lineRule="exact"/>
                                    <w:ind w:left="106" w:right="190" w:firstLine="400"/>
                                    <w:rPr>
                                      <w:sz w:val="20"/>
                                    </w:rPr>
                                  </w:pPr>
                                  <w:r>
                                    <w:rPr>
                                      <w:sz w:val="20"/>
                                    </w:rPr>
                                    <w:t>包括原材料或工具短缺停工、设备故障停工、电力中断停工、自然灾害停工等。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906" w:type="dxa"/>
                                </w:tcPr>
                                <w:p>
                                  <w:pPr>
                                    <w:pStyle w:val="14"/>
                                    <w:spacing w:before="6"/>
                                    <w:rPr>
                                      <w:sz w:val="17"/>
                                    </w:rPr>
                                  </w:pPr>
                                </w:p>
                                <w:p>
                                  <w:pPr>
                                    <w:pStyle w:val="14"/>
                                    <w:spacing w:before="1"/>
                                    <w:ind w:right="342"/>
                                    <w:jc w:val="right"/>
                                    <w:rPr>
                                      <w:sz w:val="20"/>
                                    </w:rPr>
                                  </w:pPr>
                                  <w:r>
                                    <w:rPr>
                                      <w:w w:val="95"/>
                                      <w:sz w:val="20"/>
                                    </w:rPr>
                                    <w:t>账务处理</w:t>
                                  </w:r>
                                </w:p>
                              </w:tc>
                              <w:tc>
                                <w:tcPr>
                                  <w:tcW w:w="8085" w:type="dxa"/>
                                  <w:gridSpan w:val="2"/>
                                </w:tcPr>
                                <w:p>
                                  <w:pPr>
                                    <w:pStyle w:val="14"/>
                                    <w:spacing w:before="61"/>
                                    <w:ind w:left="507"/>
                                    <w:rPr>
                                      <w:sz w:val="20"/>
                                    </w:rPr>
                                  </w:pPr>
                                  <w:r>
                                    <w:rPr>
                                      <w:sz w:val="20"/>
                                    </w:rPr>
                                    <w:t>①季节性停工、修理期间的正常停工费用在产品成本核算范围内，应计入产品成本；</w:t>
                                  </w:r>
                                </w:p>
                                <w:p>
                                  <w:pPr>
                                    <w:pStyle w:val="14"/>
                                    <w:spacing w:before="70" w:line="237" w:lineRule="exact"/>
                                    <w:ind w:left="106"/>
                                    <w:rPr>
                                      <w:sz w:val="20"/>
                                    </w:rPr>
                                  </w:pPr>
                                  <w:r>
                                    <w:rPr>
                                      <w:sz w:val="20"/>
                                    </w:rPr>
                                    <w:t>②非正常停工费用应计入企业当期损益。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906" w:type="dxa"/>
                                </w:tcPr>
                                <w:p>
                                  <w:pPr>
                                    <w:pStyle w:val="14"/>
                                    <w:spacing w:before="1"/>
                                    <w:rPr>
                                      <w:sz w:val="18"/>
                                    </w:rPr>
                                  </w:pPr>
                                </w:p>
                                <w:p>
                                  <w:pPr>
                                    <w:pStyle w:val="14"/>
                                    <w:ind w:right="243"/>
                                    <w:jc w:val="right"/>
                                    <w:rPr>
                                      <w:sz w:val="20"/>
                                    </w:rPr>
                                  </w:pPr>
                                  <w:r>
                                    <w:rPr>
                                      <w:w w:val="95"/>
                                      <w:sz w:val="20"/>
                                    </w:rPr>
                                    <w:t>不计算停工</w:t>
                                  </w:r>
                                </w:p>
                              </w:tc>
                              <w:tc>
                                <w:tcPr>
                                  <w:tcW w:w="8085" w:type="dxa"/>
                                  <w:gridSpan w:val="2"/>
                                </w:tcPr>
                                <w:p>
                                  <w:pPr>
                                    <w:pStyle w:val="14"/>
                                    <w:numPr>
                                      <w:ilvl w:val="0"/>
                                      <w:numId w:val="120"/>
                                    </w:numPr>
                                    <w:tabs>
                                      <w:tab w:val="left" w:pos="709"/>
                                    </w:tabs>
                                    <w:spacing w:before="69" w:after="0" w:line="240" w:lineRule="auto"/>
                                    <w:ind w:left="708" w:right="0" w:hanging="202"/>
                                    <w:jc w:val="left"/>
                                    <w:rPr>
                                      <w:sz w:val="20"/>
                                    </w:rPr>
                                  </w:pPr>
                                  <w:r>
                                    <w:rPr>
                                      <w:spacing w:val="-16"/>
                                      <w:sz w:val="20"/>
                                    </w:rPr>
                                    <w:t xml:space="preserve">不满 </w:t>
                                  </w:r>
                                  <w:r>
                                    <w:rPr>
                                      <w:sz w:val="20"/>
                                    </w:rPr>
                                    <w:t>1</w:t>
                                  </w:r>
                                  <w:r>
                                    <w:rPr>
                                      <w:spacing w:val="-8"/>
                                      <w:sz w:val="20"/>
                                    </w:rPr>
                                    <w:t xml:space="preserve"> 个工作日的停工，一般不计算停工损失；</w:t>
                                  </w:r>
                                </w:p>
                                <w:p>
                                  <w:pPr>
                                    <w:pStyle w:val="14"/>
                                    <w:numPr>
                                      <w:ilvl w:val="0"/>
                                      <w:numId w:val="120"/>
                                    </w:numPr>
                                    <w:tabs>
                                      <w:tab w:val="left" w:pos="309"/>
                                    </w:tabs>
                                    <w:spacing w:before="70" w:after="0" w:line="237" w:lineRule="exact"/>
                                    <w:ind w:left="308" w:right="0" w:hanging="203"/>
                                    <w:jc w:val="left"/>
                                    <w:rPr>
                                      <w:sz w:val="20"/>
                                    </w:rPr>
                                  </w:pPr>
                                  <w:r>
                                    <w:rPr>
                                      <w:sz w:val="20"/>
                                    </w:rPr>
                                    <w:t>辅助生产一般不单独核算停工损失；</w:t>
                                  </w:r>
                                </w:p>
                              </w:tc>
                            </w:tr>
                          </w:tbl>
                          <w:p>
                            <w:pPr>
                              <w:pStyle w:val="6"/>
                              <w:spacing w:before="0"/>
                              <w:ind w:left="0"/>
                            </w:pPr>
                          </w:p>
                        </w:txbxContent>
                      </wps:txbx>
                      <wps:bodyPr lIns="0" tIns="0" rIns="0" bIns="0" upright="1"/>
                    </wps:wsp>
                  </a:graphicData>
                </a:graphic>
              </wp:anchor>
            </w:drawing>
          </mc:Choice>
          <mc:Fallback>
            <w:pict>
              <v:shape id="文本框 276" o:spid="_x0000_s1026" o:spt="202" type="#_x0000_t202" style="position:absolute;left:0pt;margin-left:48.5pt;margin-top:29.2pt;height:132.9pt;width:500.3pt;mso-position-horizontal-relative:page;z-index:15877120;mso-width-relative:page;mso-height-relative:page;" filled="f" stroked="f" coordsize="21600,21600" o:gfxdata="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GG5la3aAAAACgEAAA8A&#10;AAAAAAAAAQAgAAAAIgAAAGRycy9kb3ducmV2LnhtbFBLAQIUABQAAAAIAIdO4kCaCJcxowEAACkD&#10;AAAOAAAAAAAAAAEAIAAAACk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06"/>
                        <w:gridCol w:w="3775"/>
                        <w:gridCol w:w="43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906" w:type="dxa"/>
                            <w:vMerge w:val="restart"/>
                          </w:tcPr>
                          <w:p>
                            <w:pPr>
                              <w:pStyle w:val="14"/>
                              <w:rPr>
                                <w:sz w:val="20"/>
                              </w:rPr>
                            </w:pPr>
                          </w:p>
                          <w:p>
                            <w:pPr>
                              <w:pStyle w:val="14"/>
                              <w:spacing w:before="11"/>
                              <w:rPr>
                                <w:sz w:val="23"/>
                              </w:rPr>
                            </w:pPr>
                          </w:p>
                          <w:p>
                            <w:pPr>
                              <w:pStyle w:val="14"/>
                              <w:ind w:left="553"/>
                              <w:rPr>
                                <w:sz w:val="20"/>
                              </w:rPr>
                            </w:pPr>
                            <w:r>
                              <w:rPr>
                                <w:sz w:val="20"/>
                              </w:rPr>
                              <w:t>停工损失分类</w:t>
                            </w:r>
                          </w:p>
                        </w:tc>
                        <w:tc>
                          <w:tcPr>
                            <w:tcW w:w="3775" w:type="dxa"/>
                          </w:tcPr>
                          <w:p>
                            <w:pPr>
                              <w:pStyle w:val="14"/>
                              <w:rPr>
                                <w:sz w:val="18"/>
                              </w:rPr>
                            </w:pPr>
                          </w:p>
                          <w:p>
                            <w:pPr>
                              <w:pStyle w:val="14"/>
                              <w:ind w:right="1278"/>
                              <w:jc w:val="right"/>
                              <w:rPr>
                                <w:sz w:val="20"/>
                              </w:rPr>
                            </w:pPr>
                            <w:r>
                              <w:rPr>
                                <w:w w:val="95"/>
                                <w:sz w:val="20"/>
                              </w:rPr>
                              <w:t>正常停工</w:t>
                            </w:r>
                          </w:p>
                        </w:tc>
                        <w:tc>
                          <w:tcPr>
                            <w:tcW w:w="4310" w:type="dxa"/>
                          </w:tcPr>
                          <w:p>
                            <w:pPr>
                              <w:pStyle w:val="14"/>
                              <w:spacing w:before="6" w:line="320" w:lineRule="atLeast"/>
                              <w:ind w:left="106" w:firstLine="400"/>
                              <w:rPr>
                                <w:sz w:val="20"/>
                              </w:rPr>
                            </w:pPr>
                            <w:r>
                              <w:rPr>
                                <w:spacing w:val="-2"/>
                                <w:sz w:val="20"/>
                              </w:rPr>
                              <w:t>包括季节性停工、正常生产周期间的停工、</w:t>
                            </w:r>
                            <w:r>
                              <w:rPr>
                                <w:sz w:val="20"/>
                              </w:rPr>
                              <w:t>计划内减产停工等；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906" w:type="dxa"/>
                            <w:vMerge w:val="continue"/>
                            <w:tcBorders>
                              <w:top w:val="nil"/>
                            </w:tcBorders>
                          </w:tcPr>
                          <w:p>
                            <w:pPr>
                              <w:rPr>
                                <w:sz w:val="2"/>
                                <w:szCs w:val="2"/>
                              </w:rPr>
                            </w:pPr>
                          </w:p>
                        </w:tc>
                        <w:tc>
                          <w:tcPr>
                            <w:tcW w:w="3775" w:type="dxa"/>
                          </w:tcPr>
                          <w:p>
                            <w:pPr>
                              <w:pStyle w:val="14"/>
                              <w:rPr>
                                <w:sz w:val="18"/>
                              </w:rPr>
                            </w:pPr>
                          </w:p>
                          <w:p>
                            <w:pPr>
                              <w:pStyle w:val="14"/>
                              <w:ind w:right="1177"/>
                              <w:jc w:val="right"/>
                              <w:rPr>
                                <w:sz w:val="20"/>
                              </w:rPr>
                            </w:pPr>
                            <w:r>
                              <w:rPr>
                                <w:w w:val="95"/>
                                <w:sz w:val="20"/>
                              </w:rPr>
                              <w:t>非正常停工</w:t>
                            </w:r>
                          </w:p>
                        </w:tc>
                        <w:tc>
                          <w:tcPr>
                            <w:tcW w:w="4310" w:type="dxa"/>
                          </w:tcPr>
                          <w:p>
                            <w:pPr>
                              <w:pStyle w:val="14"/>
                              <w:spacing w:before="7" w:line="326" w:lineRule="exact"/>
                              <w:ind w:left="106" w:right="190" w:firstLine="400"/>
                              <w:rPr>
                                <w:sz w:val="20"/>
                              </w:rPr>
                            </w:pPr>
                            <w:r>
                              <w:rPr>
                                <w:sz w:val="20"/>
                              </w:rPr>
                              <w:t>包括原材料或工具短缺停工、设备故障停工、电力中断停工、自然灾害停工等。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1906" w:type="dxa"/>
                          </w:tcPr>
                          <w:p>
                            <w:pPr>
                              <w:pStyle w:val="14"/>
                              <w:spacing w:before="6"/>
                              <w:rPr>
                                <w:sz w:val="17"/>
                              </w:rPr>
                            </w:pPr>
                          </w:p>
                          <w:p>
                            <w:pPr>
                              <w:pStyle w:val="14"/>
                              <w:spacing w:before="1"/>
                              <w:ind w:right="342"/>
                              <w:jc w:val="right"/>
                              <w:rPr>
                                <w:sz w:val="20"/>
                              </w:rPr>
                            </w:pPr>
                            <w:r>
                              <w:rPr>
                                <w:w w:val="95"/>
                                <w:sz w:val="20"/>
                              </w:rPr>
                              <w:t>账务处理</w:t>
                            </w:r>
                          </w:p>
                        </w:tc>
                        <w:tc>
                          <w:tcPr>
                            <w:tcW w:w="8085" w:type="dxa"/>
                            <w:gridSpan w:val="2"/>
                          </w:tcPr>
                          <w:p>
                            <w:pPr>
                              <w:pStyle w:val="14"/>
                              <w:spacing w:before="61"/>
                              <w:ind w:left="507"/>
                              <w:rPr>
                                <w:sz w:val="20"/>
                              </w:rPr>
                            </w:pPr>
                            <w:r>
                              <w:rPr>
                                <w:sz w:val="20"/>
                              </w:rPr>
                              <w:t>①季节性停工、修理期间的正常停工费用在产品成本核算范围内，应计入产品成本；</w:t>
                            </w:r>
                          </w:p>
                          <w:p>
                            <w:pPr>
                              <w:pStyle w:val="14"/>
                              <w:spacing w:before="70" w:line="237" w:lineRule="exact"/>
                              <w:ind w:left="106"/>
                              <w:rPr>
                                <w:sz w:val="20"/>
                              </w:rPr>
                            </w:pPr>
                            <w:r>
                              <w:rPr>
                                <w:sz w:val="20"/>
                              </w:rPr>
                              <w:t>②非正常停工费用应计入企业当期损益。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906" w:type="dxa"/>
                          </w:tcPr>
                          <w:p>
                            <w:pPr>
                              <w:pStyle w:val="14"/>
                              <w:spacing w:before="1"/>
                              <w:rPr>
                                <w:sz w:val="18"/>
                              </w:rPr>
                            </w:pPr>
                          </w:p>
                          <w:p>
                            <w:pPr>
                              <w:pStyle w:val="14"/>
                              <w:ind w:right="243"/>
                              <w:jc w:val="right"/>
                              <w:rPr>
                                <w:sz w:val="20"/>
                              </w:rPr>
                            </w:pPr>
                            <w:r>
                              <w:rPr>
                                <w:w w:val="95"/>
                                <w:sz w:val="20"/>
                              </w:rPr>
                              <w:t>不计算停工</w:t>
                            </w:r>
                          </w:p>
                        </w:tc>
                        <w:tc>
                          <w:tcPr>
                            <w:tcW w:w="8085" w:type="dxa"/>
                            <w:gridSpan w:val="2"/>
                          </w:tcPr>
                          <w:p>
                            <w:pPr>
                              <w:pStyle w:val="14"/>
                              <w:numPr>
                                <w:ilvl w:val="0"/>
                                <w:numId w:val="120"/>
                              </w:numPr>
                              <w:tabs>
                                <w:tab w:val="left" w:pos="709"/>
                              </w:tabs>
                              <w:spacing w:before="69" w:after="0" w:line="240" w:lineRule="auto"/>
                              <w:ind w:left="708" w:right="0" w:hanging="202"/>
                              <w:jc w:val="left"/>
                              <w:rPr>
                                <w:sz w:val="20"/>
                              </w:rPr>
                            </w:pPr>
                            <w:r>
                              <w:rPr>
                                <w:spacing w:val="-16"/>
                                <w:sz w:val="20"/>
                              </w:rPr>
                              <w:t xml:space="preserve">不满 </w:t>
                            </w:r>
                            <w:r>
                              <w:rPr>
                                <w:sz w:val="20"/>
                              </w:rPr>
                              <w:t>1</w:t>
                            </w:r>
                            <w:r>
                              <w:rPr>
                                <w:spacing w:val="-8"/>
                                <w:sz w:val="20"/>
                              </w:rPr>
                              <w:t xml:space="preserve"> 个工作日的停工，一般不计算停工损失；</w:t>
                            </w:r>
                          </w:p>
                          <w:p>
                            <w:pPr>
                              <w:pStyle w:val="14"/>
                              <w:numPr>
                                <w:ilvl w:val="0"/>
                                <w:numId w:val="120"/>
                              </w:numPr>
                              <w:tabs>
                                <w:tab w:val="left" w:pos="309"/>
                              </w:tabs>
                              <w:spacing w:before="70" w:after="0" w:line="237" w:lineRule="exact"/>
                              <w:ind w:left="308" w:right="0" w:hanging="203"/>
                              <w:jc w:val="left"/>
                              <w:rPr>
                                <w:sz w:val="20"/>
                              </w:rPr>
                            </w:pPr>
                            <w:r>
                              <w:rPr>
                                <w:sz w:val="20"/>
                              </w:rPr>
                              <w:t>辅助生产一般不单独核算停工损失；</w:t>
                            </w:r>
                          </w:p>
                        </w:tc>
                      </w:tr>
                    </w:tbl>
                    <w:p>
                      <w:pPr>
                        <w:pStyle w:val="6"/>
                        <w:spacing w:before="0"/>
                        <w:ind w:left="0"/>
                      </w:pPr>
                    </w:p>
                  </w:txbxContent>
                </v:textbox>
              </v:shape>
            </w:pict>
          </mc:Fallback>
        </mc:AlternateContent>
      </w:r>
      <w:r>
        <w:rPr>
          <w:spacing w:val="-7"/>
          <w:w w:val="95"/>
        </w:rPr>
        <w:t xml:space="preserve">季节性生产企业在停工期间发生的制造费用，应当在开工期间进行合理分摊，连同开工期间发生的制造费用，    </w:t>
      </w:r>
      <w:r>
        <w:rPr>
          <w:spacing w:val="-7"/>
        </w:rPr>
        <w:t>一并计入产品的生产成本。</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3"/>
        <w:ind w:left="0"/>
      </w:pPr>
      <w:r>
        <mc:AlternateContent>
          <mc:Choice Requires="wps">
            <w:drawing>
              <wp:anchor distT="0" distB="0" distL="0" distR="0" simplePos="0" relativeHeight="487735296" behindDoc="1" locked="0" layoutInCell="1" allowOverlap="1">
                <wp:simplePos x="0" y="0"/>
                <wp:positionH relativeFrom="page">
                  <wp:posOffset>954405</wp:posOffset>
                </wp:positionH>
                <wp:positionV relativeFrom="paragraph">
                  <wp:posOffset>179705</wp:posOffset>
                </wp:positionV>
                <wp:extent cx="3078480" cy="185420"/>
                <wp:effectExtent l="0" t="0" r="7620" b="5080"/>
                <wp:wrapTopAndBottom/>
                <wp:docPr id="359" name="文本框 277"/>
                <wp:cNvGraphicFramePr/>
                <a:graphic xmlns:a="http://schemas.openxmlformats.org/drawingml/2006/main">
                  <a:graphicData uri="http://schemas.microsoft.com/office/word/2010/wordprocessingShape">
                    <wps:wsp>
                      <wps:cNvSpPr txBox="1"/>
                      <wps:spPr>
                        <a:xfrm>
                          <a:off x="0" y="0"/>
                          <a:ext cx="3078480" cy="185420"/>
                        </a:xfrm>
                        <a:prstGeom prst="rect">
                          <a:avLst/>
                        </a:prstGeom>
                        <a:solidFill>
                          <a:srgbClr val="C0C0C0"/>
                        </a:solidFill>
                        <a:ln>
                          <a:noFill/>
                        </a:ln>
                      </wps:spPr>
                      <wps:txbx>
                        <w:txbxContent>
                          <w:p>
                            <w:pPr>
                              <w:spacing w:before="20"/>
                              <w:ind w:left="-1" w:right="0" w:firstLine="0"/>
                              <w:jc w:val="left"/>
                              <w:rPr>
                                <w:b/>
                                <w:sz w:val="21"/>
                              </w:rPr>
                            </w:pPr>
                            <w:bookmarkStart w:id="188" w:name="三、生产费用在完工产品和在产品之间的归集与分配"/>
                            <w:bookmarkEnd w:id="188"/>
                            <w:r>
                              <w:rPr>
                                <w:b/>
                                <w:sz w:val="21"/>
                              </w:rPr>
                              <w:t>三、生产费用在完工产品和在产品之间的归集与分配</w:t>
                            </w:r>
                          </w:p>
                        </w:txbxContent>
                      </wps:txbx>
                      <wps:bodyPr lIns="0" tIns="0" rIns="0" bIns="0" upright="1"/>
                    </wps:wsp>
                  </a:graphicData>
                </a:graphic>
              </wp:anchor>
            </w:drawing>
          </mc:Choice>
          <mc:Fallback>
            <w:pict>
              <v:shape id="文本框 277" o:spid="_x0000_s1026" o:spt="202" type="#_x0000_t202" style="position:absolute;left:0pt;margin-left:75.15pt;margin-top:14.15pt;height:14.6pt;width:242.4pt;mso-position-horizontal-relative:page;mso-wrap-distance-bottom:0pt;mso-wrap-distance-top:0pt;z-index:-15581184;mso-width-relative:page;mso-height-relative:page;" fillcolor="#C0C0C0" filled="t" stroked="f" coordsize="21600,21600" o:gfxdata="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92029kAAAAJAQAADwAAAAAAAAABACAAAAAiAAAAZHJzL2Rvd25yZXYueG1sUEsB&#10;AhQAFAAAAAgAh07iQMTvUD27AQAAUQMAAA4AAAAAAAAAAQAgAAAAKAEAAGRycy9lMm9Eb2MueG1s&#10;UEsFBgAAAAAGAAYAWQEAAFUFAAAAAA==&#10;">
                <v:fill on="t" focussize="0,0"/>
                <v:stroke on="f"/>
                <v:imagedata o:title=""/>
                <o:lock v:ext="edit" aspectratio="f"/>
                <v:textbox inset="0mm,0mm,0mm,0mm">
                  <w:txbxContent>
                    <w:p>
                      <w:pPr>
                        <w:spacing w:before="20"/>
                        <w:ind w:left="-1" w:right="0" w:firstLine="0"/>
                        <w:jc w:val="left"/>
                        <w:rPr>
                          <w:b/>
                          <w:sz w:val="21"/>
                        </w:rPr>
                      </w:pPr>
                      <w:bookmarkStart w:id="188" w:name="三、生产费用在完工产品和在产品之间的归集与分配"/>
                      <w:bookmarkEnd w:id="188"/>
                      <w:r>
                        <w:rPr>
                          <w:b/>
                          <w:sz w:val="21"/>
                        </w:rPr>
                        <w:t>三、生产费用在完工产品和在产品之间的归集与分配</w:t>
                      </w:r>
                    </w:p>
                  </w:txbxContent>
                </v:textbox>
                <w10:wrap type="topAndBottom"/>
              </v:shape>
            </w:pict>
          </mc:Fallback>
        </mc:AlternateContent>
      </w:r>
    </w:p>
    <w:p>
      <w:pPr>
        <w:pStyle w:val="5"/>
        <w:spacing w:before="74"/>
      </w:pPr>
      <w:r>
        <w:t>（一）在产品数量的核算</w:t>
      </w:r>
    </w:p>
    <w:p>
      <w:pPr>
        <w:pStyle w:val="5"/>
        <w:rPr>
          <w:b w:val="0"/>
        </w:rPr>
      </w:pPr>
      <w:r>
        <w:rPr>
          <w:b w:val="0"/>
        </w:rPr>
        <w:t>在产品数量是</w:t>
      </w:r>
      <w:r>
        <w:rPr>
          <w:color w:val="00AFEF"/>
          <w:u w:val="single" w:color="00AFEF"/>
        </w:rPr>
        <w:t>核算在产品成本的基础，在产品成本与完工产品成本之和就是产品的生产费用总额</w:t>
      </w:r>
      <w:r>
        <w:rPr>
          <w:b w:val="0"/>
        </w:rPr>
        <w:t>。</w:t>
      </w:r>
    </w:p>
    <w:p>
      <w:pPr>
        <w:pStyle w:val="6"/>
        <w:spacing w:line="302" w:lineRule="auto"/>
        <w:ind w:left="322" w:right="722" w:firstLine="400"/>
      </w:pPr>
      <w:r>
        <w:rPr>
          <w:spacing w:val="-7"/>
          <w:w w:val="95"/>
        </w:rPr>
        <w:t xml:space="preserve">月末，产品成本明细账按照成本项目归集了相应的生产费用，为确定完工产品总成本和单位成本，还应当将   </w:t>
      </w:r>
      <w:r>
        <w:rPr>
          <w:spacing w:val="-7"/>
        </w:rPr>
        <w:t>已经归集的产品成本在完工产品和月末在产品之间进行分配。</w:t>
      </w:r>
    </w:p>
    <w:p>
      <w:pPr>
        <w:pStyle w:val="5"/>
        <w:spacing w:before="5"/>
      </w:pPr>
      <w:r>
        <w:t>（二）完工产品和在产品之间费用的分配</w:t>
      </w:r>
    </w:p>
    <w:p>
      <w:pPr>
        <w:pStyle w:val="6"/>
        <w:spacing w:line="304" w:lineRule="auto"/>
        <w:ind w:left="322" w:right="720" w:firstLine="400"/>
        <w:jc w:val="both"/>
      </w:pPr>
      <w:r>
        <w:rPr>
          <w:spacing w:val="-1"/>
          <w:w w:val="95"/>
        </w:rPr>
        <w:t>完工产品与在产品之间费用的分配方法包括：</w:t>
      </w:r>
      <w:r>
        <w:rPr>
          <w:color w:val="FF0000"/>
          <w:spacing w:val="-3"/>
          <w:w w:val="95"/>
          <w:u w:val="double" w:color="FF0000"/>
        </w:rPr>
        <w:t>不计算在产品成本法、在产品按固定成本计算法、在产品按所</w:t>
      </w:r>
      <w:r>
        <w:rPr>
          <w:color w:val="FF0000"/>
          <w:spacing w:val="-199"/>
          <w:w w:val="95"/>
          <w:u w:val="double" w:color="FF0000"/>
        </w:rPr>
        <w:t>耗</w:t>
      </w:r>
      <w:r>
        <w:rPr>
          <w:color w:val="FF0000"/>
          <w:spacing w:val="190"/>
          <w:w w:val="95"/>
          <w:u w:val="double" w:color="FF0000"/>
        </w:rPr>
        <w:t xml:space="preserve"> </w:t>
      </w:r>
      <w:r>
        <w:rPr>
          <w:color w:val="FF0000"/>
          <w:spacing w:val="-4"/>
          <w:u w:val="double" w:color="FF0000"/>
        </w:rPr>
        <w:t>直接材料成本计价法、约当产量比例法、定额比例法、在产品按定额成本计算法</w:t>
      </w:r>
      <w:r>
        <w:rPr>
          <w:spacing w:val="-3"/>
        </w:rPr>
        <w:t>，在产品按完工产品成本计价 法。</w:t>
      </w:r>
    </w:p>
    <w:p>
      <w:pPr>
        <w:pStyle w:val="5"/>
        <w:spacing w:before="3"/>
      </w:pPr>
      <w:r>
        <w:t>1.约当产量比例法</w:t>
      </w:r>
    </w:p>
    <w:p>
      <w:pPr>
        <w:pStyle w:val="6"/>
        <w:spacing w:before="68" w:line="304" w:lineRule="auto"/>
        <w:ind w:left="322" w:right="722" w:firstLine="400"/>
      </w:pPr>
      <w:r>
        <w:rPr>
          <w:spacing w:val="-2"/>
          <w:w w:val="95"/>
        </w:rPr>
        <w:t>采用约当产量比例法，应将</w:t>
      </w:r>
      <w:r>
        <w:rPr>
          <w:color w:val="FF0000"/>
          <w:spacing w:val="-1"/>
          <w:w w:val="95"/>
          <w:u w:val="double" w:color="FF0000"/>
        </w:rPr>
        <w:t>月末在产品数量按其完工程度折算为相当于完工产品的产量，即约当产量</w:t>
      </w:r>
      <w:r>
        <w:rPr>
          <w:spacing w:val="-7"/>
          <w:w w:val="95"/>
        </w:rPr>
        <w:t xml:space="preserve">，然后   </w:t>
      </w:r>
      <w:r>
        <w:rPr>
          <w:spacing w:val="-7"/>
        </w:rPr>
        <w:t>将产品应负担的全部成本按照</w:t>
      </w:r>
      <w:r>
        <w:rPr>
          <w:color w:val="FF0000"/>
          <w:spacing w:val="-7"/>
          <w:u w:val="double" w:color="FF0000"/>
        </w:rPr>
        <w:t>完工产品产量与月末在产品约当产量</w:t>
      </w:r>
      <w:r>
        <w:rPr>
          <w:spacing w:val="-7"/>
        </w:rPr>
        <w:t>的比例分配计算完工产品成本和月末在产品成本。</w:t>
      </w:r>
    </w:p>
    <w:p>
      <w:pPr>
        <w:spacing w:after="0" w:line="304" w:lineRule="auto"/>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22" w:firstLine="400"/>
      </w:pPr>
      <w:r>
        <w:rPr>
          <w:w w:val="95"/>
        </w:rPr>
        <w:t>这种方法适用于</w:t>
      </w:r>
      <w:r>
        <w:rPr>
          <w:color w:val="FF0000"/>
          <w:spacing w:val="-7"/>
          <w:w w:val="95"/>
          <w:u w:val="double" w:color="FF0000"/>
        </w:rPr>
        <w:t>产品数量较多，各月在产品数量变化也较大，且生产成本中直接材料成本和直接人工等加工</w:t>
      </w:r>
      <w:r>
        <w:rPr>
          <w:color w:val="FF0000"/>
          <w:spacing w:val="-199"/>
          <w:w w:val="95"/>
          <w:u w:val="double" w:color="FF0000"/>
        </w:rPr>
        <w:t>成</w:t>
      </w:r>
      <w:r>
        <w:rPr>
          <w:color w:val="FF0000"/>
          <w:spacing w:val="189"/>
          <w:w w:val="95"/>
          <w:u w:val="double" w:color="FF0000"/>
        </w:rPr>
        <w:t xml:space="preserve"> </w:t>
      </w:r>
      <w:r>
        <w:rPr>
          <w:color w:val="FF0000"/>
          <w:u w:val="double" w:color="FF0000"/>
        </w:rPr>
        <w:t>本的比重相差不大的产品。</w:t>
      </w:r>
    </w:p>
    <w:p>
      <w:pPr>
        <w:pStyle w:val="6"/>
        <w:spacing w:before="2" w:line="304" w:lineRule="auto"/>
        <w:ind w:left="322" w:right="720" w:firstLine="400"/>
        <w:jc w:val="both"/>
      </w:pPr>
      <w:r>
        <mc:AlternateContent>
          <mc:Choice Requires="wps">
            <w:drawing>
              <wp:anchor distT="0" distB="0" distL="114300" distR="114300" simplePos="0" relativeHeight="482511872" behindDoc="1" locked="0" layoutInCell="1" allowOverlap="1">
                <wp:simplePos x="0" y="0"/>
                <wp:positionH relativeFrom="page">
                  <wp:posOffset>1068705</wp:posOffset>
                </wp:positionH>
                <wp:positionV relativeFrom="paragraph">
                  <wp:posOffset>139065</wp:posOffset>
                </wp:positionV>
                <wp:extent cx="251460" cy="5715"/>
                <wp:effectExtent l="0" t="0" r="0" b="0"/>
                <wp:wrapNone/>
                <wp:docPr id="331" name="任意多边形 27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78" o:spid="_x0000_s1026" o:spt="100" style="position:absolute;left:0pt;margin-left:84.15pt;margin-top:10.95pt;height:0.45pt;width:19.8pt;mso-position-horizontal-relative:page;z-index:-20804608;mso-width-relative:page;mso-height-relative:page;" filled="f" stroked="t" coordsize="396,9" o:gfxdata="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9&#10;xP9L2AAAAAkBAAAPAAAAAAAAAAEAIAAAACIAAABkcnMvZG93bnJldi54bWxQSwECFAAUAAAACACH&#10;TuJAVouS9JYCAABXBwAADgAAAAAAAAABACAAAAAnAQAAZHJzL2Uyb0RvYy54bWxQSwUGAAAAAAYA&#10;BgBZAQAALw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6"/>
          <w:w w:val="95"/>
        </w:rPr>
        <w:t>】在很多加工生产中，</w:t>
      </w:r>
      <w:r>
        <w:rPr>
          <w:color w:val="FF0000"/>
          <w:w w:val="95"/>
          <w:u w:val="double" w:color="FF0000"/>
        </w:rPr>
        <w:t>材料是在生产开始时一次投入的</w:t>
      </w:r>
      <w:r>
        <w:rPr>
          <w:spacing w:val="-5"/>
          <w:w w:val="95"/>
        </w:rPr>
        <w:t>，这是在产品无论完工程度如何，都</w:t>
      </w:r>
      <w:r>
        <w:rPr>
          <w:color w:val="FF0000"/>
          <w:w w:val="95"/>
          <w:u w:val="double" w:color="FF0000"/>
        </w:rPr>
        <w:t>应和完工</w:t>
      </w:r>
      <w:r>
        <w:rPr>
          <w:color w:val="FF0000"/>
          <w:spacing w:val="-196"/>
          <w:w w:val="95"/>
          <w:u w:val="double" w:color="FF0000"/>
        </w:rPr>
        <w:t>产</w:t>
      </w:r>
      <w:r>
        <w:rPr>
          <w:color w:val="FF0000"/>
          <w:spacing w:val="188"/>
          <w:w w:val="95"/>
          <w:u w:val="double" w:color="FF0000"/>
        </w:rPr>
        <w:t xml:space="preserve"> </w:t>
      </w:r>
      <w:r>
        <w:rPr>
          <w:color w:val="FF0000"/>
          <w:u w:val="double" w:color="FF0000"/>
        </w:rPr>
        <w:t>品负担同样材料成本</w:t>
      </w:r>
      <w:r>
        <w:rPr>
          <w:spacing w:val="-11"/>
        </w:rPr>
        <w:t>。如果</w:t>
      </w:r>
      <w:r>
        <w:rPr>
          <w:color w:val="FF0000"/>
          <w:u w:val="double" w:color="FF0000"/>
        </w:rPr>
        <w:t>材料是随着生产过程陆续投入的</w:t>
      </w:r>
      <w:r>
        <w:rPr>
          <w:spacing w:val="-6"/>
        </w:rPr>
        <w:t>，则按照各工序投入的材料成本在全部材料成本中 所占的比例</w:t>
      </w:r>
      <w:r>
        <w:rPr>
          <w:color w:val="FF0000"/>
          <w:spacing w:val="-6"/>
          <w:u w:val="double" w:color="FF0000"/>
        </w:rPr>
        <w:t>计算在产品的约当产量。</w:t>
      </w:r>
    </w:p>
    <w:p>
      <w:pPr>
        <w:pStyle w:val="6"/>
        <w:spacing w:before="0"/>
      </w:pPr>
      <w:r>
        <w:rPr>
          <w:w w:val="95"/>
        </w:rPr>
        <w:t>在产品约当产量=在产品数量×完工程度</w:t>
      </w:r>
    </w:p>
    <w:p>
      <w:pPr>
        <w:pStyle w:val="6"/>
        <w:spacing w:before="71" w:line="304" w:lineRule="auto"/>
        <w:ind w:right="2361"/>
      </w:pPr>
      <w:r>
        <w:rPr>
          <w:w w:val="95"/>
        </w:rPr>
        <w:t xml:space="preserve">单位成本=（月初在产品成本+本月发生生产成本）÷（完工产品产量+在产品约当产量）   </w:t>
      </w:r>
      <w:r>
        <w:t>完工产品成本=完工产品产量×单位成本</w:t>
      </w:r>
    </w:p>
    <w:p>
      <w:pPr>
        <w:pStyle w:val="6"/>
        <w:spacing w:before="1"/>
      </w:pPr>
      <w:r>
        <w:rPr>
          <w:w w:val="95"/>
        </w:rPr>
        <w:t>在产品成本=在产品约当产量×单位成本</w:t>
      </w:r>
    </w:p>
    <w:p>
      <w:pPr>
        <w:spacing w:before="71" w:line="304" w:lineRule="auto"/>
        <w:ind w:left="723" w:right="2249" w:firstLine="0"/>
        <w:jc w:val="left"/>
        <w:rPr>
          <w:b/>
          <w:sz w:val="20"/>
        </w:rPr>
      </w:pPr>
      <w:r>
        <w:rPr>
          <w:sz w:val="20"/>
        </w:rPr>
        <w:t>如果各工序在产品数量和单位工时定额都相差不多，在产品的完工程度也可按 50%计算。</w:t>
      </w:r>
      <w:r>
        <w:rPr>
          <w:b/>
          <w:sz w:val="20"/>
        </w:rPr>
        <w:t>2.在产品按定额成本计价法</w:t>
      </w:r>
    </w:p>
    <w:p>
      <w:pPr>
        <w:pStyle w:val="6"/>
        <w:spacing w:before="0" w:line="304" w:lineRule="auto"/>
        <w:ind w:left="322" w:right="662" w:firstLine="400"/>
        <w:jc w:val="both"/>
      </w:pPr>
      <w:r>
        <mc:AlternateContent>
          <mc:Choice Requires="wpg">
            <w:drawing>
              <wp:anchor distT="0" distB="0" distL="114300" distR="114300" simplePos="0" relativeHeight="482511872" behindDoc="1" locked="0" layoutInCell="1" allowOverlap="1">
                <wp:simplePos x="0" y="0"/>
                <wp:positionH relativeFrom="page">
                  <wp:posOffset>686435</wp:posOffset>
                </wp:positionH>
                <wp:positionV relativeFrom="paragraph">
                  <wp:posOffset>552450</wp:posOffset>
                </wp:positionV>
                <wp:extent cx="890270" cy="19050"/>
                <wp:effectExtent l="0" t="1270" r="5080" b="8255"/>
                <wp:wrapNone/>
                <wp:docPr id="330" name="组合 279"/>
                <wp:cNvGraphicFramePr/>
                <a:graphic xmlns:a="http://schemas.openxmlformats.org/drawingml/2006/main">
                  <a:graphicData uri="http://schemas.microsoft.com/office/word/2010/wordprocessingGroup">
                    <wpg:wgp>
                      <wpg:cNvGrpSpPr/>
                      <wpg:grpSpPr>
                        <a:xfrm>
                          <a:off x="0" y="0"/>
                          <a:ext cx="890270" cy="19050"/>
                          <a:chOff x="1082" y="870"/>
                          <a:chExt cx="1402" cy="30"/>
                        </a:xfrm>
                      </wpg:grpSpPr>
                      <wps:wsp>
                        <wps:cNvPr id="328" name="直线 280"/>
                        <wps:cNvCnPr/>
                        <wps:spPr>
                          <a:xfrm>
                            <a:off x="1082" y="875"/>
                            <a:ext cx="1402" cy="0"/>
                          </a:xfrm>
                          <a:prstGeom prst="line">
                            <a:avLst/>
                          </a:prstGeom>
                          <a:ln w="6096" cap="flat" cmpd="sng">
                            <a:solidFill>
                              <a:srgbClr val="FF0000"/>
                            </a:solidFill>
                            <a:prstDash val="solid"/>
                            <a:headEnd type="none" w="med" len="med"/>
                            <a:tailEnd type="none" w="med" len="med"/>
                          </a:ln>
                        </wps:spPr>
                        <wps:bodyPr upright="1"/>
                      </wps:wsp>
                      <wps:wsp>
                        <wps:cNvPr id="329" name="直线 281"/>
                        <wps:cNvCnPr/>
                        <wps:spPr>
                          <a:xfrm>
                            <a:off x="1082" y="895"/>
                            <a:ext cx="1402"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79" o:spid="_x0000_s1026" o:spt="203" style="position:absolute;left:0pt;margin-left:54.05pt;margin-top:43.5pt;height:1.5pt;width:70.1pt;mso-position-horizontal-relative:page;z-index:-20804608;mso-width-relative:page;mso-height-relative:page;" coordorigin="1082,870" coordsize="1402,30" o:gfxdata="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BKf3Y2QAAAAkBAAAPAAAAAAAAAAEAIAAAACIAAABkcnMvZG93bnJldi54bWxQSwECFAAU&#10;AAAACACHTuJAD181UmICAADFBgAADgAAAAAAAAABACAAAAAoAQAAZHJzL2Uyb0RvYy54bWxQSwUG&#10;AAAAAAYABgBZAQAA/AUAAAAA&#10;">
                <o:lock v:ext="edit" aspectratio="f"/>
                <v:line id="直线 280" o:spid="_x0000_s1026" o:spt="20" style="position:absolute;left:1082;top:875;height:0;width:1402;" filled="f" stroked="t" coordsize="21600,21600" o:gfxdata="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IHIbsAAADc&#10;AAAADwAAAAAAAAABACAAAAAiAAAAZHJzL2Rvd25yZXYueG1sUEsBAhQAFAAAAAgAh07iQDMvBZ47&#10;AAAAOQAAABAAAAAAAAAAAQAgAAAACgEAAGRycy9zaGFwZXhtbC54bWxQSwUGAAAAAAYABgBbAQAA&#10;tAMAAAAA&#10;">
                  <v:fill on="f" focussize="0,0"/>
                  <v:stroke weight="0.48pt" color="#FF0000" joinstyle="round"/>
                  <v:imagedata o:title=""/>
                  <o:lock v:ext="edit" aspectratio="f"/>
                </v:line>
                <v:line id="直线 281" o:spid="_x0000_s1026" o:spt="20" style="position:absolute;left:1082;top:895;height:0;width:1402;" filled="f" stroked="t" coordsize="21600,21600" o:gfxdata="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orq/&#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group>
            </w:pict>
          </mc:Fallback>
        </mc:AlternateContent>
      </w:r>
      <w:r>
        <w:rPr>
          <w:w w:val="95"/>
        </w:rPr>
        <w:t>在产品按定额成本计价法，月末在产品成本按定额成本计算，</w:t>
      </w:r>
      <w:r>
        <w:rPr>
          <w:color w:val="FF0000"/>
          <w:w w:val="95"/>
          <w:u w:val="double" w:color="FF0000"/>
        </w:rPr>
        <w:t>该种产品的全部成本（包括月初在产品成本）</w:t>
      </w:r>
      <w:r>
        <w:rPr>
          <w:color w:val="FF0000"/>
          <w:spacing w:val="-199"/>
          <w:w w:val="95"/>
          <w:u w:val="double" w:color="FF0000"/>
        </w:rPr>
        <w:t>减</w:t>
      </w:r>
      <w:r>
        <w:rPr>
          <w:color w:val="FF0000"/>
          <w:spacing w:val="191"/>
          <w:w w:val="95"/>
          <w:u w:val="double" w:color="FF0000"/>
        </w:rPr>
        <w:t xml:space="preserve"> </w:t>
      </w:r>
      <w:r>
        <w:rPr>
          <w:color w:val="FF0000"/>
          <w:spacing w:val="-5"/>
          <w:u w:val="double" w:color="FF0000"/>
        </w:rPr>
        <w:t>去月末在产品成本定额成本，作为完工产品成本；</w:t>
      </w:r>
      <w:r>
        <w:t>每月生产成本脱离定额的</w:t>
      </w:r>
      <w:r>
        <w:rPr>
          <w:color w:val="FF0000"/>
          <w:u w:val="double" w:color="FF0000"/>
        </w:rPr>
        <w:t>节约差异或超支差异全部计入当月</w:t>
      </w:r>
      <w:r>
        <w:rPr>
          <w:color w:val="FF0000"/>
        </w:rPr>
        <w:t xml:space="preserve"> 完工产品成本。</w:t>
      </w:r>
    </w:p>
    <w:p>
      <w:pPr>
        <w:pStyle w:val="6"/>
        <w:spacing w:before="2" w:line="304" w:lineRule="auto"/>
        <w:ind w:left="322" w:right="662" w:firstLine="400"/>
      </w:pPr>
      <w:r>
        <mc:AlternateContent>
          <mc:Choice Requires="wpg">
            <w:drawing>
              <wp:anchor distT="0" distB="0" distL="114300" distR="114300" simplePos="0" relativeHeight="482512896" behindDoc="1" locked="0" layoutInCell="1" allowOverlap="1">
                <wp:simplePos x="0" y="0"/>
                <wp:positionH relativeFrom="page">
                  <wp:posOffset>1576705</wp:posOffset>
                </wp:positionH>
                <wp:positionV relativeFrom="paragraph">
                  <wp:posOffset>346710</wp:posOffset>
                </wp:positionV>
                <wp:extent cx="5295900" cy="18415"/>
                <wp:effectExtent l="0" t="1270" r="0" b="8890"/>
                <wp:wrapNone/>
                <wp:docPr id="335" name="组合 282"/>
                <wp:cNvGraphicFramePr/>
                <a:graphic xmlns:a="http://schemas.openxmlformats.org/drawingml/2006/main">
                  <a:graphicData uri="http://schemas.microsoft.com/office/word/2010/wordprocessingGroup">
                    <wpg:wgp>
                      <wpg:cNvGrpSpPr/>
                      <wpg:grpSpPr>
                        <a:xfrm>
                          <a:off x="0" y="0"/>
                          <a:ext cx="5295900" cy="18415"/>
                          <a:chOff x="2484" y="546"/>
                          <a:chExt cx="8340" cy="29"/>
                        </a:xfrm>
                      </wpg:grpSpPr>
                      <wps:wsp>
                        <wps:cNvPr id="333" name="直线 283"/>
                        <wps:cNvCnPr/>
                        <wps:spPr>
                          <a:xfrm>
                            <a:off x="2484" y="551"/>
                            <a:ext cx="8340" cy="0"/>
                          </a:xfrm>
                          <a:prstGeom prst="line">
                            <a:avLst/>
                          </a:prstGeom>
                          <a:ln w="6096" cap="flat" cmpd="sng">
                            <a:solidFill>
                              <a:srgbClr val="FF0000"/>
                            </a:solidFill>
                            <a:prstDash val="solid"/>
                            <a:headEnd type="none" w="med" len="med"/>
                            <a:tailEnd type="none" w="med" len="med"/>
                          </a:ln>
                        </wps:spPr>
                        <wps:bodyPr upright="1"/>
                      </wps:wsp>
                      <wps:wsp>
                        <wps:cNvPr id="334" name="直线 284"/>
                        <wps:cNvCnPr/>
                        <wps:spPr>
                          <a:xfrm>
                            <a:off x="2484" y="570"/>
                            <a:ext cx="8340" cy="0"/>
                          </a:xfrm>
                          <a:prstGeom prst="line">
                            <a:avLst/>
                          </a:prstGeom>
                          <a:ln w="6096" cap="flat" cmpd="sng">
                            <a:solidFill>
                              <a:srgbClr val="FF0000"/>
                            </a:solidFill>
                            <a:prstDash val="solid"/>
                            <a:headEnd type="none" w="med" len="med"/>
                            <a:tailEnd type="none" w="med" len="med"/>
                          </a:ln>
                        </wps:spPr>
                        <wps:bodyPr upright="1"/>
                      </wps:wsp>
                    </wpg:wgp>
                  </a:graphicData>
                </a:graphic>
              </wp:anchor>
            </w:drawing>
          </mc:Choice>
          <mc:Fallback>
            <w:pict>
              <v:group id="组合 282" o:spid="_x0000_s1026" o:spt="203" style="position:absolute;left:0pt;margin-left:124.15pt;margin-top:27.3pt;height:1.45pt;width:417pt;mso-position-horizontal-relative:page;z-index:-20803584;mso-width-relative:page;mso-height-relative:page;" coordorigin="2484,546" coordsize="8340,29" o:gfxdata="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Ix9qdoAAAAKAQAADwAAAAAAAAABACAAAAAiAAAAZHJzL2Rvd25yZXYueG1s&#10;UEsBAhQAFAAAAAgAh07iQLwNdD9oAgAAxgYAAA4AAAAAAAAAAQAgAAAAKQEAAGRycy9lMm9Eb2Mu&#10;eG1sUEsFBgAAAAAGAAYAWQEAAAMGAAAAAA==&#10;">
                <o:lock v:ext="edit" aspectratio="f"/>
                <v:line id="直线 283" o:spid="_x0000_s1026" o:spt="20" style="position:absolute;left:2484;top:551;height:0;width:8340;" filled="f" stroked="t" coordsize="21600,21600" o:gfxdata="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PA42/&#10;AAAA3AAAAA8AAAAAAAAAAQAgAAAAIgAAAGRycy9kb3ducmV2LnhtbFBLAQIUABQAAAAIAIdO4kAz&#10;LwWeOwAAADkAAAAQAAAAAAAAAAEAIAAAAA4BAABkcnMvc2hhcGV4bWwueG1sUEsFBgAAAAAGAAYA&#10;WwEAALgDAAAAAA==&#10;">
                  <v:fill on="f" focussize="0,0"/>
                  <v:stroke weight="0.48pt" color="#FF0000" joinstyle="round"/>
                  <v:imagedata o:title=""/>
                  <o:lock v:ext="edit" aspectratio="f"/>
                </v:line>
                <v:line id="直线 284" o:spid="_x0000_s1026" o:spt="20" style="position:absolute;left:2484;top:570;height:0;width:8340;" filled="f" stroked="t" coordsize="21600,21600" o:gfxdata="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Zpv5&#10;wAAAANwAAAAPAAAAAAAAAAEAIAAAACIAAABkcnMvZG93bnJldi54bWxQSwECFAAUAAAACACHTuJA&#10;My8FnjsAAAA5AAAAEAAAAAAAAAABACAAAAAPAQAAZHJzL3NoYXBleG1sLnhtbFBLBQYAAAAABgAG&#10;AFsBAAC5AwAAAAA=&#10;">
                  <v:fill on="f" focussize="0,0"/>
                  <v:stroke weight="0.48pt" color="#FF0000" joinstyle="round"/>
                  <v:imagedata o:title=""/>
                  <o:lock v:ext="edit" aspectratio="f"/>
                </v:line>
              </v:group>
            </w:pict>
          </mc:Fallback>
        </mc:AlternateContent>
      </w:r>
      <w:r>
        <w:rPr>
          <w:spacing w:val="-5"/>
        </w:rPr>
        <w:t>这种方法是事先经过调查研究、技术测定或按定额资料，对各个加工阶段上的在产品直接确定一个单位定额</w:t>
      </w:r>
      <w:r>
        <w:rPr>
          <w:spacing w:val="-5"/>
          <w:w w:val="95"/>
        </w:rPr>
        <w:t>成本。这种方法</w:t>
      </w:r>
      <w:r>
        <w:rPr>
          <w:color w:val="FF0000"/>
          <w:spacing w:val="-5"/>
          <w:w w:val="95"/>
        </w:rPr>
        <w:t>适用于各项消耗定额或成本定额比较准确、稳定、而且各月末在产品数量变化不是很大的产品。</w:t>
      </w:r>
    </w:p>
    <w:p>
      <w:pPr>
        <w:pStyle w:val="5"/>
        <w:spacing w:before="2"/>
      </w:pPr>
      <w:r>
        <w:t>3.定额比例法</w:t>
      </w:r>
    </w:p>
    <w:p>
      <w:pPr>
        <w:pStyle w:val="6"/>
        <w:spacing w:before="68" w:line="304" w:lineRule="auto"/>
        <w:ind w:left="322" w:right="662" w:firstLine="400"/>
        <w:jc w:val="both"/>
      </w:pPr>
      <w:r>
        <mc:AlternateContent>
          <mc:Choice Requires="wpg">
            <w:drawing>
              <wp:anchor distT="0" distB="0" distL="114300" distR="114300" simplePos="0" relativeHeight="482514944" behindDoc="1" locked="0" layoutInCell="1" allowOverlap="1">
                <wp:simplePos x="0" y="0"/>
                <wp:positionH relativeFrom="page">
                  <wp:posOffset>615950</wp:posOffset>
                </wp:positionH>
                <wp:positionV relativeFrom="paragraph">
                  <wp:posOffset>827405</wp:posOffset>
                </wp:positionV>
                <wp:extent cx="6479540" cy="633730"/>
                <wp:effectExtent l="1270" t="1905" r="15240" b="12065"/>
                <wp:wrapNone/>
                <wp:docPr id="339" name="组合 285"/>
                <wp:cNvGraphicFramePr/>
                <a:graphic xmlns:a="http://schemas.openxmlformats.org/drawingml/2006/main">
                  <a:graphicData uri="http://schemas.microsoft.com/office/word/2010/wordprocessingGroup">
                    <wpg:wgp>
                      <wpg:cNvGrpSpPr/>
                      <wpg:grpSpPr>
                        <a:xfrm>
                          <a:off x="0" y="0"/>
                          <a:ext cx="6479540" cy="633730"/>
                          <a:chOff x="970" y="1304"/>
                          <a:chExt cx="10204" cy="998"/>
                        </a:xfrm>
                      </wpg:grpSpPr>
                      <wps:wsp>
                        <wps:cNvPr id="337" name="文本框 286"/>
                        <wps:cNvSpPr txBox="1"/>
                        <wps:spPr>
                          <a:xfrm>
                            <a:off x="6072" y="1308"/>
                            <a:ext cx="5097" cy="988"/>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503" w:right="169" w:hanging="401"/>
                                <w:jc w:val="left"/>
                                <w:rPr>
                                  <w:sz w:val="20"/>
                                </w:rPr>
                              </w:pPr>
                              <w:r>
                                <w:rPr>
                                  <w:sz w:val="20"/>
                                </w:rPr>
                                <w:t>方法 2：按某标准计算分配率，按标准分配率分配成本标准分配率=某产品标准÷总标准</w:t>
                              </w:r>
                            </w:p>
                            <w:p>
                              <w:pPr>
                                <w:spacing w:before="2" w:line="256" w:lineRule="exact"/>
                                <w:ind w:left="503" w:right="0" w:firstLine="0"/>
                                <w:jc w:val="left"/>
                                <w:rPr>
                                  <w:sz w:val="20"/>
                                </w:rPr>
                              </w:pPr>
                              <w:r>
                                <w:rPr>
                                  <w:sz w:val="20"/>
                                </w:rPr>
                                <w:t>某产品分摊费用=总费用×标准分配率</w:t>
                              </w:r>
                            </w:p>
                          </w:txbxContent>
                        </wps:txbx>
                        <wps:bodyPr lIns="0" tIns="0" rIns="0" bIns="0" upright="1"/>
                      </wps:wsp>
                      <wps:wsp>
                        <wps:cNvPr id="338" name="文本框 287"/>
                        <wps:cNvSpPr txBox="1"/>
                        <wps:spPr>
                          <a:xfrm>
                            <a:off x="975" y="1308"/>
                            <a:ext cx="5097" cy="988"/>
                          </a:xfrm>
                          <a:prstGeom prst="rect">
                            <a:avLst/>
                          </a:prstGeom>
                          <a:noFill/>
                          <a:ln w="6096" cap="flat" cmpd="sng">
                            <a:solidFill>
                              <a:srgbClr val="000000"/>
                            </a:solidFill>
                            <a:prstDash val="solid"/>
                            <a:miter/>
                            <a:headEnd type="none" w="med" len="med"/>
                            <a:tailEnd type="none" w="med" len="med"/>
                          </a:ln>
                        </wps:spPr>
                        <wps:txbx>
                          <w:txbxContent>
                            <w:p>
                              <w:pPr>
                                <w:spacing w:before="69" w:line="304" w:lineRule="auto"/>
                                <w:ind w:left="503" w:right="569" w:firstLine="0"/>
                                <w:jc w:val="left"/>
                                <w:rPr>
                                  <w:sz w:val="20"/>
                                </w:rPr>
                              </w:pPr>
                              <w:r>
                                <w:rPr>
                                  <w:sz w:val="20"/>
                                </w:rPr>
                                <w:t>方法 1：计算费用分配率，按分配率分配成本费用分配率=待分摊费用÷分配标准</w:t>
                              </w:r>
                            </w:p>
                            <w:p>
                              <w:pPr>
                                <w:spacing w:before="2" w:line="256" w:lineRule="exact"/>
                                <w:ind w:left="503" w:right="0" w:firstLine="0"/>
                                <w:jc w:val="left"/>
                                <w:rPr>
                                  <w:sz w:val="20"/>
                                </w:rPr>
                              </w:pPr>
                              <w:r>
                                <w:rPr>
                                  <w:sz w:val="20"/>
                                </w:rPr>
                                <w:t>某产品分摊费用=某产品分配标准×费用分配率</w:t>
                              </w:r>
                            </w:p>
                          </w:txbxContent>
                        </wps:txbx>
                        <wps:bodyPr lIns="0" tIns="0" rIns="0" bIns="0" upright="1"/>
                      </wps:wsp>
                    </wpg:wgp>
                  </a:graphicData>
                </a:graphic>
              </wp:anchor>
            </w:drawing>
          </mc:Choice>
          <mc:Fallback>
            <w:pict>
              <v:group id="组合 285" o:spid="_x0000_s1026" o:spt="203" style="position:absolute;left:0pt;margin-left:48.5pt;margin-top:65.15pt;height:49.9pt;width:510.2pt;mso-position-horizontal-relative:page;z-index:-20801536;mso-width-relative:page;mso-height-relative:page;" coordorigin="970,1304" coordsize="10204,998" o:gfxdata="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GKABY9sAAAALAQAADwAAAAAAAAABACAAAAAiAAAAZHJzL2Rvd25yZXYueG1sUEsBAhQAFAAA&#10;AAgAh07iQCCCftaXAgAAcAcAAA4AAAAAAAAAAQAgAAAAKgEAAGRycy9lMm9Eb2MueG1sUEsFBgAA&#10;AAAGAAYAWQEAADMGAAAAAA==&#10;">
                <o:lock v:ext="edit" aspectratio="f"/>
                <v:shape id="文本框 286" o:spid="_x0000_s1026" o:spt="202" type="#_x0000_t202" style="position:absolute;left:6072;top:1308;height:988;width:5097;" filled="f" stroked="t" coordsize="21600,21600" o:gfxdata="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njtky5AAAA3AAA&#10;AA8AAAAAAAAAAQAgAAAAIgAAAGRycy9kb3ducmV2LnhtbFBLAQIUABQAAAAIAIdO4kAzLwWeOwAA&#10;ADkAAAAQAAAAAAAAAAEAIAAAAAgBAABkcnMvc2hhcGV4bWwueG1sUEsFBgAAAAAGAAYAWwEAALID&#10;AAAAAA==&#10;">
                  <v:fill on="f" focussize="0,0"/>
                  <v:stroke weight="0.48pt" color="#000000" joinstyle="miter"/>
                  <v:imagedata o:title=""/>
                  <o:lock v:ext="edit" aspectratio="f"/>
                  <v:textbox inset="0mm,0mm,0mm,0mm">
                    <w:txbxContent>
                      <w:p>
                        <w:pPr>
                          <w:spacing w:before="69" w:line="304" w:lineRule="auto"/>
                          <w:ind w:left="503" w:right="169" w:hanging="401"/>
                          <w:jc w:val="left"/>
                          <w:rPr>
                            <w:sz w:val="20"/>
                          </w:rPr>
                        </w:pPr>
                        <w:r>
                          <w:rPr>
                            <w:sz w:val="20"/>
                          </w:rPr>
                          <w:t>方法 2：按某标准计算分配率，按标准分配率分配成本标准分配率=某产品标准÷总标准</w:t>
                        </w:r>
                      </w:p>
                      <w:p>
                        <w:pPr>
                          <w:spacing w:before="2" w:line="256" w:lineRule="exact"/>
                          <w:ind w:left="503" w:right="0" w:firstLine="0"/>
                          <w:jc w:val="left"/>
                          <w:rPr>
                            <w:sz w:val="20"/>
                          </w:rPr>
                        </w:pPr>
                        <w:r>
                          <w:rPr>
                            <w:sz w:val="20"/>
                          </w:rPr>
                          <w:t>某产品分摊费用=总费用×标准分配率</w:t>
                        </w:r>
                      </w:p>
                    </w:txbxContent>
                  </v:textbox>
                </v:shape>
                <v:shape id="文本框 287" o:spid="_x0000_s1026" o:spt="202" type="#_x0000_t202" style="position:absolute;left:975;top:1308;height:988;width:5097;" filled="f" stroked="t" coordsize="21600,21600" o:gfxdata="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h8Ij62AAAA3AAAAA8A&#10;AAAAAAAAAQAgAAAAIgAAAGRycy9kb3ducmV2LnhtbFBLAQIUABQAAAAIAIdO4kAzLwWeOwAAADkA&#10;AAAQAAAAAAAAAAEAIAAAAAUBAABkcnMvc2hhcGV4bWwueG1sUEsFBgAAAAAGAAYAWwEAAK8DAAAA&#10;AA==&#10;">
                  <v:fill on="f" focussize="0,0"/>
                  <v:stroke weight="0.48pt" color="#000000" joinstyle="miter"/>
                  <v:imagedata o:title=""/>
                  <o:lock v:ext="edit" aspectratio="f"/>
                  <v:textbox inset="0mm,0mm,0mm,0mm">
                    <w:txbxContent>
                      <w:p>
                        <w:pPr>
                          <w:spacing w:before="69" w:line="304" w:lineRule="auto"/>
                          <w:ind w:left="503" w:right="569" w:firstLine="0"/>
                          <w:jc w:val="left"/>
                          <w:rPr>
                            <w:sz w:val="20"/>
                          </w:rPr>
                        </w:pPr>
                        <w:r>
                          <w:rPr>
                            <w:sz w:val="20"/>
                          </w:rPr>
                          <w:t>方法 1：计算费用分配率，按分配率分配成本费用分配率=待分摊费用÷分配标准</w:t>
                        </w:r>
                      </w:p>
                      <w:p>
                        <w:pPr>
                          <w:spacing w:before="2" w:line="256" w:lineRule="exact"/>
                          <w:ind w:left="503" w:right="0" w:firstLine="0"/>
                          <w:jc w:val="left"/>
                          <w:rPr>
                            <w:sz w:val="20"/>
                          </w:rPr>
                        </w:pPr>
                        <w:r>
                          <w:rPr>
                            <w:sz w:val="20"/>
                          </w:rPr>
                          <w:t>某产品分摊费用=某产品分配标准×费用分配率</w:t>
                        </w:r>
                      </w:p>
                    </w:txbxContent>
                  </v:textbox>
                </v:shape>
              </v:group>
            </w:pict>
          </mc:Fallback>
        </mc:AlternateContent>
      </w:r>
      <w:r>
        <w:rPr>
          <w:spacing w:val="-2"/>
          <w:w w:val="95"/>
        </w:rPr>
        <w:t>产品的生产成本在完工产品和月末在产品之间按照两者的定额消耗耗量或定额成本比例分配，其中</w:t>
      </w:r>
      <w:r>
        <w:rPr>
          <w:color w:val="FF0000"/>
          <w:w w:val="95"/>
          <w:u w:val="double" w:color="FF0000"/>
        </w:rPr>
        <w:t>直接材料</w:t>
      </w:r>
      <w:r>
        <w:rPr>
          <w:color w:val="FF0000"/>
          <w:spacing w:val="-140"/>
          <w:w w:val="95"/>
          <w:u w:val="double" w:color="FF0000"/>
        </w:rPr>
        <w:t>成</w:t>
      </w:r>
      <w:r>
        <w:rPr>
          <w:color w:val="FF0000"/>
          <w:spacing w:val="199"/>
          <w:w w:val="95"/>
          <w:u w:val="double" w:color="FF0000"/>
        </w:rPr>
        <w:t xml:space="preserve"> </w:t>
      </w:r>
      <w:r>
        <w:rPr>
          <w:color w:val="FF0000"/>
          <w:w w:val="95"/>
          <w:u w:val="double" w:color="FF0000"/>
        </w:rPr>
        <w:t>本，按直接材料的定额消耗量或定额成本比例</w:t>
      </w:r>
      <w:r>
        <w:rPr>
          <w:w w:val="95"/>
        </w:rPr>
        <w:t>分配。</w:t>
      </w:r>
      <w:r>
        <w:rPr>
          <w:color w:val="FF0000"/>
          <w:w w:val="95"/>
          <w:u w:val="double" w:color="FF0000"/>
        </w:rPr>
        <w:t xml:space="preserve">直接人工等加工成本，可以按各该定额成本的比例分配，也    </w:t>
      </w:r>
      <w:r>
        <w:rPr>
          <w:color w:val="FF0000"/>
          <w:u w:val="double" w:color="FF0000"/>
        </w:rPr>
        <w:t>可按定额工时比例</w:t>
      </w:r>
      <w:r>
        <w:rPr>
          <w:spacing w:val="-5"/>
        </w:rPr>
        <w:t>分配。这种方法</w:t>
      </w:r>
      <w:r>
        <w:rPr>
          <w:color w:val="FF0000"/>
          <w:spacing w:val="-2"/>
          <w:u w:val="double" w:color="FF0000"/>
        </w:rPr>
        <w:t>适用于各项消耗定额或成本定额比较准确、稳定，但各月末在产品数量变动较大的产品。</w:t>
      </w:r>
    </w:p>
    <w:p>
      <w:pPr>
        <w:pStyle w:val="6"/>
        <w:spacing w:before="0"/>
        <w:ind w:left="0"/>
      </w:pPr>
    </w:p>
    <w:p>
      <w:pPr>
        <w:pStyle w:val="6"/>
        <w:spacing w:before="0"/>
        <w:ind w:left="0"/>
      </w:pPr>
    </w:p>
    <w:p>
      <w:pPr>
        <w:pStyle w:val="6"/>
        <w:spacing w:before="0"/>
        <w:ind w:left="0"/>
      </w:pPr>
    </w:p>
    <w:p>
      <w:pPr>
        <w:pStyle w:val="6"/>
        <w:spacing w:before="2"/>
        <w:ind w:left="0"/>
        <w:rPr>
          <w:sz w:val="18"/>
        </w:rPr>
      </w:pPr>
    </w:p>
    <w:p>
      <w:pPr>
        <w:pStyle w:val="6"/>
        <w:spacing w:before="1"/>
      </w:pPr>
      <w:r>
        <w:rPr>
          <w:color w:val="FF0000"/>
          <w:u w:val="double" w:color="FF0000"/>
        </w:rPr>
        <w:t>两种方法只是计算顺序不同：</w:t>
      </w:r>
    </w:p>
    <w:p>
      <w:pPr>
        <w:pStyle w:val="13"/>
        <w:numPr>
          <w:ilvl w:val="0"/>
          <w:numId w:val="121"/>
        </w:numPr>
        <w:tabs>
          <w:tab w:val="left" w:pos="925"/>
        </w:tabs>
        <w:spacing w:before="67" w:after="0" w:line="240" w:lineRule="auto"/>
        <w:ind w:left="924" w:right="0" w:hanging="202"/>
        <w:jc w:val="left"/>
        <w:rPr>
          <w:sz w:val="20"/>
        </w:rPr>
      </w:pPr>
      <w:r>
        <w:rPr>
          <w:w w:val="95"/>
          <w:sz w:val="20"/>
        </w:rPr>
        <w:t>完工产品成本=完工产品定额×（总成本÷总定额）</w:t>
      </w:r>
    </w:p>
    <w:p>
      <w:pPr>
        <w:pStyle w:val="13"/>
        <w:numPr>
          <w:ilvl w:val="0"/>
          <w:numId w:val="121"/>
        </w:numPr>
        <w:tabs>
          <w:tab w:val="left" w:pos="925"/>
        </w:tabs>
        <w:spacing w:before="70" w:after="0" w:line="240" w:lineRule="auto"/>
        <w:ind w:left="924" w:right="0" w:hanging="202"/>
        <w:jc w:val="left"/>
        <w:rPr>
          <w:sz w:val="20"/>
        </w:rPr>
      </w:pPr>
      <w:r>
        <w:rPr>
          <w:w w:val="95"/>
          <w:sz w:val="20"/>
        </w:rPr>
        <w:t>完工产品成本=总成本×（完工产品定额÷总定额）</w:t>
      </w:r>
    </w:p>
    <w:p>
      <w:pPr>
        <w:pStyle w:val="5"/>
        <w:spacing w:before="71" w:line="304" w:lineRule="auto"/>
        <w:ind w:right="7051"/>
      </w:pPr>
      <w:r>
        <w:t>（三）</w:t>
      </w:r>
      <w:r>
        <w:rPr>
          <w:spacing w:val="-1"/>
        </w:rPr>
        <w:t>联产品和副产品的成本分配</w:t>
      </w:r>
      <w:r>
        <w:t>1.联产品成本的分配</w:t>
      </w:r>
    </w:p>
    <w:p>
      <w:pPr>
        <w:pStyle w:val="6"/>
        <w:spacing w:before="2" w:line="304" w:lineRule="auto"/>
        <w:ind w:right="1862"/>
        <w:rPr>
          <w:b/>
        </w:rPr>
      </w:pPr>
      <w:r>
        <w:rPr>
          <w:w w:val="95"/>
        </w:rPr>
        <w:t>联产品，是指使用同种原料，经过</w:t>
      </w:r>
      <w:r>
        <w:rPr>
          <w:color w:val="FF0000"/>
          <w:w w:val="95"/>
          <w:u w:val="double" w:color="FF0000"/>
        </w:rPr>
        <w:t xml:space="preserve">同一生产过程同时生产出来的两种或两种以上的主要产品。   </w:t>
      </w:r>
      <w:r>
        <w:rPr>
          <w:b/>
          <w:color w:val="00AFEF"/>
          <w:u w:val="double" w:color="FF0000"/>
        </w:rPr>
        <w:t>联产品的生产特点是</w:t>
      </w:r>
    </w:p>
    <w:p>
      <w:pPr>
        <w:pStyle w:val="6"/>
        <w:spacing w:before="0" w:line="304" w:lineRule="auto"/>
        <w:ind w:left="322" w:right="662" w:firstLine="400"/>
      </w:pPr>
      <w:r>
        <w:rPr>
          <w:w w:val="95"/>
        </w:rPr>
        <w:t xml:space="preserve">在生产开始时，各产品尚未分离，同一加工过程中对联产品的联合加工。当生产过程进行到一定生产步骤，   </w:t>
      </w:r>
      <w:r>
        <w:t>产品才会分离。在</w:t>
      </w:r>
      <w:r>
        <w:rPr>
          <w:color w:val="FF0000"/>
          <w:u w:val="double" w:color="FF0000"/>
        </w:rPr>
        <w:t>分离点以前发生的生产成本，称为联合成本。</w:t>
      </w:r>
    </w:p>
    <w:p>
      <w:pPr>
        <w:pStyle w:val="6"/>
        <w:spacing w:before="1" w:line="304" w:lineRule="auto"/>
        <w:ind w:left="322" w:right="720" w:firstLine="400"/>
      </w:pPr>
      <w:r>
        <w:rPr>
          <w:spacing w:val="-5"/>
          <w:w w:val="95"/>
        </w:rPr>
        <w:t xml:space="preserve">分离点是指在联产品生产中，投入相同原料，经过同一生产过程，分离为各种联产品的时点。分离后的联产   </w:t>
      </w:r>
      <w:r>
        <w:rPr>
          <w:spacing w:val="-5"/>
        </w:rPr>
        <w:t>品，有的直接销售，有的还需进一步加工才可供销售。</w:t>
      </w:r>
    </w:p>
    <w:p>
      <w:pPr>
        <w:pStyle w:val="5"/>
        <w:spacing w:before="2"/>
      </w:pPr>
      <w:r>
        <w:rPr>
          <w:color w:val="00AFEF"/>
          <w:u w:val="single" w:color="00AFEF"/>
        </w:rPr>
        <w:t>联产品成本的计算，通常分为两个阶段进行</w:t>
      </w:r>
    </w:p>
    <w:p>
      <w:pPr>
        <w:pStyle w:val="6"/>
        <w:spacing w:line="302" w:lineRule="auto"/>
        <w:ind w:left="322" w:right="651" w:firstLine="400"/>
      </w:pPr>
      <w:r>
        <mc:AlternateContent>
          <mc:Choice Requires="wps">
            <w:drawing>
              <wp:anchor distT="0" distB="0" distL="114300" distR="114300" simplePos="0" relativeHeight="482512896" behindDoc="1" locked="0" layoutInCell="1" allowOverlap="1">
                <wp:simplePos x="0" y="0"/>
                <wp:positionH relativeFrom="page">
                  <wp:posOffset>941705</wp:posOffset>
                </wp:positionH>
                <wp:positionV relativeFrom="paragraph">
                  <wp:posOffset>181610</wp:posOffset>
                </wp:positionV>
                <wp:extent cx="251460" cy="5715"/>
                <wp:effectExtent l="0" t="0" r="0" b="0"/>
                <wp:wrapNone/>
                <wp:docPr id="332" name="任意多边形 288"/>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88" o:spid="_x0000_s1026" o:spt="100" style="position:absolute;left:0pt;margin-left:74.15pt;margin-top:14.3pt;height:0.45pt;width:19.8pt;mso-position-horizontal-relative:page;z-index:-20803584;mso-width-relative:page;mso-height-relative:page;" filled="f" stroked="t" coordsize="396,9" o:gfxdata="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gDAOK9kAAAAJAQAADwAAAAAAAAABACAAAAAiAAAAZHJzL2Rvd25yZXYueG1sUEsBAhQAFAAAAAgA&#10;h07iQHMvPNKWAgAAVwcAAA4AAAAAAAAAAQAgAAAAKA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513920" behindDoc="1" locked="0" layoutInCell="1" allowOverlap="1">
                <wp:simplePos x="0" y="0"/>
                <wp:positionH relativeFrom="page">
                  <wp:posOffset>3708400</wp:posOffset>
                </wp:positionH>
                <wp:positionV relativeFrom="paragraph">
                  <wp:posOffset>388620</wp:posOffset>
                </wp:positionV>
                <wp:extent cx="251460" cy="5715"/>
                <wp:effectExtent l="0" t="0" r="0" b="0"/>
                <wp:wrapNone/>
                <wp:docPr id="336" name="任意多边形 28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89" o:spid="_x0000_s1026" o:spt="100" style="position:absolute;left:0pt;margin-left:292pt;margin-top:30.6pt;height:0.45pt;width:19.8pt;mso-position-horizontal-relative:page;z-index:-20802560;mso-width-relative:page;mso-height-relative:page;" filled="f" stroked="t" coordsize="396,9" o:gfxdata="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GJhOF2QAA&#10;AAkBAAAPAAAAAAAAAAEAIAAAACIAAABkcnMvZG93bnJldi54bWxQSwECFAAUAAAACACHTuJAL5HJ&#10;K48CAABXBwAADgAAAAAAAAABACAAAAAoAQAAZHJzL2Uyb0RvYy54bWxQSwUGAAAAAAYABgBZAQAA&#10;KQY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b/>
          <w:color w:val="00AFEF"/>
          <w:w w:val="95"/>
        </w:rPr>
        <w:t>一是</w:t>
      </w:r>
      <w:r>
        <w:rPr>
          <w:w w:val="95"/>
        </w:rPr>
        <w:t>联产品分离前发生的生产成本即联合成本，可按一个成本核算对象设置一个成本明细账进行归集，然后   将其总额按一定分配方法，在各联产品之间进行分配；</w:t>
      </w:r>
      <w:r>
        <w:rPr>
          <w:b/>
          <w:color w:val="00AFEF"/>
          <w:w w:val="95"/>
        </w:rPr>
        <w:t>二是</w:t>
      </w:r>
      <w:r>
        <w:rPr>
          <w:w w:val="95"/>
        </w:rPr>
        <w:t>分离后按各种产品分别设置明细账，归集其分离后所</w:t>
      </w:r>
    </w:p>
    <w:p>
      <w:pPr>
        <w:spacing w:after="0" w:line="302" w:lineRule="auto"/>
        <w:sectPr>
          <w:pgSz w:w="11910" w:h="16160"/>
          <w:pgMar w:top="1680" w:right="360" w:bottom="860" w:left="760" w:header="0" w:footer="548" w:gutter="0"/>
        </w:sectPr>
      </w:pPr>
    </w:p>
    <w:p>
      <w:pPr>
        <w:pStyle w:val="6"/>
        <w:spacing w:before="11"/>
        <w:ind w:left="0"/>
        <w:rPr>
          <w:sz w:val="13"/>
        </w:rPr>
      </w:pPr>
    </w:p>
    <w:p>
      <w:pPr>
        <w:pStyle w:val="6"/>
        <w:spacing w:before="71"/>
        <w:ind w:left="322"/>
      </w:pPr>
      <w:r>
        <w:t>发生的加工成本。</w:t>
      </w:r>
    </w:p>
    <w:p>
      <w:pPr>
        <w:pStyle w:val="6"/>
        <w:spacing w:line="304" w:lineRule="auto"/>
        <w:ind w:left="322" w:right="761" w:firstLine="400"/>
      </w:pPr>
      <w:r>
        <w:rPr>
          <w:w w:val="95"/>
        </w:rPr>
        <w:t>联合成本在分离点后，可按一定的分配方法，如</w:t>
      </w:r>
      <w:r>
        <w:rPr>
          <w:color w:val="FF0000"/>
          <w:w w:val="95"/>
          <w:u w:val="double" w:color="FF0000"/>
        </w:rPr>
        <w:t>相对销售价格分配法（售价法</w:t>
      </w:r>
      <w:r>
        <w:rPr>
          <w:color w:val="FF0000"/>
          <w:spacing w:val="-99"/>
          <w:w w:val="95"/>
          <w:u w:val="double" w:color="FF0000"/>
        </w:rPr>
        <w:t>）</w:t>
      </w:r>
      <w:r>
        <w:rPr>
          <w:color w:val="FF0000"/>
          <w:w w:val="95"/>
          <w:u w:val="double" w:color="FF0000"/>
        </w:rPr>
        <w:t xml:space="preserve">、实物量分配法、系数分配   </w:t>
      </w:r>
      <w:r>
        <w:rPr>
          <w:color w:val="FF0000"/>
          <w:u w:val="double" w:color="FF0000"/>
        </w:rPr>
        <w:t>法</w:t>
      </w:r>
      <w:r>
        <w:t>等，在各联产品之间进行分配，分别确定各种产品的成本。</w:t>
      </w:r>
    </w:p>
    <w:p>
      <w:pPr>
        <w:pStyle w:val="13"/>
        <w:numPr>
          <w:ilvl w:val="0"/>
          <w:numId w:val="122"/>
        </w:numPr>
        <w:tabs>
          <w:tab w:val="left" w:pos="925"/>
        </w:tabs>
        <w:spacing w:before="2" w:after="0" w:line="240" w:lineRule="auto"/>
        <w:ind w:left="924" w:right="0" w:hanging="202"/>
        <w:jc w:val="left"/>
        <w:rPr>
          <w:sz w:val="20"/>
        </w:rPr>
      </w:pPr>
      <w:r>
        <w:rPr>
          <w:sz w:val="20"/>
        </w:rPr>
        <w:t>相对销售价格分配法:联合成本是按分离点上每种产品的销售价格比例进行分配的。</w:t>
      </w:r>
    </w:p>
    <w:p>
      <w:pPr>
        <w:pStyle w:val="13"/>
        <w:numPr>
          <w:ilvl w:val="0"/>
          <w:numId w:val="122"/>
        </w:numPr>
        <w:tabs>
          <w:tab w:val="left" w:pos="925"/>
        </w:tabs>
        <w:spacing w:before="70" w:after="0" w:line="302" w:lineRule="auto"/>
        <w:ind w:left="322" w:right="761" w:firstLine="400"/>
        <w:jc w:val="left"/>
        <w:rPr>
          <w:sz w:val="20"/>
        </w:rPr>
      </w:pPr>
      <w:r>
        <w:rPr>
          <w:w w:val="95"/>
          <w:sz w:val="20"/>
        </w:rPr>
        <w:t xml:space="preserve">实物量分配法:采用实物量分配法时，联合成本是以产品数量为基础分配的，实物量分配法通常适用于所   </w:t>
      </w:r>
      <w:r>
        <w:rPr>
          <w:sz w:val="20"/>
        </w:rPr>
        <w:t>生产的产品的价格很不稳定或无法直接确定。</w:t>
      </w:r>
    </w:p>
    <w:p>
      <w:pPr>
        <w:pStyle w:val="5"/>
        <w:spacing w:before="5"/>
      </w:pPr>
      <w:r>
        <w:t>2.副产品成本的分配</w:t>
      </w:r>
    </w:p>
    <w:p>
      <w:pPr>
        <w:pStyle w:val="6"/>
      </w:pPr>
      <w:r>
        <w:t>副产品，是指在</w:t>
      </w:r>
      <w:r>
        <w:rPr>
          <w:color w:val="FF0000"/>
          <w:u w:val="double" w:color="FF0000"/>
        </w:rPr>
        <w:t>同一生产过程</w:t>
      </w:r>
      <w:r>
        <w:t>中，使用</w:t>
      </w:r>
      <w:r>
        <w:rPr>
          <w:color w:val="FF0000"/>
          <w:u w:val="double" w:color="FF0000"/>
        </w:rPr>
        <w:t>同种原料</w:t>
      </w:r>
      <w:r>
        <w:t>，在生产主产品的同时附带生产出来的</w:t>
      </w:r>
      <w:r>
        <w:rPr>
          <w:color w:val="FF0000"/>
          <w:u w:val="double" w:color="FF0000"/>
        </w:rPr>
        <w:t>非主要产品。</w:t>
      </w:r>
    </w:p>
    <w:p>
      <w:pPr>
        <w:pStyle w:val="6"/>
        <w:spacing w:line="304" w:lineRule="auto"/>
        <w:ind w:left="322" w:right="720" w:firstLine="400"/>
        <w:jc w:val="both"/>
      </w:pPr>
      <w:r>
        <w:rPr>
          <w:spacing w:val="-2"/>
          <w:w w:val="95"/>
        </w:rPr>
        <w:t>在分配主产品和副产品的生产成本时，通常</w:t>
      </w:r>
      <w:r>
        <w:rPr>
          <w:color w:val="FF0000"/>
          <w:spacing w:val="-3"/>
          <w:w w:val="95"/>
          <w:u w:val="double" w:color="FF0000"/>
        </w:rPr>
        <w:t>先确定副产品的生产成本，然后确定主产品的生产成本；</w:t>
      </w:r>
      <w:r>
        <w:rPr>
          <w:w w:val="95"/>
        </w:rPr>
        <w:t xml:space="preserve">确定副   </w:t>
      </w:r>
      <w:r>
        <w:rPr>
          <w:spacing w:val="-3"/>
          <w:w w:val="95"/>
        </w:rPr>
        <w:t>产品成本的方法有：</w:t>
      </w:r>
      <w:r>
        <w:rPr>
          <w:color w:val="FF0000"/>
          <w:spacing w:val="-3"/>
          <w:w w:val="95"/>
          <w:u w:val="double" w:color="FF0000"/>
        </w:rPr>
        <w:t>不计算副产品扣除成本法、副产品成本按固定价格或计划价格计算法、副产品只负担继续加</w:t>
      </w:r>
      <w:r>
        <w:rPr>
          <w:color w:val="FF0000"/>
          <w:spacing w:val="-199"/>
          <w:w w:val="95"/>
          <w:u w:val="double" w:color="FF0000"/>
        </w:rPr>
        <w:t>工</w:t>
      </w:r>
      <w:r>
        <w:rPr>
          <w:color w:val="FF0000"/>
          <w:spacing w:val="210"/>
          <w:w w:val="95"/>
          <w:u w:val="double" w:color="FF0000"/>
        </w:rPr>
        <w:t xml:space="preserve"> </w:t>
      </w:r>
      <w:r>
        <w:rPr>
          <w:color w:val="FF0000"/>
          <w:u w:val="double" w:color="FF0000"/>
        </w:rPr>
        <w:t>成本法、联合成本在主副产品之间分配法以及副产品作价扣除法</w:t>
      </w:r>
      <w:r>
        <w:t>等。</w:t>
      </w:r>
    </w:p>
    <w:p>
      <w:pPr>
        <w:pStyle w:val="6"/>
        <w:spacing w:before="1"/>
      </w:pPr>
      <w:r>
        <w:rPr>
          <w:color w:val="FF0000"/>
          <w:u w:val="single" w:color="FF0000"/>
        </w:rPr>
        <w:t>副产品作价扣除法需要从产品售价中扣除继续加工成本、销售费用、销售税金及相应的利润。</w:t>
      </w:r>
    </w:p>
    <w:p>
      <w:pPr>
        <w:pStyle w:val="6"/>
        <w:spacing w:before="0" w:line="20" w:lineRule="exact"/>
        <w:ind w:left="718"/>
        <w:rPr>
          <w:sz w:val="2"/>
        </w:rPr>
      </w:pPr>
      <w:r>
        <w:rPr>
          <w:sz w:val="2"/>
        </w:rPr>
        <mc:AlternateContent>
          <mc:Choice Requires="wpg">
            <w:drawing>
              <wp:inline distT="0" distB="0" distL="114300" distR="114300">
                <wp:extent cx="5207635" cy="6350"/>
                <wp:effectExtent l="0" t="0" r="0" b="0"/>
                <wp:docPr id="180" name="组合 290"/>
                <wp:cNvGraphicFramePr/>
                <a:graphic xmlns:a="http://schemas.openxmlformats.org/drawingml/2006/main">
                  <a:graphicData uri="http://schemas.microsoft.com/office/word/2010/wordprocessingGroup">
                    <wpg:wgp>
                      <wpg:cNvGrpSpPr/>
                      <wpg:grpSpPr>
                        <a:xfrm>
                          <a:off x="0" y="0"/>
                          <a:ext cx="5207635" cy="6350"/>
                          <a:chOff x="0" y="0"/>
                          <a:chExt cx="8201" cy="10"/>
                        </a:xfrm>
                      </wpg:grpSpPr>
                      <wps:wsp>
                        <wps:cNvPr id="179" name="直线 291"/>
                        <wps:cNvCnPr/>
                        <wps:spPr>
                          <a:xfrm>
                            <a:off x="0" y="5"/>
                            <a:ext cx="8201" cy="0"/>
                          </a:xfrm>
                          <a:prstGeom prst="line">
                            <a:avLst/>
                          </a:prstGeom>
                          <a:ln w="6096" cap="flat" cmpd="sng">
                            <a:solidFill>
                              <a:srgbClr val="FF0000"/>
                            </a:solidFill>
                            <a:prstDash val="solid"/>
                            <a:headEnd type="none" w="med" len="med"/>
                            <a:tailEnd type="none" w="med" len="med"/>
                          </a:ln>
                        </wps:spPr>
                        <wps:bodyPr upright="1"/>
                      </wps:wsp>
                    </wpg:wgp>
                  </a:graphicData>
                </a:graphic>
              </wp:inline>
            </w:drawing>
          </mc:Choice>
          <mc:Fallback>
            <w:pict>
              <v:group id="组合 290" o:spid="_x0000_s1026" o:spt="203" style="height:0.5pt;width:410.05pt;" coordsize="8201,10" o:gfxdata="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q9fsnTAAAAAwEAAA8AAAAAAAAAAQAgAAAAIgAAAGRycy9kb3ducmV2LnhtbFBL&#10;AQIUABQAAAAIAIdO4kBtmfkjNAIAALgEAAAOAAAAAAAAAAEAIAAAACIBAABkcnMvZTJvRG9jLnht&#10;bFBLBQYAAAAABgAGAFkBAADIBQAAAAA=&#10;">
                <o:lock v:ext="edit" aspectratio="f"/>
                <v:line id="直线 291" o:spid="_x0000_s1026" o:spt="20" style="position:absolute;left:0;top:5;height:0;width:8201;" filled="f" stroked="t" coordsize="21600,21600" o:gfxdata="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eNGvQAA&#10;ANwAAAAPAAAAAAAAAAEAIAAAACIAAABkcnMvZG93bnJldi54bWxQSwECFAAUAAAACACHTuJAMy8F&#10;njsAAAA5AAAAEAAAAAAAAAABACAAAAAMAQAAZHJzL3NoYXBleG1sLnhtbFBLBQYAAAAABgAGAFsB&#10;AAC2AwAAAAA=&#10;">
                  <v:fill on="f" focussize="0,0"/>
                  <v:stroke weight="0.48pt" color="#FF0000" joinstyle="round"/>
                  <v:imagedata o:title=""/>
                  <o:lock v:ext="edit" aspectratio="f"/>
                </v:line>
                <w10:wrap type="none"/>
                <w10:anchorlock/>
              </v:group>
            </w:pict>
          </mc:Fallback>
        </mc:AlternateContent>
      </w:r>
    </w:p>
    <w:p>
      <w:pPr>
        <w:pStyle w:val="6"/>
        <w:spacing w:before="0"/>
        <w:ind w:left="743"/>
      </w:pPr>
      <w:r>
        <mc:AlternateContent>
          <mc:Choice Requires="wps">
            <w:drawing>
              <wp:inline distT="0" distB="0" distL="114300" distR="114300">
                <wp:extent cx="1605915" cy="185420"/>
                <wp:effectExtent l="0" t="0" r="13335" b="5080"/>
                <wp:docPr id="178" name="文本框 292"/>
                <wp:cNvGraphicFramePr/>
                <a:graphic xmlns:a="http://schemas.openxmlformats.org/drawingml/2006/main">
                  <a:graphicData uri="http://schemas.microsoft.com/office/word/2010/wordprocessingShape">
                    <wps:wsp>
                      <wps:cNvSpPr txBox="1"/>
                      <wps:spPr>
                        <a:xfrm>
                          <a:off x="0" y="0"/>
                          <a:ext cx="1605915" cy="185420"/>
                        </a:xfrm>
                        <a:prstGeom prst="rect">
                          <a:avLst/>
                        </a:prstGeom>
                        <a:solidFill>
                          <a:srgbClr val="C0C0C0"/>
                        </a:solidFill>
                        <a:ln>
                          <a:noFill/>
                        </a:ln>
                      </wps:spPr>
                      <wps:txbx>
                        <w:txbxContent>
                          <w:p>
                            <w:pPr>
                              <w:spacing w:before="20"/>
                              <w:ind w:left="-1" w:right="0" w:firstLine="0"/>
                              <w:jc w:val="left"/>
                              <w:rPr>
                                <w:b/>
                                <w:sz w:val="21"/>
                              </w:rPr>
                            </w:pPr>
                            <w:bookmarkStart w:id="189" w:name="（四）完工产品成本的结转"/>
                            <w:bookmarkEnd w:id="189"/>
                            <w:r>
                              <w:rPr>
                                <w:b/>
                                <w:sz w:val="21"/>
                              </w:rPr>
                              <w:t>（四）完工产品成本的结转</w:t>
                            </w:r>
                          </w:p>
                        </w:txbxContent>
                      </wps:txbx>
                      <wps:bodyPr lIns="0" tIns="0" rIns="0" bIns="0" upright="1"/>
                    </wps:wsp>
                  </a:graphicData>
                </a:graphic>
              </wp:inline>
            </w:drawing>
          </mc:Choice>
          <mc:Fallback>
            <w:pict>
              <v:shape id="文本框 292" o:spid="_x0000_s1026" o:spt="202" type="#_x0000_t202" style="height:14.6pt;width:126.45pt;" fillcolor="#C0C0C0" filled="t" stroked="f" coordsize="21600,21600" o:gfxdata="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qPlOtUAAAAEAQAADwAAAAAAAAABACAAAAAiAAAAZHJzL2Rvd25yZXYueG1sUEsBAhQAFAAA&#10;AAgAh07iQGSbxfG5AQAAUQMAAA4AAAAAAAAAAQAgAAAAJAEAAGRycy9lMm9Eb2MueG1sUEsFBgAA&#10;AAAGAAYAWQEAAE8FAAAAAA==&#10;">
                <v:fill on="t" focussize="0,0"/>
                <v:stroke on="f"/>
                <v:imagedata o:title=""/>
                <o:lock v:ext="edit" aspectratio="f"/>
                <v:textbox inset="0mm,0mm,0mm,0mm">
                  <w:txbxContent>
                    <w:p>
                      <w:pPr>
                        <w:spacing w:before="20"/>
                        <w:ind w:left="-1" w:right="0" w:firstLine="0"/>
                        <w:jc w:val="left"/>
                        <w:rPr>
                          <w:b/>
                          <w:sz w:val="21"/>
                        </w:rPr>
                      </w:pPr>
                      <w:bookmarkStart w:id="189" w:name="（四）完工产品成本的结转"/>
                      <w:bookmarkEnd w:id="189"/>
                      <w:r>
                        <w:rPr>
                          <w:b/>
                          <w:sz w:val="21"/>
                        </w:rPr>
                        <w:t>（四）完工产品成本的结转</w:t>
                      </w:r>
                    </w:p>
                  </w:txbxContent>
                </v:textbox>
                <w10:wrap type="none"/>
                <w10:anchorlock/>
              </v:shape>
            </w:pict>
          </mc:Fallback>
        </mc:AlternateContent>
      </w:r>
    </w:p>
    <w:p>
      <w:pPr>
        <w:pStyle w:val="6"/>
        <w:spacing w:before="47" w:line="304" w:lineRule="auto"/>
        <w:ind w:left="322" w:right="722" w:firstLine="400"/>
      </w:pPr>
      <w:r>
        <w:rPr>
          <w:spacing w:val="-4"/>
          <w:w w:val="95"/>
        </w:rPr>
        <w:t xml:space="preserve">企业完工产品经产成品仓库验收入库后，其成本应从“生产成本—基本生产成本”科目及所属产品成本明细   </w:t>
      </w:r>
      <w:r>
        <w:rPr>
          <w:spacing w:val="-4"/>
        </w:rPr>
        <w:t>账的贷方转出，转入“库存商品”科目的借方。</w:t>
      </w:r>
    </w:p>
    <w:p>
      <w:pPr>
        <w:pStyle w:val="3"/>
        <w:tabs>
          <w:tab w:val="left" w:pos="839"/>
        </w:tabs>
        <w:spacing w:before="52"/>
        <w:ind w:left="0" w:right="399"/>
        <w:jc w:val="center"/>
        <w:rPr>
          <w:rFonts w:hint="eastAsia" w:ascii="微软雅黑" w:eastAsia="微软雅黑"/>
        </w:rPr>
      </w:pPr>
      <w:bookmarkStart w:id="159" w:name="第四节　产品成本计算"/>
      <w:bookmarkEnd w:id="159"/>
      <w:bookmarkStart w:id="160" w:name="_bookmark37"/>
      <w:bookmarkEnd w:id="160"/>
      <w:r>
        <w:rPr>
          <w:rFonts w:hint="eastAsia" w:ascii="微软雅黑" w:eastAsia="微软雅黑"/>
          <w:shd w:val="clear" w:color="auto" w:fill="FFFF00"/>
        </w:rPr>
        <w:t>第四节</w:t>
      </w:r>
      <w:r>
        <w:rPr>
          <w:rFonts w:hint="eastAsia" w:ascii="微软雅黑" w:eastAsia="微软雅黑"/>
          <w:shd w:val="clear" w:color="auto" w:fill="FFFF00"/>
        </w:rPr>
        <w:tab/>
      </w:r>
      <w:r>
        <w:rPr>
          <w:rFonts w:hint="eastAsia" w:ascii="微软雅黑" w:eastAsia="微软雅黑"/>
          <w:shd w:val="clear" w:color="auto" w:fill="FFFF00"/>
        </w:rPr>
        <w:t>产品成本计算</w:t>
      </w:r>
    </w:p>
    <w:p>
      <w:pPr>
        <w:spacing w:before="138"/>
        <w:ind w:left="742" w:right="0" w:firstLine="0"/>
        <w:jc w:val="left"/>
        <w:rPr>
          <w:b/>
          <w:sz w:val="21"/>
        </w:rPr>
      </w:pPr>
      <w:bookmarkStart w:id="161" w:name="一、产品成本核算方法概述"/>
      <w:bookmarkEnd w:id="161"/>
      <w:r>
        <w:rPr>
          <w:b/>
          <w:sz w:val="21"/>
          <w:shd w:val="clear" w:color="auto" w:fill="C0C0C0"/>
        </w:rPr>
        <w:t>一、产品成本核算方法概述</w:t>
      </w:r>
    </w:p>
    <w:p>
      <w:pPr>
        <w:pStyle w:val="5"/>
        <w:spacing w:before="92"/>
      </w:pPr>
      <w:r>
        <w:t>（一）生产特点对产品成本计算的影响</w:t>
      </w:r>
    </w:p>
    <w:p>
      <w:pPr>
        <w:pStyle w:val="6"/>
        <w:spacing w:line="304" w:lineRule="auto"/>
        <w:ind w:left="322" w:right="647" w:firstLine="400"/>
      </w:pPr>
      <w:r>
        <w:rPr>
          <w:w w:val="95"/>
        </w:rPr>
        <w:t>根据生产工艺过程的特点，工业企业的生产可分为</w:t>
      </w:r>
      <w:r>
        <w:rPr>
          <w:color w:val="FF0000"/>
          <w:w w:val="95"/>
          <w:u w:val="double" w:color="FF0000"/>
        </w:rPr>
        <w:t>单步骤生产和多步骤生产</w:t>
      </w:r>
      <w:r>
        <w:rPr>
          <w:w w:val="95"/>
        </w:rPr>
        <w:t xml:space="preserve">两种。根据生产组织的特点，工   </w:t>
      </w:r>
      <w:r>
        <w:t>业企业生产可分为</w:t>
      </w:r>
      <w:r>
        <w:rPr>
          <w:color w:val="FF0000"/>
          <w:u w:val="double" w:color="FF0000"/>
        </w:rPr>
        <w:t>大量生产、成批生产和单件生产</w:t>
      </w:r>
      <w:r>
        <w:t>三种。</w:t>
      </w:r>
    </w:p>
    <w:p>
      <w:pPr>
        <w:pStyle w:val="6"/>
        <w:spacing w:before="0" w:line="304" w:lineRule="auto"/>
        <w:ind w:left="322" w:right="722" w:firstLine="400"/>
      </w:pPr>
      <w:r>
        <w:rPr>
          <w:spacing w:val="-2"/>
          <w:w w:val="95"/>
        </w:rPr>
        <w:t>确定产品成本计算方法的主要因素有：</w:t>
      </w:r>
      <w:r>
        <w:rPr>
          <w:color w:val="FF0000"/>
          <w:spacing w:val="-5"/>
          <w:w w:val="95"/>
          <w:u w:val="double" w:color="FF0000"/>
        </w:rPr>
        <w:t>成本计算对象、成本计算期及生产费用在完工产品与在产品之间的分</w:t>
      </w:r>
      <w:r>
        <w:rPr>
          <w:color w:val="FF0000"/>
          <w:spacing w:val="-199"/>
          <w:w w:val="95"/>
          <w:u w:val="double" w:color="FF0000"/>
        </w:rPr>
        <w:t>配</w:t>
      </w:r>
      <w:r>
        <w:rPr>
          <w:color w:val="FF0000"/>
          <w:spacing w:val="189"/>
          <w:w w:val="95"/>
          <w:u w:val="double" w:color="FF0000"/>
        </w:rPr>
        <w:t xml:space="preserve"> </w:t>
      </w:r>
      <w:r>
        <w:rPr>
          <w:color w:val="FF0000"/>
          <w:u w:val="double" w:color="FF0000"/>
        </w:rPr>
        <w:t>。</w:t>
      </w:r>
      <w:r>
        <w:t>因此，成本计算对象的确定，是正确计算产品成本的前提，也是区别各种成本计算方法的主要标志。</w:t>
      </w:r>
    </w:p>
    <w:p>
      <w:pPr>
        <w:pStyle w:val="5"/>
        <w:spacing w:before="1"/>
      </w:pPr>
      <w:r>
        <w:rPr>
          <w:w w:val="95"/>
        </w:rPr>
        <w:t>（二）产品成本计算的主要方法</w:t>
      </w:r>
    </w:p>
    <w:p>
      <w:pPr>
        <w:pStyle w:val="6"/>
        <w:spacing w:line="304" w:lineRule="auto"/>
        <w:ind w:right="621"/>
      </w:pPr>
      <w:r>
        <mc:AlternateContent>
          <mc:Choice Requires="wps">
            <w:drawing>
              <wp:anchor distT="0" distB="0" distL="114300" distR="114300" simplePos="0" relativeHeight="15883264" behindDoc="0" locked="0" layoutInCell="1" allowOverlap="1">
                <wp:simplePos x="0" y="0"/>
                <wp:positionH relativeFrom="page">
                  <wp:posOffset>615950</wp:posOffset>
                </wp:positionH>
                <wp:positionV relativeFrom="paragraph">
                  <wp:posOffset>414020</wp:posOffset>
                </wp:positionV>
                <wp:extent cx="6409055" cy="1532890"/>
                <wp:effectExtent l="0" t="0" r="0" b="0"/>
                <wp:wrapNone/>
                <wp:docPr id="168" name="文本框 293"/>
                <wp:cNvGraphicFramePr/>
                <a:graphic xmlns:a="http://schemas.openxmlformats.org/drawingml/2006/main">
                  <a:graphicData uri="http://schemas.microsoft.com/office/word/2010/wordprocessingShape">
                    <wps:wsp>
                      <wps:cNvSpPr txBox="1"/>
                      <wps:spPr>
                        <a:xfrm>
                          <a:off x="0" y="0"/>
                          <a:ext cx="6409055" cy="153289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19"/>
                              <w:gridCol w:w="2519"/>
                              <w:gridCol w:w="252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5038" w:type="dxa"/>
                                  <w:gridSpan w:val="2"/>
                                </w:tcPr>
                                <w:p>
                                  <w:pPr>
                                    <w:pStyle w:val="14"/>
                                    <w:spacing w:before="72" w:line="240" w:lineRule="exact"/>
                                    <w:ind w:left="2297" w:right="1891"/>
                                    <w:jc w:val="center"/>
                                    <w:rPr>
                                      <w:sz w:val="20"/>
                                    </w:rPr>
                                  </w:pPr>
                                  <w:r>
                                    <w:rPr>
                                      <w:sz w:val="20"/>
                                    </w:rPr>
                                    <w:t>生产类型</w:t>
                                  </w:r>
                                </w:p>
                              </w:tc>
                              <w:tc>
                                <w:tcPr>
                                  <w:tcW w:w="2520" w:type="dxa"/>
                                  <w:vMerge w:val="restart"/>
                                </w:tcPr>
                                <w:p>
                                  <w:pPr>
                                    <w:pStyle w:val="14"/>
                                    <w:spacing w:before="15" w:line="320" w:lineRule="atLeast"/>
                                    <w:ind w:left="1258" w:right="649" w:hanging="200"/>
                                    <w:rPr>
                                      <w:sz w:val="20"/>
                                    </w:rPr>
                                  </w:pPr>
                                  <w:r>
                                    <w:rPr>
                                      <w:sz w:val="20"/>
                                    </w:rPr>
                                    <w:t>成本计算方法</w:t>
                                  </w:r>
                                </w:p>
                              </w:tc>
                              <w:tc>
                                <w:tcPr>
                                  <w:tcW w:w="2520" w:type="dxa"/>
                                  <w:vMerge w:val="restart"/>
                                </w:tcPr>
                                <w:p>
                                  <w:pPr>
                                    <w:pStyle w:val="14"/>
                                    <w:spacing w:before="15" w:line="320" w:lineRule="atLeast"/>
                                    <w:ind w:left="1258" w:right="649" w:hanging="200"/>
                                    <w:rPr>
                                      <w:sz w:val="20"/>
                                    </w:rPr>
                                  </w:pPr>
                                  <w:r>
                                    <w:rPr>
                                      <w:sz w:val="20"/>
                                    </w:rPr>
                                    <w:t>成本计算对象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tcPr>
                                <w:p>
                                  <w:pPr>
                                    <w:pStyle w:val="14"/>
                                    <w:spacing w:before="71" w:line="241" w:lineRule="exact"/>
                                    <w:ind w:left="858"/>
                                    <w:rPr>
                                      <w:sz w:val="20"/>
                                    </w:rPr>
                                  </w:pPr>
                                  <w:r>
                                    <w:rPr>
                                      <w:sz w:val="20"/>
                                    </w:rPr>
                                    <w:t>生产组织特点</w:t>
                                  </w:r>
                                </w:p>
                              </w:tc>
                              <w:tc>
                                <w:tcPr>
                                  <w:tcW w:w="2519" w:type="dxa"/>
                                </w:tcPr>
                                <w:p>
                                  <w:pPr>
                                    <w:pStyle w:val="14"/>
                                    <w:spacing w:before="71" w:line="241" w:lineRule="exact"/>
                                    <w:ind w:right="447"/>
                                    <w:jc w:val="right"/>
                                    <w:rPr>
                                      <w:sz w:val="20"/>
                                    </w:rPr>
                                  </w:pPr>
                                  <w:r>
                                    <w:rPr>
                                      <w:w w:val="95"/>
                                      <w:sz w:val="20"/>
                                    </w:rPr>
                                    <w:t>生产工艺特点</w:t>
                                  </w:r>
                                </w:p>
                              </w:tc>
                              <w:tc>
                                <w:tcPr>
                                  <w:tcW w:w="2520" w:type="dxa"/>
                                  <w:vMerge w:val="continue"/>
                                  <w:tcBorders>
                                    <w:top w:val="nil"/>
                                  </w:tcBorders>
                                </w:tcPr>
                                <w:p>
                                  <w:pPr>
                                    <w:rPr>
                                      <w:sz w:val="2"/>
                                      <w:szCs w:val="2"/>
                                    </w:rPr>
                                  </w:pPr>
                                </w:p>
                              </w:tc>
                              <w:tc>
                                <w:tcPr>
                                  <w:tcW w:w="252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vMerge w:val="restart"/>
                                </w:tcPr>
                                <w:p>
                                  <w:pPr>
                                    <w:pStyle w:val="14"/>
                                    <w:rPr>
                                      <w:sz w:val="20"/>
                                    </w:rPr>
                                  </w:pPr>
                                </w:p>
                                <w:p>
                                  <w:pPr>
                                    <w:pStyle w:val="14"/>
                                    <w:spacing w:before="156"/>
                                    <w:ind w:left="858"/>
                                    <w:rPr>
                                      <w:sz w:val="20"/>
                                    </w:rPr>
                                  </w:pPr>
                                  <w:r>
                                    <w:rPr>
                                      <w:sz w:val="20"/>
                                    </w:rPr>
                                    <w:t>大量大批生产</w:t>
                                  </w:r>
                                </w:p>
                              </w:tc>
                              <w:tc>
                                <w:tcPr>
                                  <w:tcW w:w="2519" w:type="dxa"/>
                                </w:tcPr>
                                <w:p>
                                  <w:pPr>
                                    <w:pStyle w:val="14"/>
                                    <w:spacing w:before="72" w:line="240" w:lineRule="exact"/>
                                    <w:ind w:right="551"/>
                                    <w:jc w:val="right"/>
                                    <w:rPr>
                                      <w:sz w:val="20"/>
                                    </w:rPr>
                                  </w:pPr>
                                  <w:r>
                                    <w:rPr>
                                      <w:w w:val="95"/>
                                      <w:sz w:val="20"/>
                                    </w:rPr>
                                    <w:t>单步骤生产</w:t>
                                  </w:r>
                                </w:p>
                              </w:tc>
                              <w:tc>
                                <w:tcPr>
                                  <w:tcW w:w="2520" w:type="dxa"/>
                                </w:tcPr>
                                <w:p>
                                  <w:pPr>
                                    <w:pStyle w:val="14"/>
                                    <w:spacing w:before="72" w:line="240" w:lineRule="exact"/>
                                    <w:ind w:right="747"/>
                                    <w:jc w:val="right"/>
                                    <w:rPr>
                                      <w:sz w:val="20"/>
                                    </w:rPr>
                                  </w:pPr>
                                  <w:r>
                                    <w:rPr>
                                      <w:w w:val="95"/>
                                      <w:sz w:val="20"/>
                                    </w:rPr>
                                    <w:t>品种法</w:t>
                                  </w:r>
                                </w:p>
                              </w:tc>
                              <w:tc>
                                <w:tcPr>
                                  <w:tcW w:w="2520" w:type="dxa"/>
                                </w:tcPr>
                                <w:p>
                                  <w:pPr>
                                    <w:pStyle w:val="14"/>
                                    <w:spacing w:before="72" w:line="240" w:lineRule="exact"/>
                                    <w:ind w:right="649"/>
                                    <w:jc w:val="right"/>
                                    <w:rPr>
                                      <w:sz w:val="20"/>
                                    </w:rPr>
                                  </w:pPr>
                                  <w:r>
                                    <w:rPr>
                                      <w:w w:val="95"/>
                                      <w:sz w:val="20"/>
                                    </w:rPr>
                                    <w:t>产品品种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vMerge w:val="continue"/>
                                  <w:tcBorders>
                                    <w:top w:val="nil"/>
                                  </w:tcBorders>
                                </w:tcPr>
                                <w:p>
                                  <w:pPr>
                                    <w:rPr>
                                      <w:sz w:val="2"/>
                                      <w:szCs w:val="2"/>
                                    </w:rPr>
                                  </w:pPr>
                                </w:p>
                              </w:tc>
                              <w:tc>
                                <w:tcPr>
                                  <w:tcW w:w="2519" w:type="dxa"/>
                                  <w:vMerge w:val="restart"/>
                                </w:tcPr>
                                <w:p>
                                  <w:pPr>
                                    <w:pStyle w:val="14"/>
                                    <w:rPr>
                                      <w:sz w:val="19"/>
                                    </w:rPr>
                                  </w:pPr>
                                </w:p>
                                <w:p>
                                  <w:pPr>
                                    <w:pStyle w:val="14"/>
                                    <w:ind w:left="957"/>
                                    <w:rPr>
                                      <w:sz w:val="20"/>
                                    </w:rPr>
                                  </w:pPr>
                                  <w:r>
                                    <w:rPr>
                                      <w:sz w:val="20"/>
                                    </w:rPr>
                                    <w:t>多步骤生产</w:t>
                                  </w:r>
                                </w:p>
                              </w:tc>
                              <w:tc>
                                <w:tcPr>
                                  <w:tcW w:w="2520" w:type="dxa"/>
                                </w:tcPr>
                                <w:p>
                                  <w:pPr>
                                    <w:pStyle w:val="14"/>
                                    <w:spacing w:before="71" w:line="241" w:lineRule="exact"/>
                                    <w:ind w:right="747"/>
                                    <w:jc w:val="right"/>
                                    <w:rPr>
                                      <w:sz w:val="20"/>
                                    </w:rPr>
                                  </w:pPr>
                                  <w:r>
                                    <w:rPr>
                                      <w:w w:val="95"/>
                                      <w:sz w:val="20"/>
                                    </w:rPr>
                                    <w:t>品种法</w:t>
                                  </w:r>
                                </w:p>
                              </w:tc>
                              <w:tc>
                                <w:tcPr>
                                  <w:tcW w:w="2520" w:type="dxa"/>
                                </w:tcPr>
                                <w:p>
                                  <w:pPr>
                                    <w:pStyle w:val="14"/>
                                    <w:spacing w:before="71" w:line="241" w:lineRule="exact"/>
                                    <w:ind w:right="649"/>
                                    <w:jc w:val="right"/>
                                    <w:rPr>
                                      <w:sz w:val="20"/>
                                    </w:rPr>
                                  </w:pPr>
                                  <w:r>
                                    <w:rPr>
                                      <w:w w:val="95"/>
                                      <w:sz w:val="20"/>
                                    </w:rPr>
                                    <w:t>产品品种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1" w:hRule="atLeast"/>
                              </w:trPr>
                              <w:tc>
                                <w:tcPr>
                                  <w:tcW w:w="2519" w:type="dxa"/>
                                  <w:vMerge w:val="continue"/>
                                  <w:tcBorders>
                                    <w:top w:val="nil"/>
                                  </w:tcBorders>
                                </w:tcPr>
                                <w:p>
                                  <w:pPr>
                                    <w:rPr>
                                      <w:sz w:val="2"/>
                                      <w:szCs w:val="2"/>
                                    </w:rPr>
                                  </w:pPr>
                                </w:p>
                              </w:tc>
                              <w:tc>
                                <w:tcPr>
                                  <w:tcW w:w="2519" w:type="dxa"/>
                                  <w:vMerge w:val="continue"/>
                                  <w:tcBorders>
                                    <w:top w:val="nil"/>
                                  </w:tcBorders>
                                </w:tcPr>
                                <w:p>
                                  <w:pPr>
                                    <w:rPr>
                                      <w:sz w:val="2"/>
                                      <w:szCs w:val="2"/>
                                    </w:rPr>
                                  </w:pPr>
                                </w:p>
                              </w:tc>
                              <w:tc>
                                <w:tcPr>
                                  <w:tcW w:w="2520" w:type="dxa"/>
                                </w:tcPr>
                                <w:p>
                                  <w:pPr>
                                    <w:pStyle w:val="14"/>
                                    <w:spacing w:before="72" w:line="240" w:lineRule="exact"/>
                                    <w:ind w:right="747"/>
                                    <w:jc w:val="right"/>
                                    <w:rPr>
                                      <w:sz w:val="20"/>
                                    </w:rPr>
                                  </w:pPr>
                                  <w:r>
                                    <w:rPr>
                                      <w:w w:val="95"/>
                                      <w:sz w:val="20"/>
                                    </w:rPr>
                                    <w:t>分步法</w:t>
                                  </w:r>
                                </w:p>
                              </w:tc>
                              <w:tc>
                                <w:tcPr>
                                  <w:tcW w:w="2520" w:type="dxa"/>
                                </w:tcPr>
                                <w:p>
                                  <w:pPr>
                                    <w:pStyle w:val="14"/>
                                    <w:spacing w:before="72" w:line="240" w:lineRule="exact"/>
                                    <w:ind w:right="649"/>
                                    <w:jc w:val="right"/>
                                    <w:rPr>
                                      <w:sz w:val="20"/>
                                    </w:rPr>
                                  </w:pPr>
                                  <w:r>
                                    <w:rPr>
                                      <w:w w:val="95"/>
                                      <w:sz w:val="20"/>
                                    </w:rPr>
                                    <w:t>生产步骤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vMerge w:val="restart"/>
                                </w:tcPr>
                                <w:p>
                                  <w:pPr>
                                    <w:pStyle w:val="14"/>
                                    <w:spacing w:before="5"/>
                                    <w:rPr>
                                      <w:sz w:val="19"/>
                                    </w:rPr>
                                  </w:pPr>
                                </w:p>
                                <w:p>
                                  <w:pPr>
                                    <w:pStyle w:val="14"/>
                                    <w:ind w:left="858"/>
                                    <w:rPr>
                                      <w:sz w:val="20"/>
                                    </w:rPr>
                                  </w:pPr>
                                  <w:r>
                                    <w:rPr>
                                      <w:sz w:val="20"/>
                                    </w:rPr>
                                    <w:t>单件小批生产</w:t>
                                  </w:r>
                                </w:p>
                              </w:tc>
                              <w:tc>
                                <w:tcPr>
                                  <w:tcW w:w="2519" w:type="dxa"/>
                                </w:tcPr>
                                <w:p>
                                  <w:pPr>
                                    <w:pStyle w:val="14"/>
                                    <w:spacing w:before="71" w:line="241" w:lineRule="exact"/>
                                    <w:ind w:right="551"/>
                                    <w:jc w:val="right"/>
                                    <w:rPr>
                                      <w:sz w:val="20"/>
                                    </w:rPr>
                                  </w:pPr>
                                  <w:r>
                                    <w:rPr>
                                      <w:w w:val="95"/>
                                      <w:sz w:val="20"/>
                                    </w:rPr>
                                    <w:t>单步骤生产</w:t>
                                  </w:r>
                                </w:p>
                              </w:tc>
                              <w:tc>
                                <w:tcPr>
                                  <w:tcW w:w="2520" w:type="dxa"/>
                                  <w:vMerge w:val="restart"/>
                                </w:tcPr>
                                <w:p>
                                  <w:pPr>
                                    <w:pStyle w:val="14"/>
                                    <w:spacing w:before="5"/>
                                    <w:rPr>
                                      <w:sz w:val="19"/>
                                    </w:rPr>
                                  </w:pPr>
                                </w:p>
                                <w:p>
                                  <w:pPr>
                                    <w:pStyle w:val="14"/>
                                    <w:ind w:left="1160"/>
                                    <w:rPr>
                                      <w:sz w:val="20"/>
                                    </w:rPr>
                                  </w:pPr>
                                  <w:r>
                                    <w:rPr>
                                      <w:sz w:val="20"/>
                                    </w:rPr>
                                    <w:t>分批法</w:t>
                                  </w:r>
                                </w:p>
                              </w:tc>
                              <w:tc>
                                <w:tcPr>
                                  <w:tcW w:w="2520" w:type="dxa"/>
                                  <w:vMerge w:val="restart"/>
                                </w:tcPr>
                                <w:p>
                                  <w:pPr>
                                    <w:pStyle w:val="14"/>
                                    <w:spacing w:before="5"/>
                                    <w:rPr>
                                      <w:sz w:val="19"/>
                                    </w:rPr>
                                  </w:pPr>
                                </w:p>
                                <w:p>
                                  <w:pPr>
                                    <w:pStyle w:val="14"/>
                                    <w:ind w:left="1059"/>
                                    <w:rPr>
                                      <w:sz w:val="20"/>
                                    </w:rPr>
                                  </w:pPr>
                                  <w:r>
                                    <w:rPr>
                                      <w:sz w:val="20"/>
                                    </w:rPr>
                                    <w:t>产品批别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2519" w:type="dxa"/>
                                  <w:vMerge w:val="continue"/>
                                  <w:tcBorders>
                                    <w:top w:val="nil"/>
                                  </w:tcBorders>
                                </w:tcPr>
                                <w:p>
                                  <w:pPr>
                                    <w:rPr>
                                      <w:sz w:val="2"/>
                                      <w:szCs w:val="2"/>
                                    </w:rPr>
                                  </w:pPr>
                                </w:p>
                              </w:tc>
                              <w:tc>
                                <w:tcPr>
                                  <w:tcW w:w="2519" w:type="dxa"/>
                                </w:tcPr>
                                <w:p>
                                  <w:pPr>
                                    <w:pStyle w:val="14"/>
                                    <w:spacing w:before="69" w:line="252" w:lineRule="exact"/>
                                    <w:ind w:right="551"/>
                                    <w:jc w:val="right"/>
                                    <w:rPr>
                                      <w:sz w:val="20"/>
                                    </w:rPr>
                                  </w:pPr>
                                  <w:r>
                                    <w:rPr>
                                      <w:w w:val="95"/>
                                      <w:sz w:val="20"/>
                                    </w:rPr>
                                    <w:t>多步骤生产</w:t>
                                  </w:r>
                                </w:p>
                              </w:tc>
                              <w:tc>
                                <w:tcPr>
                                  <w:tcW w:w="2520" w:type="dxa"/>
                                  <w:vMerge w:val="continue"/>
                                  <w:tcBorders>
                                    <w:top w:val="nil"/>
                                  </w:tcBorders>
                                </w:tcPr>
                                <w:p>
                                  <w:pPr>
                                    <w:rPr>
                                      <w:sz w:val="2"/>
                                      <w:szCs w:val="2"/>
                                    </w:rPr>
                                  </w:pPr>
                                </w:p>
                              </w:tc>
                              <w:tc>
                                <w:tcPr>
                                  <w:tcW w:w="2520" w:type="dxa"/>
                                  <w:vMerge w:val="continue"/>
                                  <w:tcBorders>
                                    <w:top w:val="nil"/>
                                  </w:tcBorders>
                                </w:tcPr>
                                <w:p>
                                  <w:pPr>
                                    <w:rPr>
                                      <w:sz w:val="2"/>
                                      <w:szCs w:val="2"/>
                                    </w:rPr>
                                  </w:pPr>
                                </w:p>
                              </w:tc>
                            </w:tr>
                          </w:tbl>
                          <w:p>
                            <w:pPr>
                              <w:pStyle w:val="6"/>
                              <w:spacing w:before="0"/>
                              <w:ind w:left="0"/>
                            </w:pPr>
                          </w:p>
                        </w:txbxContent>
                      </wps:txbx>
                      <wps:bodyPr lIns="0" tIns="0" rIns="0" bIns="0" upright="1"/>
                    </wps:wsp>
                  </a:graphicData>
                </a:graphic>
              </wp:anchor>
            </w:drawing>
          </mc:Choice>
          <mc:Fallback>
            <w:pict>
              <v:shape id="文本框 293" o:spid="_x0000_s1026" o:spt="202" type="#_x0000_t202" style="position:absolute;left:0pt;margin-left:48.5pt;margin-top:32.6pt;height:120.7pt;width:504.65pt;mso-position-horizontal-relative:page;z-index:15883264;mso-width-relative:page;mso-height-relative:page;" filled="f" stroked="f" coordsize="21600,21600" o:gfxdata="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sIIA9kAAAAKAQAADwAA&#10;AAAAAAABACAAAAAiAAAAZHJzL2Rvd25yZXYueG1sUEsBAhQAFAAAAAgAh07iQEq/6OejAQAAKQMA&#10;AA4AAAAAAAAAAQAgAAAAKAEAAGRycy9lMm9Eb2MueG1sUEsFBgAAAAAGAAYAWQEAAD0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19"/>
                        <w:gridCol w:w="2519"/>
                        <w:gridCol w:w="252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5038" w:type="dxa"/>
                            <w:gridSpan w:val="2"/>
                          </w:tcPr>
                          <w:p>
                            <w:pPr>
                              <w:pStyle w:val="14"/>
                              <w:spacing w:before="72" w:line="240" w:lineRule="exact"/>
                              <w:ind w:left="2297" w:right="1891"/>
                              <w:jc w:val="center"/>
                              <w:rPr>
                                <w:sz w:val="20"/>
                              </w:rPr>
                            </w:pPr>
                            <w:r>
                              <w:rPr>
                                <w:sz w:val="20"/>
                              </w:rPr>
                              <w:t>生产类型</w:t>
                            </w:r>
                          </w:p>
                        </w:tc>
                        <w:tc>
                          <w:tcPr>
                            <w:tcW w:w="2520" w:type="dxa"/>
                            <w:vMerge w:val="restart"/>
                          </w:tcPr>
                          <w:p>
                            <w:pPr>
                              <w:pStyle w:val="14"/>
                              <w:spacing w:before="15" w:line="320" w:lineRule="atLeast"/>
                              <w:ind w:left="1258" w:right="649" w:hanging="200"/>
                              <w:rPr>
                                <w:sz w:val="20"/>
                              </w:rPr>
                            </w:pPr>
                            <w:r>
                              <w:rPr>
                                <w:sz w:val="20"/>
                              </w:rPr>
                              <w:t>成本计算方法</w:t>
                            </w:r>
                          </w:p>
                        </w:tc>
                        <w:tc>
                          <w:tcPr>
                            <w:tcW w:w="2520" w:type="dxa"/>
                            <w:vMerge w:val="restart"/>
                          </w:tcPr>
                          <w:p>
                            <w:pPr>
                              <w:pStyle w:val="14"/>
                              <w:spacing w:before="15" w:line="320" w:lineRule="atLeast"/>
                              <w:ind w:left="1258" w:right="649" w:hanging="200"/>
                              <w:rPr>
                                <w:sz w:val="20"/>
                              </w:rPr>
                            </w:pPr>
                            <w:r>
                              <w:rPr>
                                <w:sz w:val="20"/>
                              </w:rPr>
                              <w:t>成本计算对象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tcPr>
                          <w:p>
                            <w:pPr>
                              <w:pStyle w:val="14"/>
                              <w:spacing w:before="71" w:line="241" w:lineRule="exact"/>
                              <w:ind w:left="858"/>
                              <w:rPr>
                                <w:sz w:val="20"/>
                              </w:rPr>
                            </w:pPr>
                            <w:r>
                              <w:rPr>
                                <w:sz w:val="20"/>
                              </w:rPr>
                              <w:t>生产组织特点</w:t>
                            </w:r>
                          </w:p>
                        </w:tc>
                        <w:tc>
                          <w:tcPr>
                            <w:tcW w:w="2519" w:type="dxa"/>
                          </w:tcPr>
                          <w:p>
                            <w:pPr>
                              <w:pStyle w:val="14"/>
                              <w:spacing w:before="71" w:line="241" w:lineRule="exact"/>
                              <w:ind w:right="447"/>
                              <w:jc w:val="right"/>
                              <w:rPr>
                                <w:sz w:val="20"/>
                              </w:rPr>
                            </w:pPr>
                            <w:r>
                              <w:rPr>
                                <w:w w:val="95"/>
                                <w:sz w:val="20"/>
                              </w:rPr>
                              <w:t>生产工艺特点</w:t>
                            </w:r>
                          </w:p>
                        </w:tc>
                        <w:tc>
                          <w:tcPr>
                            <w:tcW w:w="2520" w:type="dxa"/>
                            <w:vMerge w:val="continue"/>
                            <w:tcBorders>
                              <w:top w:val="nil"/>
                            </w:tcBorders>
                          </w:tcPr>
                          <w:p>
                            <w:pPr>
                              <w:rPr>
                                <w:sz w:val="2"/>
                                <w:szCs w:val="2"/>
                              </w:rPr>
                            </w:pPr>
                          </w:p>
                        </w:tc>
                        <w:tc>
                          <w:tcPr>
                            <w:tcW w:w="252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vMerge w:val="restart"/>
                          </w:tcPr>
                          <w:p>
                            <w:pPr>
                              <w:pStyle w:val="14"/>
                              <w:rPr>
                                <w:sz w:val="20"/>
                              </w:rPr>
                            </w:pPr>
                          </w:p>
                          <w:p>
                            <w:pPr>
                              <w:pStyle w:val="14"/>
                              <w:spacing w:before="156"/>
                              <w:ind w:left="858"/>
                              <w:rPr>
                                <w:sz w:val="20"/>
                              </w:rPr>
                            </w:pPr>
                            <w:r>
                              <w:rPr>
                                <w:sz w:val="20"/>
                              </w:rPr>
                              <w:t>大量大批生产</w:t>
                            </w:r>
                          </w:p>
                        </w:tc>
                        <w:tc>
                          <w:tcPr>
                            <w:tcW w:w="2519" w:type="dxa"/>
                          </w:tcPr>
                          <w:p>
                            <w:pPr>
                              <w:pStyle w:val="14"/>
                              <w:spacing w:before="72" w:line="240" w:lineRule="exact"/>
                              <w:ind w:right="551"/>
                              <w:jc w:val="right"/>
                              <w:rPr>
                                <w:sz w:val="20"/>
                              </w:rPr>
                            </w:pPr>
                            <w:r>
                              <w:rPr>
                                <w:w w:val="95"/>
                                <w:sz w:val="20"/>
                              </w:rPr>
                              <w:t>单步骤生产</w:t>
                            </w:r>
                          </w:p>
                        </w:tc>
                        <w:tc>
                          <w:tcPr>
                            <w:tcW w:w="2520" w:type="dxa"/>
                          </w:tcPr>
                          <w:p>
                            <w:pPr>
                              <w:pStyle w:val="14"/>
                              <w:spacing w:before="72" w:line="240" w:lineRule="exact"/>
                              <w:ind w:right="747"/>
                              <w:jc w:val="right"/>
                              <w:rPr>
                                <w:sz w:val="20"/>
                              </w:rPr>
                            </w:pPr>
                            <w:r>
                              <w:rPr>
                                <w:w w:val="95"/>
                                <w:sz w:val="20"/>
                              </w:rPr>
                              <w:t>品种法</w:t>
                            </w:r>
                          </w:p>
                        </w:tc>
                        <w:tc>
                          <w:tcPr>
                            <w:tcW w:w="2520" w:type="dxa"/>
                          </w:tcPr>
                          <w:p>
                            <w:pPr>
                              <w:pStyle w:val="14"/>
                              <w:spacing w:before="72" w:line="240" w:lineRule="exact"/>
                              <w:ind w:right="649"/>
                              <w:jc w:val="right"/>
                              <w:rPr>
                                <w:sz w:val="20"/>
                              </w:rPr>
                            </w:pPr>
                            <w:r>
                              <w:rPr>
                                <w:w w:val="95"/>
                                <w:sz w:val="20"/>
                              </w:rPr>
                              <w:t>产品品种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vMerge w:val="continue"/>
                            <w:tcBorders>
                              <w:top w:val="nil"/>
                            </w:tcBorders>
                          </w:tcPr>
                          <w:p>
                            <w:pPr>
                              <w:rPr>
                                <w:sz w:val="2"/>
                                <w:szCs w:val="2"/>
                              </w:rPr>
                            </w:pPr>
                          </w:p>
                        </w:tc>
                        <w:tc>
                          <w:tcPr>
                            <w:tcW w:w="2519" w:type="dxa"/>
                            <w:vMerge w:val="restart"/>
                          </w:tcPr>
                          <w:p>
                            <w:pPr>
                              <w:pStyle w:val="14"/>
                              <w:rPr>
                                <w:sz w:val="19"/>
                              </w:rPr>
                            </w:pPr>
                          </w:p>
                          <w:p>
                            <w:pPr>
                              <w:pStyle w:val="14"/>
                              <w:ind w:left="957"/>
                              <w:rPr>
                                <w:sz w:val="20"/>
                              </w:rPr>
                            </w:pPr>
                            <w:r>
                              <w:rPr>
                                <w:sz w:val="20"/>
                              </w:rPr>
                              <w:t>多步骤生产</w:t>
                            </w:r>
                          </w:p>
                        </w:tc>
                        <w:tc>
                          <w:tcPr>
                            <w:tcW w:w="2520" w:type="dxa"/>
                          </w:tcPr>
                          <w:p>
                            <w:pPr>
                              <w:pStyle w:val="14"/>
                              <w:spacing w:before="71" w:line="241" w:lineRule="exact"/>
                              <w:ind w:right="747"/>
                              <w:jc w:val="right"/>
                              <w:rPr>
                                <w:sz w:val="20"/>
                              </w:rPr>
                            </w:pPr>
                            <w:r>
                              <w:rPr>
                                <w:w w:val="95"/>
                                <w:sz w:val="20"/>
                              </w:rPr>
                              <w:t>品种法</w:t>
                            </w:r>
                          </w:p>
                        </w:tc>
                        <w:tc>
                          <w:tcPr>
                            <w:tcW w:w="2520" w:type="dxa"/>
                          </w:tcPr>
                          <w:p>
                            <w:pPr>
                              <w:pStyle w:val="14"/>
                              <w:spacing w:before="71" w:line="241" w:lineRule="exact"/>
                              <w:ind w:right="649"/>
                              <w:jc w:val="right"/>
                              <w:rPr>
                                <w:sz w:val="20"/>
                              </w:rPr>
                            </w:pPr>
                            <w:r>
                              <w:rPr>
                                <w:w w:val="95"/>
                                <w:sz w:val="20"/>
                              </w:rPr>
                              <w:t>产品品种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1" w:hRule="atLeast"/>
                        </w:trPr>
                        <w:tc>
                          <w:tcPr>
                            <w:tcW w:w="2519" w:type="dxa"/>
                            <w:vMerge w:val="continue"/>
                            <w:tcBorders>
                              <w:top w:val="nil"/>
                            </w:tcBorders>
                          </w:tcPr>
                          <w:p>
                            <w:pPr>
                              <w:rPr>
                                <w:sz w:val="2"/>
                                <w:szCs w:val="2"/>
                              </w:rPr>
                            </w:pPr>
                          </w:p>
                        </w:tc>
                        <w:tc>
                          <w:tcPr>
                            <w:tcW w:w="2519" w:type="dxa"/>
                            <w:vMerge w:val="continue"/>
                            <w:tcBorders>
                              <w:top w:val="nil"/>
                            </w:tcBorders>
                          </w:tcPr>
                          <w:p>
                            <w:pPr>
                              <w:rPr>
                                <w:sz w:val="2"/>
                                <w:szCs w:val="2"/>
                              </w:rPr>
                            </w:pPr>
                          </w:p>
                        </w:tc>
                        <w:tc>
                          <w:tcPr>
                            <w:tcW w:w="2520" w:type="dxa"/>
                          </w:tcPr>
                          <w:p>
                            <w:pPr>
                              <w:pStyle w:val="14"/>
                              <w:spacing w:before="72" w:line="240" w:lineRule="exact"/>
                              <w:ind w:right="747"/>
                              <w:jc w:val="right"/>
                              <w:rPr>
                                <w:sz w:val="20"/>
                              </w:rPr>
                            </w:pPr>
                            <w:r>
                              <w:rPr>
                                <w:w w:val="95"/>
                                <w:sz w:val="20"/>
                              </w:rPr>
                              <w:t>分步法</w:t>
                            </w:r>
                          </w:p>
                        </w:tc>
                        <w:tc>
                          <w:tcPr>
                            <w:tcW w:w="2520" w:type="dxa"/>
                          </w:tcPr>
                          <w:p>
                            <w:pPr>
                              <w:pStyle w:val="14"/>
                              <w:spacing w:before="72" w:line="240" w:lineRule="exact"/>
                              <w:ind w:right="649"/>
                              <w:jc w:val="right"/>
                              <w:rPr>
                                <w:sz w:val="20"/>
                              </w:rPr>
                            </w:pPr>
                            <w:r>
                              <w:rPr>
                                <w:w w:val="95"/>
                                <w:sz w:val="20"/>
                              </w:rPr>
                              <w:t>生产步骤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tcPr>
                            <w:tcW w:w="2519" w:type="dxa"/>
                            <w:vMerge w:val="restart"/>
                          </w:tcPr>
                          <w:p>
                            <w:pPr>
                              <w:pStyle w:val="14"/>
                              <w:spacing w:before="5"/>
                              <w:rPr>
                                <w:sz w:val="19"/>
                              </w:rPr>
                            </w:pPr>
                          </w:p>
                          <w:p>
                            <w:pPr>
                              <w:pStyle w:val="14"/>
                              <w:ind w:left="858"/>
                              <w:rPr>
                                <w:sz w:val="20"/>
                              </w:rPr>
                            </w:pPr>
                            <w:r>
                              <w:rPr>
                                <w:sz w:val="20"/>
                              </w:rPr>
                              <w:t>单件小批生产</w:t>
                            </w:r>
                          </w:p>
                        </w:tc>
                        <w:tc>
                          <w:tcPr>
                            <w:tcW w:w="2519" w:type="dxa"/>
                          </w:tcPr>
                          <w:p>
                            <w:pPr>
                              <w:pStyle w:val="14"/>
                              <w:spacing w:before="71" w:line="241" w:lineRule="exact"/>
                              <w:ind w:right="551"/>
                              <w:jc w:val="right"/>
                              <w:rPr>
                                <w:sz w:val="20"/>
                              </w:rPr>
                            </w:pPr>
                            <w:r>
                              <w:rPr>
                                <w:w w:val="95"/>
                                <w:sz w:val="20"/>
                              </w:rPr>
                              <w:t>单步骤生产</w:t>
                            </w:r>
                          </w:p>
                        </w:tc>
                        <w:tc>
                          <w:tcPr>
                            <w:tcW w:w="2520" w:type="dxa"/>
                            <w:vMerge w:val="restart"/>
                          </w:tcPr>
                          <w:p>
                            <w:pPr>
                              <w:pStyle w:val="14"/>
                              <w:spacing w:before="5"/>
                              <w:rPr>
                                <w:sz w:val="19"/>
                              </w:rPr>
                            </w:pPr>
                          </w:p>
                          <w:p>
                            <w:pPr>
                              <w:pStyle w:val="14"/>
                              <w:ind w:left="1160"/>
                              <w:rPr>
                                <w:sz w:val="20"/>
                              </w:rPr>
                            </w:pPr>
                            <w:r>
                              <w:rPr>
                                <w:sz w:val="20"/>
                              </w:rPr>
                              <w:t>分批法</w:t>
                            </w:r>
                          </w:p>
                        </w:tc>
                        <w:tc>
                          <w:tcPr>
                            <w:tcW w:w="2520" w:type="dxa"/>
                            <w:vMerge w:val="restart"/>
                          </w:tcPr>
                          <w:p>
                            <w:pPr>
                              <w:pStyle w:val="14"/>
                              <w:spacing w:before="5"/>
                              <w:rPr>
                                <w:sz w:val="19"/>
                              </w:rPr>
                            </w:pPr>
                          </w:p>
                          <w:p>
                            <w:pPr>
                              <w:pStyle w:val="14"/>
                              <w:ind w:left="1059"/>
                              <w:rPr>
                                <w:sz w:val="20"/>
                              </w:rPr>
                            </w:pPr>
                            <w:r>
                              <w:rPr>
                                <w:sz w:val="20"/>
                              </w:rPr>
                              <w:t>产品批别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2519" w:type="dxa"/>
                            <w:vMerge w:val="continue"/>
                            <w:tcBorders>
                              <w:top w:val="nil"/>
                            </w:tcBorders>
                          </w:tcPr>
                          <w:p>
                            <w:pPr>
                              <w:rPr>
                                <w:sz w:val="2"/>
                                <w:szCs w:val="2"/>
                              </w:rPr>
                            </w:pPr>
                          </w:p>
                        </w:tc>
                        <w:tc>
                          <w:tcPr>
                            <w:tcW w:w="2519" w:type="dxa"/>
                          </w:tcPr>
                          <w:p>
                            <w:pPr>
                              <w:pStyle w:val="14"/>
                              <w:spacing w:before="69" w:line="252" w:lineRule="exact"/>
                              <w:ind w:right="551"/>
                              <w:jc w:val="right"/>
                              <w:rPr>
                                <w:sz w:val="20"/>
                              </w:rPr>
                            </w:pPr>
                            <w:r>
                              <w:rPr>
                                <w:w w:val="95"/>
                                <w:sz w:val="20"/>
                              </w:rPr>
                              <w:t>多步骤生产</w:t>
                            </w:r>
                          </w:p>
                        </w:tc>
                        <w:tc>
                          <w:tcPr>
                            <w:tcW w:w="2520" w:type="dxa"/>
                            <w:vMerge w:val="continue"/>
                            <w:tcBorders>
                              <w:top w:val="nil"/>
                            </w:tcBorders>
                          </w:tcPr>
                          <w:p>
                            <w:pPr>
                              <w:rPr>
                                <w:sz w:val="2"/>
                                <w:szCs w:val="2"/>
                              </w:rPr>
                            </w:pPr>
                          </w:p>
                        </w:tc>
                        <w:tc>
                          <w:tcPr>
                            <w:tcW w:w="2520" w:type="dxa"/>
                            <w:vMerge w:val="continue"/>
                            <w:tcBorders>
                              <w:top w:val="nil"/>
                            </w:tcBorders>
                          </w:tcPr>
                          <w:p>
                            <w:pPr>
                              <w:rPr>
                                <w:sz w:val="2"/>
                                <w:szCs w:val="2"/>
                              </w:rPr>
                            </w:pPr>
                          </w:p>
                        </w:tc>
                      </w:tr>
                    </w:tbl>
                    <w:p>
                      <w:pPr>
                        <w:pStyle w:val="6"/>
                        <w:spacing w:before="0"/>
                        <w:ind w:left="0"/>
                      </w:pPr>
                    </w:p>
                  </w:txbxContent>
                </v:textbox>
              </v:shape>
            </w:pict>
          </mc:Fallback>
        </mc:AlternateContent>
      </w:r>
      <w:r>
        <w:rPr>
          <w:spacing w:val="-4"/>
          <w:w w:val="95"/>
        </w:rPr>
        <w:t>适应各种类型生产的特点和管理要求，产品成本</w:t>
      </w:r>
      <w:r>
        <w:rPr>
          <w:color w:val="FF0000"/>
          <w:w w:val="95"/>
          <w:u w:val="double" w:color="FF0000"/>
        </w:rPr>
        <w:t>基本</w:t>
      </w:r>
      <w:r>
        <w:rPr>
          <w:spacing w:val="-5"/>
          <w:w w:val="95"/>
        </w:rPr>
        <w:t>计算方法主要包括以下三种：</w:t>
      </w:r>
      <w:r>
        <w:rPr>
          <w:color w:val="FF0000"/>
          <w:spacing w:val="-8"/>
          <w:w w:val="95"/>
          <w:u w:val="single" w:color="FF0000"/>
        </w:rPr>
        <w:t xml:space="preserve">品种法、分批法和分步法。   </w:t>
      </w:r>
      <w:r>
        <w:rPr>
          <w:spacing w:val="-8"/>
        </w:rPr>
        <w:t>此外，可采用</w:t>
      </w:r>
      <w:r>
        <w:rPr>
          <w:color w:val="FF0000"/>
          <w:spacing w:val="-8"/>
          <w:u w:val="double" w:color="FF0000"/>
        </w:rPr>
        <w:t>分类法、定额法。</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3"/>
        <w:ind w:left="0"/>
        <w:rPr>
          <w:sz w:val="21"/>
        </w:rPr>
      </w:pPr>
      <w:r>
        <mc:AlternateContent>
          <mc:Choice Requires="wps">
            <w:drawing>
              <wp:anchor distT="0" distB="0" distL="0" distR="0" simplePos="0" relativeHeight="487741440" behindDoc="1" locked="0" layoutInCell="1" allowOverlap="1">
                <wp:simplePos x="0" y="0"/>
                <wp:positionH relativeFrom="page">
                  <wp:posOffset>954405</wp:posOffset>
                </wp:positionH>
                <wp:positionV relativeFrom="paragraph">
                  <wp:posOffset>187960</wp:posOffset>
                </wp:positionV>
                <wp:extent cx="1605915" cy="185420"/>
                <wp:effectExtent l="0" t="0" r="13335" b="5080"/>
                <wp:wrapTopAndBottom/>
                <wp:docPr id="360" name="文本框 294"/>
                <wp:cNvGraphicFramePr/>
                <a:graphic xmlns:a="http://schemas.openxmlformats.org/drawingml/2006/main">
                  <a:graphicData uri="http://schemas.microsoft.com/office/word/2010/wordprocessingShape">
                    <wps:wsp>
                      <wps:cNvSpPr txBox="1"/>
                      <wps:spPr>
                        <a:xfrm>
                          <a:off x="0" y="0"/>
                          <a:ext cx="1605915" cy="185420"/>
                        </a:xfrm>
                        <a:prstGeom prst="rect">
                          <a:avLst/>
                        </a:prstGeom>
                        <a:solidFill>
                          <a:srgbClr val="C0C0C0"/>
                        </a:solidFill>
                        <a:ln>
                          <a:noFill/>
                        </a:ln>
                      </wps:spPr>
                      <wps:txbx>
                        <w:txbxContent>
                          <w:p>
                            <w:pPr>
                              <w:spacing w:before="22"/>
                              <w:ind w:left="-1" w:right="0" w:firstLine="0"/>
                              <w:jc w:val="left"/>
                              <w:rPr>
                                <w:b/>
                                <w:sz w:val="21"/>
                              </w:rPr>
                            </w:pPr>
                            <w:bookmarkStart w:id="190" w:name="二、产品成本计算的品种法"/>
                            <w:bookmarkEnd w:id="190"/>
                            <w:r>
                              <w:rPr>
                                <w:b/>
                                <w:sz w:val="21"/>
                              </w:rPr>
                              <w:t>二、产品成本计算的品种法</w:t>
                            </w:r>
                          </w:p>
                        </w:txbxContent>
                      </wps:txbx>
                      <wps:bodyPr lIns="0" tIns="0" rIns="0" bIns="0" upright="1"/>
                    </wps:wsp>
                  </a:graphicData>
                </a:graphic>
              </wp:anchor>
            </w:drawing>
          </mc:Choice>
          <mc:Fallback>
            <w:pict>
              <v:shape id="文本框 294" o:spid="_x0000_s1026" o:spt="202" type="#_x0000_t202" style="position:absolute;left:0pt;margin-left:75.15pt;margin-top:14.8pt;height:14.6pt;width:126.45pt;mso-position-horizontal-relative:page;mso-wrap-distance-bottom:0pt;mso-wrap-distance-top:0pt;z-index:-15575040;mso-width-relative:page;mso-height-relative:page;" fillcolor="#C0C0C0" filled="t" stroked="f" coordsize="21600,21600" o:gfxdata="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VKDHW2QAAAAkBAAAPAAAAAAAAAAEAIAAAACIAAABkcnMvZG93bnJldi54bWxQSwEC&#10;FAAUAAAACACHTuJAI8U04boBAABRAwAADgAAAAAAAAABACAAAAAoAQAAZHJzL2Uyb0RvYy54bWxQ&#10;SwUGAAAAAAYABgBZAQAAVAUAAAAA&#10;">
                <v:fill on="t" focussize="0,0"/>
                <v:stroke on="f"/>
                <v:imagedata o:title=""/>
                <o:lock v:ext="edit" aspectratio="f"/>
                <v:textbox inset="0mm,0mm,0mm,0mm">
                  <w:txbxContent>
                    <w:p>
                      <w:pPr>
                        <w:spacing w:before="22"/>
                        <w:ind w:left="-1" w:right="0" w:firstLine="0"/>
                        <w:jc w:val="left"/>
                        <w:rPr>
                          <w:b/>
                          <w:sz w:val="21"/>
                        </w:rPr>
                      </w:pPr>
                      <w:bookmarkStart w:id="190" w:name="二、产品成本计算的品种法"/>
                      <w:bookmarkEnd w:id="190"/>
                      <w:r>
                        <w:rPr>
                          <w:b/>
                          <w:sz w:val="21"/>
                        </w:rPr>
                        <w:t>二、产品成本计算的品种法</w:t>
                      </w:r>
                    </w:p>
                  </w:txbxContent>
                </v:textbox>
                <w10:wrap type="topAndBottom"/>
              </v:shape>
            </w:pict>
          </mc:Fallback>
        </mc:AlternateContent>
      </w:r>
    </w:p>
    <w:p>
      <w:pPr>
        <w:pStyle w:val="5"/>
        <w:spacing w:before="73"/>
      </w:pPr>
      <w:r>
        <w:rPr>
          <w:w w:val="95"/>
        </w:rPr>
        <w:t>（一）品种法的特点及适用范围</w:t>
      </w:r>
    </w:p>
    <w:p>
      <w:pPr>
        <w:pStyle w:val="6"/>
        <w:spacing w:line="304" w:lineRule="auto"/>
        <w:ind w:left="322" w:right="722" w:firstLine="400"/>
      </w:pPr>
      <w:r>
        <w:rPr>
          <w:w w:val="95"/>
        </w:rPr>
        <w:t>品种法是指以</w:t>
      </w:r>
      <w:r>
        <w:rPr>
          <w:color w:val="FF0000"/>
          <w:w w:val="95"/>
          <w:u w:val="double" w:color="FF0000"/>
        </w:rPr>
        <w:t>产品品种</w:t>
      </w:r>
      <w:r>
        <w:rPr>
          <w:spacing w:val="-4"/>
          <w:w w:val="95"/>
        </w:rPr>
        <w:t>作为成本核算对象，归集和分配生产成本的一种方法。这种方法</w:t>
      </w:r>
      <w:r>
        <w:rPr>
          <w:color w:val="FF0000"/>
          <w:spacing w:val="-3"/>
          <w:w w:val="95"/>
          <w:u w:val="double" w:color="FF0000"/>
        </w:rPr>
        <w:t>适用于单步骤、大量</w:t>
      </w:r>
      <w:r>
        <w:rPr>
          <w:color w:val="FF0000"/>
          <w:spacing w:val="-199"/>
          <w:w w:val="95"/>
          <w:u w:val="double" w:color="FF0000"/>
        </w:rPr>
        <w:t>生</w:t>
      </w:r>
      <w:r>
        <w:rPr>
          <w:color w:val="FF0000"/>
          <w:spacing w:val="188"/>
          <w:w w:val="95"/>
          <w:u w:val="double" w:color="FF0000"/>
        </w:rPr>
        <w:t xml:space="preserve"> </w:t>
      </w:r>
      <w:r>
        <w:rPr>
          <w:color w:val="FF0000"/>
          <w:u w:val="double" w:color="FF0000"/>
        </w:rPr>
        <w:t>产的企业，如发电、供水、采掘等企业。</w:t>
      </w:r>
    </w:p>
    <w:p>
      <w:pPr>
        <w:pStyle w:val="6"/>
        <w:spacing w:before="2"/>
      </w:pPr>
      <w:r>
        <w:t>品种法计算成本的主要特点：</w:t>
      </w:r>
    </w:p>
    <w:p>
      <w:pPr>
        <w:spacing w:after="0"/>
        <w:sectPr>
          <w:pgSz w:w="11910" w:h="16160"/>
          <w:pgMar w:top="1680" w:right="360" w:bottom="860" w:left="760" w:header="0" w:footer="548" w:gutter="0"/>
        </w:sectPr>
      </w:pPr>
    </w:p>
    <w:p>
      <w:pPr>
        <w:pStyle w:val="6"/>
        <w:spacing w:before="11"/>
        <w:ind w:left="0"/>
        <w:rPr>
          <w:sz w:val="13"/>
        </w:rPr>
      </w:pPr>
    </w:p>
    <w:p>
      <w:pPr>
        <w:pStyle w:val="13"/>
        <w:numPr>
          <w:ilvl w:val="0"/>
          <w:numId w:val="123"/>
        </w:numPr>
        <w:tabs>
          <w:tab w:val="left" w:pos="925"/>
        </w:tabs>
        <w:spacing w:before="71" w:after="0" w:line="240" w:lineRule="auto"/>
        <w:ind w:left="924" w:right="0" w:hanging="202"/>
        <w:jc w:val="left"/>
        <w:rPr>
          <w:sz w:val="20"/>
        </w:rPr>
      </w:pPr>
      <w:r>
        <w:rPr>
          <w:color w:val="FF0000"/>
          <w:sz w:val="20"/>
          <w:u w:val="double" w:color="FF0000"/>
        </w:rPr>
        <w:t>成本核算对象是产品品种；</w:t>
      </w:r>
    </w:p>
    <w:p>
      <w:pPr>
        <w:pStyle w:val="13"/>
        <w:numPr>
          <w:ilvl w:val="0"/>
          <w:numId w:val="123"/>
        </w:numPr>
        <w:tabs>
          <w:tab w:val="left" w:pos="925"/>
        </w:tabs>
        <w:spacing w:before="70" w:after="0" w:line="240" w:lineRule="auto"/>
        <w:ind w:left="924" w:right="0" w:hanging="202"/>
        <w:jc w:val="left"/>
        <w:rPr>
          <w:sz w:val="20"/>
        </w:rPr>
      </w:pPr>
      <w:r>
        <w:rPr>
          <w:sz w:val="20"/>
        </w:rPr>
        <w:t>品种法下一般</w:t>
      </w:r>
      <w:r>
        <w:rPr>
          <w:color w:val="FF0000"/>
          <w:sz w:val="20"/>
          <w:u w:val="double" w:color="FF0000"/>
        </w:rPr>
        <w:t>定期</w:t>
      </w:r>
      <w:r>
        <w:rPr>
          <w:sz w:val="20"/>
        </w:rPr>
        <w:t>（每月月末）计算产品成本；</w:t>
      </w:r>
    </w:p>
    <w:p>
      <w:pPr>
        <w:pStyle w:val="13"/>
        <w:numPr>
          <w:ilvl w:val="0"/>
          <w:numId w:val="123"/>
        </w:numPr>
        <w:tabs>
          <w:tab w:val="left" w:pos="925"/>
        </w:tabs>
        <w:spacing w:before="70" w:after="0" w:line="240" w:lineRule="auto"/>
        <w:ind w:left="924" w:right="0" w:hanging="202"/>
        <w:jc w:val="left"/>
        <w:rPr>
          <w:sz w:val="20"/>
        </w:rPr>
      </w:pPr>
      <w:r>
        <w:rPr>
          <w:sz w:val="20"/>
        </w:rPr>
        <w:t>月末</w:t>
      </w:r>
      <w:r>
        <w:rPr>
          <w:color w:val="FF0000"/>
          <w:sz w:val="20"/>
          <w:u w:val="double" w:color="FF0000"/>
        </w:rPr>
        <w:t>一般不存在在产品</w:t>
      </w:r>
      <w:r>
        <w:rPr>
          <w:sz w:val="20"/>
        </w:rPr>
        <w:t>，如果有数量也很少，要将生产成本在完工产品和在产品之间进行分配。</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5"/>
        <w:spacing w:before="71"/>
      </w:pPr>
      <w:r>
        <w:drawing>
          <wp:anchor distT="0" distB="0" distL="0" distR="0" simplePos="0" relativeHeight="15883264" behindDoc="0" locked="0" layoutInCell="1" allowOverlap="1">
            <wp:simplePos x="0" y="0"/>
            <wp:positionH relativeFrom="page">
              <wp:posOffset>3627755</wp:posOffset>
            </wp:positionH>
            <wp:positionV relativeFrom="paragraph">
              <wp:posOffset>161290</wp:posOffset>
            </wp:positionV>
            <wp:extent cx="2184400" cy="1171575"/>
            <wp:effectExtent l="0" t="0" r="0" b="0"/>
            <wp:wrapNone/>
            <wp:docPr id="1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5.png"/>
                    <pic:cNvPicPr>
                      <a:picLocks noChangeAspect="1"/>
                    </pic:cNvPicPr>
                  </pic:nvPicPr>
                  <pic:blipFill>
                    <a:blip r:embed="rId63" cstate="print"/>
                    <a:stretch>
                      <a:fillRect/>
                    </a:stretch>
                  </pic:blipFill>
                  <pic:spPr>
                    <a:xfrm>
                      <a:off x="0" y="0"/>
                      <a:ext cx="2184701" cy="1171554"/>
                    </a:xfrm>
                    <a:prstGeom prst="rect">
                      <a:avLst/>
                    </a:prstGeom>
                  </pic:spPr>
                </pic:pic>
              </a:graphicData>
            </a:graphic>
          </wp:anchor>
        </w:drawing>
      </w:r>
      <w:r>
        <w:t>（二）品种法成本核算的一般程序：</w:t>
      </w:r>
    </w:p>
    <w:p>
      <w:pPr>
        <w:pStyle w:val="6"/>
        <w:spacing w:before="0"/>
        <w:ind w:left="0"/>
        <w:rPr>
          <w:b/>
        </w:rPr>
      </w:pPr>
    </w:p>
    <w:p>
      <w:pPr>
        <w:pStyle w:val="6"/>
        <w:spacing w:before="0"/>
        <w:ind w:left="0"/>
        <w:rPr>
          <w:b/>
        </w:rPr>
      </w:pPr>
    </w:p>
    <w:p>
      <w:pPr>
        <w:pStyle w:val="6"/>
        <w:spacing w:before="0"/>
        <w:ind w:left="0"/>
        <w:rPr>
          <w:b/>
        </w:rPr>
      </w:pPr>
    </w:p>
    <w:p>
      <w:pPr>
        <w:pStyle w:val="6"/>
        <w:spacing w:before="0"/>
        <w:ind w:left="0"/>
        <w:rPr>
          <w:b/>
        </w:rPr>
      </w:pPr>
    </w:p>
    <w:p>
      <w:pPr>
        <w:pStyle w:val="6"/>
        <w:spacing w:before="2"/>
        <w:ind w:left="0"/>
        <w:rPr>
          <w:b/>
          <w:sz w:val="18"/>
        </w:rPr>
      </w:pPr>
    </w:p>
    <w:p>
      <w:pPr>
        <w:spacing w:before="70"/>
        <w:ind w:left="742" w:right="0" w:firstLine="0"/>
        <w:jc w:val="left"/>
        <w:rPr>
          <w:b/>
          <w:sz w:val="21"/>
        </w:rPr>
      </w:pPr>
      <w:bookmarkStart w:id="162" w:name="三、产品成本计算的分批法"/>
      <w:bookmarkEnd w:id="162"/>
      <w:r>
        <w:rPr>
          <w:b/>
          <w:sz w:val="21"/>
          <w:shd w:val="clear" w:color="auto" w:fill="C0C0C0"/>
        </w:rPr>
        <w:t>三、产品成本计算的分批法</w:t>
      </w:r>
    </w:p>
    <w:p>
      <w:pPr>
        <w:pStyle w:val="5"/>
        <w:spacing w:before="89"/>
      </w:pPr>
      <w:r>
        <w:t>（一）分批法的特点及适用范围</w:t>
      </w:r>
    </w:p>
    <w:p>
      <w:pPr>
        <w:pStyle w:val="6"/>
      </w:pPr>
      <w:r>
        <w:t>分批法，是指以</w:t>
      </w:r>
      <w:r>
        <w:rPr>
          <w:color w:val="FF0000"/>
          <w:u w:val="double" w:color="FF0000"/>
        </w:rPr>
        <w:t>产品的批别</w:t>
      </w:r>
      <w:r>
        <w:t>作为产品成本核算对象，归集和分配生产成本，计算产品成本的一种方法。</w:t>
      </w:r>
    </w:p>
    <w:p>
      <w:pPr>
        <w:pStyle w:val="6"/>
        <w:spacing w:line="304" w:lineRule="auto"/>
        <w:ind w:left="322" w:right="722" w:firstLine="400"/>
      </w:pPr>
      <w:r>
        <w:rPr>
          <w:w w:val="95"/>
        </w:rPr>
        <w:t>这种方法主要适用于</w:t>
      </w:r>
      <w:r>
        <w:rPr>
          <w:color w:val="FF0000"/>
          <w:spacing w:val="-3"/>
          <w:w w:val="95"/>
          <w:u w:val="double" w:color="FF0000"/>
        </w:rPr>
        <w:t>单件、小批生产</w:t>
      </w:r>
      <w:r>
        <w:rPr>
          <w:spacing w:val="-3"/>
          <w:w w:val="95"/>
        </w:rPr>
        <w:t>的企业，如</w:t>
      </w:r>
      <w:r>
        <w:rPr>
          <w:color w:val="FF0000"/>
          <w:spacing w:val="-4"/>
          <w:w w:val="95"/>
          <w:u w:val="double" w:color="FF0000"/>
        </w:rPr>
        <w:t>造船、重型机器制造、精密仪器制造</w:t>
      </w:r>
      <w:r>
        <w:rPr>
          <w:spacing w:val="-3"/>
          <w:w w:val="95"/>
        </w:rPr>
        <w:t>等，也可用于</w:t>
      </w:r>
      <w:r>
        <w:rPr>
          <w:color w:val="FF0000"/>
          <w:w w:val="95"/>
          <w:u w:val="double" w:color="FF0000"/>
        </w:rPr>
        <w:t>一般企业</w:t>
      </w:r>
      <w:r>
        <w:rPr>
          <w:color w:val="FF0000"/>
          <w:spacing w:val="-199"/>
          <w:w w:val="95"/>
          <w:u w:val="double" w:color="FF0000"/>
        </w:rPr>
        <w:t>中</w:t>
      </w:r>
      <w:r>
        <w:rPr>
          <w:color w:val="FF0000"/>
          <w:spacing w:val="189"/>
          <w:w w:val="95"/>
          <w:u w:val="double" w:color="FF0000"/>
        </w:rPr>
        <w:t xml:space="preserve"> </w:t>
      </w:r>
      <w:r>
        <w:rPr>
          <w:color w:val="FF0000"/>
          <w:u w:val="double" w:color="FF0000"/>
        </w:rPr>
        <w:t>的新产品试制或试验的生产、在建工程以及设备修理作业等。</w:t>
      </w:r>
    </w:p>
    <w:p>
      <w:pPr>
        <w:pStyle w:val="6"/>
        <w:spacing w:before="2"/>
      </w:pPr>
      <w:r>
        <w:t>分批法计算成本的主要特点有：</w:t>
      </w:r>
    </w:p>
    <w:p>
      <w:pPr>
        <w:pStyle w:val="13"/>
        <w:numPr>
          <w:ilvl w:val="0"/>
          <w:numId w:val="124"/>
        </w:numPr>
        <w:tabs>
          <w:tab w:val="left" w:pos="925"/>
        </w:tabs>
        <w:spacing w:before="70" w:after="0" w:line="240" w:lineRule="auto"/>
        <w:ind w:left="924" w:right="0" w:hanging="202"/>
        <w:jc w:val="left"/>
        <w:rPr>
          <w:sz w:val="20"/>
        </w:rPr>
      </w:pPr>
      <w:r>
        <w:rPr>
          <w:sz w:val="20"/>
        </w:rPr>
        <w:t>成本核算对象是</w:t>
      </w:r>
      <w:r>
        <w:rPr>
          <w:color w:val="FF0000"/>
          <w:sz w:val="20"/>
          <w:u w:val="double" w:color="FF0000"/>
        </w:rPr>
        <w:t>产品的批别</w:t>
      </w:r>
      <w:r>
        <w:rPr>
          <w:sz w:val="20"/>
        </w:rPr>
        <w:t>，又称订单法。</w:t>
      </w:r>
    </w:p>
    <w:p>
      <w:pPr>
        <w:pStyle w:val="13"/>
        <w:numPr>
          <w:ilvl w:val="0"/>
          <w:numId w:val="124"/>
        </w:numPr>
        <w:tabs>
          <w:tab w:val="left" w:pos="925"/>
        </w:tabs>
        <w:spacing w:before="68" w:after="0" w:line="240" w:lineRule="auto"/>
        <w:ind w:left="924" w:right="0" w:hanging="202"/>
        <w:jc w:val="left"/>
        <w:rPr>
          <w:sz w:val="20"/>
        </w:rPr>
      </w:pPr>
      <w:r>
        <w:rPr>
          <w:sz w:val="20"/>
        </w:rPr>
        <w:t>产品成本的计算是与生产任务通知单的签发和结束紧密配合的，因此</w:t>
      </w:r>
      <w:r>
        <w:rPr>
          <w:color w:val="FF0000"/>
          <w:sz w:val="20"/>
          <w:u w:val="double" w:color="FF0000"/>
        </w:rPr>
        <w:t>产品成本计算是不定期的。</w:t>
      </w:r>
    </w:p>
    <w:p>
      <w:pPr>
        <w:pStyle w:val="13"/>
        <w:numPr>
          <w:ilvl w:val="0"/>
          <w:numId w:val="124"/>
        </w:numPr>
        <w:tabs>
          <w:tab w:val="left" w:pos="925"/>
        </w:tabs>
        <w:spacing w:before="70" w:after="0" w:line="304" w:lineRule="auto"/>
        <w:ind w:left="322" w:right="722" w:firstLine="400"/>
        <w:jc w:val="left"/>
        <w:rPr>
          <w:sz w:val="20"/>
        </w:rPr>
      </w:pPr>
      <w:r>
        <w:rPr>
          <w:w w:val="95"/>
          <w:sz w:val="20"/>
        </w:rPr>
        <w:t>由于</w:t>
      </w:r>
      <w:r>
        <w:rPr>
          <w:color w:val="FF0000"/>
          <w:spacing w:val="-3"/>
          <w:w w:val="95"/>
          <w:sz w:val="20"/>
          <w:u w:val="double" w:color="FF0000"/>
        </w:rPr>
        <w:t>成本计算期与产品生产周期基本一致，因此在计算月末在产品成本时，一般不存在在完工产品与在产</w:t>
      </w:r>
      <w:r>
        <w:rPr>
          <w:color w:val="FF0000"/>
          <w:spacing w:val="-199"/>
          <w:w w:val="95"/>
          <w:sz w:val="20"/>
          <w:u w:val="double" w:color="FF0000"/>
        </w:rPr>
        <w:t>品</w:t>
      </w:r>
      <w:r>
        <w:rPr>
          <w:color w:val="FF0000"/>
          <w:spacing w:val="177"/>
          <w:w w:val="95"/>
          <w:sz w:val="20"/>
          <w:u w:val="double" w:color="FF0000"/>
        </w:rPr>
        <w:t xml:space="preserve"> </w:t>
      </w:r>
      <w:r>
        <w:rPr>
          <w:color w:val="FF0000"/>
          <w:sz w:val="20"/>
          <w:u w:val="double" w:color="FF0000"/>
        </w:rPr>
        <w:t>之间分配成本的问题。</w:t>
      </w:r>
    </w:p>
    <w:p>
      <w:pPr>
        <w:pStyle w:val="5"/>
        <w:spacing w:before="2"/>
      </w:pPr>
      <w:r>
        <w:t>（二）分批法成本核算的一般程序</w:t>
      </w:r>
    </w:p>
    <w:p>
      <w:pPr>
        <w:pStyle w:val="6"/>
        <w:spacing w:line="304" w:lineRule="auto"/>
        <w:ind w:left="322" w:right="647" w:firstLine="400"/>
      </w:pPr>
      <w:r>
        <w:rPr>
          <w:w w:val="95"/>
        </w:rPr>
        <w:t xml:space="preserve">1.按产品批别设置产品基本生产成本明细账、辅助生产成本明细账。2.根据各生产费用的原始凭证或原始凭   </w:t>
      </w:r>
      <w:r>
        <w:t>证汇总表和其他有关资料，编制各种要素费用分配表，分配各要素费用并登账</w:t>
      </w:r>
    </w:p>
    <w:p>
      <w:pPr>
        <w:pStyle w:val="6"/>
        <w:spacing w:before="0" w:line="256" w:lineRule="exact"/>
      </w:pPr>
      <w:r>
        <w:t>（1）对于直接计入费用，</w:t>
      </w:r>
      <w:r>
        <w:rPr>
          <w:color w:val="FF0000"/>
          <w:u w:val="double" w:color="FF0000"/>
        </w:rPr>
        <w:t>直接计入</w:t>
      </w:r>
      <w:r>
        <w:t>各批别产品成本（2）对于间接计入费用，</w:t>
      </w:r>
      <w:r>
        <w:rPr>
          <w:color w:val="FF0000"/>
          <w:u w:val="double" w:color="FF0000"/>
        </w:rPr>
        <w:t>分配计入</w:t>
      </w:r>
      <w:r>
        <w:t>各批别产品成本</w:t>
      </w:r>
    </w:p>
    <w:p>
      <w:pPr>
        <w:pStyle w:val="6"/>
        <w:spacing w:line="304" w:lineRule="auto"/>
        <w:ind w:left="322" w:right="646" w:firstLine="400"/>
      </w:pPr>
      <w:r>
        <w:rPr>
          <w:w w:val="95"/>
        </w:rPr>
        <w:t xml:space="preserve">3.月末根据完工批别产品的完工通知单，将计入已完工的该批产品的成本明细账所归集的生产费用，按成本   </w:t>
      </w:r>
      <w:r>
        <w:t>项目加以汇总，计算出该批完工产品的总成本和单位成本，并转账。</w:t>
      </w:r>
    </w:p>
    <w:p>
      <w:pPr>
        <w:pStyle w:val="13"/>
        <w:numPr>
          <w:ilvl w:val="0"/>
          <w:numId w:val="125"/>
        </w:numPr>
        <w:tabs>
          <w:tab w:val="left" w:pos="1224"/>
        </w:tabs>
        <w:spacing w:before="2" w:after="0" w:line="240" w:lineRule="auto"/>
        <w:ind w:left="1223" w:right="0" w:hanging="501"/>
        <w:jc w:val="left"/>
        <w:rPr>
          <w:sz w:val="20"/>
        </w:rPr>
      </w:pPr>
      <w:r>
        <w:rPr>
          <w:color w:val="FF0000"/>
          <w:sz w:val="20"/>
          <w:u w:val="double" w:color="FF0000"/>
        </w:rPr>
        <w:t>单件生产</w:t>
      </w:r>
      <w:r>
        <w:rPr>
          <w:sz w:val="20"/>
        </w:rPr>
        <w:t>，产品生产费用就是完工产品成本，</w:t>
      </w:r>
      <w:r>
        <w:rPr>
          <w:color w:val="FF0000"/>
          <w:sz w:val="20"/>
          <w:u w:val="double" w:color="FF0000"/>
        </w:rPr>
        <w:t>不存在在产品与完工产品分配的问题；</w:t>
      </w:r>
    </w:p>
    <w:p>
      <w:pPr>
        <w:pStyle w:val="13"/>
        <w:numPr>
          <w:ilvl w:val="0"/>
          <w:numId w:val="125"/>
        </w:numPr>
        <w:tabs>
          <w:tab w:val="left" w:pos="1224"/>
        </w:tabs>
        <w:spacing w:before="70" w:after="0" w:line="240" w:lineRule="auto"/>
        <w:ind w:left="1223" w:right="0" w:hanging="501"/>
        <w:jc w:val="left"/>
        <w:rPr>
          <w:sz w:val="20"/>
        </w:rPr>
      </w:pPr>
      <w:r>
        <w:rPr>
          <w:color w:val="FF0000"/>
          <w:sz w:val="20"/>
          <w:u w:val="double" w:color="FF0000"/>
        </w:rPr>
        <w:t>小批生产</w:t>
      </w:r>
      <w:r>
        <w:rPr>
          <w:sz w:val="20"/>
        </w:rPr>
        <w:t>，批内产品一般都能同时完工，也</w:t>
      </w:r>
      <w:r>
        <w:rPr>
          <w:color w:val="FF0000"/>
          <w:sz w:val="20"/>
          <w:u w:val="double" w:color="FF0000"/>
        </w:rPr>
        <w:t>不存在在产品与完工产品分配的问题；</w:t>
      </w:r>
    </w:p>
    <w:p>
      <w:pPr>
        <w:pStyle w:val="13"/>
        <w:numPr>
          <w:ilvl w:val="0"/>
          <w:numId w:val="125"/>
        </w:numPr>
        <w:tabs>
          <w:tab w:val="left" w:pos="1224"/>
        </w:tabs>
        <w:spacing w:before="70" w:after="0" w:line="240" w:lineRule="auto"/>
        <w:ind w:left="1223" w:right="0" w:hanging="501"/>
        <w:jc w:val="left"/>
        <w:rPr>
          <w:sz w:val="20"/>
        </w:rPr>
      </w:pPr>
      <w:r>
        <w:rPr>
          <w:color w:val="FF0000"/>
          <w:sz w:val="20"/>
          <w:u w:val="double" w:color="FF0000"/>
        </w:rPr>
        <w:t>批内产品跨月陆续完工</w:t>
      </w:r>
      <w:r>
        <w:rPr>
          <w:sz w:val="20"/>
        </w:rPr>
        <w:t>，可采取</w:t>
      </w:r>
      <w:r>
        <w:rPr>
          <w:color w:val="FF0000"/>
          <w:sz w:val="20"/>
          <w:u w:val="double" w:color="FF0000"/>
        </w:rPr>
        <w:t>简化方法分配</w:t>
      </w:r>
      <w:r>
        <w:rPr>
          <w:sz w:val="20"/>
        </w:rPr>
        <w:t>在产品与完工产品成本。</w:t>
      </w:r>
    </w:p>
    <w:p>
      <w:pPr>
        <w:spacing w:before="22"/>
        <w:ind w:left="742" w:right="0" w:firstLine="0"/>
        <w:jc w:val="left"/>
        <w:rPr>
          <w:b/>
          <w:sz w:val="21"/>
        </w:rPr>
      </w:pPr>
      <w:bookmarkStart w:id="163" w:name="四、产品成本计算的分步法"/>
      <w:bookmarkEnd w:id="163"/>
      <w:r>
        <w:rPr>
          <w:b/>
          <w:sz w:val="21"/>
          <w:shd w:val="clear" w:color="auto" w:fill="C0C0C0"/>
        </w:rPr>
        <w:t>四、产品成本计算的分步法</w:t>
      </w:r>
    </w:p>
    <w:p>
      <w:pPr>
        <w:pStyle w:val="5"/>
        <w:spacing w:before="89"/>
      </w:pPr>
      <w:r>
        <w:t>（一）分步法的特点及适用范围</w:t>
      </w:r>
    </w:p>
    <w:p>
      <w:pPr>
        <w:spacing w:before="70" w:line="304" w:lineRule="auto"/>
        <w:ind w:left="322" w:right="722" w:firstLine="400"/>
        <w:jc w:val="left"/>
        <w:rPr>
          <w:sz w:val="20"/>
        </w:rPr>
      </w:pPr>
      <w:r>
        <w:rPr>
          <w:spacing w:val="-4"/>
          <w:w w:val="95"/>
          <w:sz w:val="20"/>
        </w:rPr>
        <w:t>分步法，是指</w:t>
      </w:r>
      <w:r>
        <w:rPr>
          <w:b/>
          <w:color w:val="00AFEF"/>
          <w:spacing w:val="-2"/>
          <w:w w:val="95"/>
          <w:sz w:val="20"/>
          <w:u w:val="single" w:color="00AFEF"/>
        </w:rPr>
        <w:t>按照生产过程中各个加工步骤</w:t>
      </w:r>
      <w:r>
        <w:rPr>
          <w:b/>
          <w:color w:val="00AFEF"/>
          <w:w w:val="95"/>
          <w:sz w:val="20"/>
          <w:u w:val="single" w:color="00AFEF"/>
        </w:rPr>
        <w:t>（分品种</w:t>
      </w:r>
      <w:r>
        <w:rPr>
          <w:b/>
          <w:color w:val="00AFEF"/>
          <w:spacing w:val="-15"/>
          <w:w w:val="95"/>
          <w:sz w:val="20"/>
          <w:u w:val="single" w:color="00AFEF"/>
        </w:rPr>
        <w:t>）</w:t>
      </w:r>
      <w:r>
        <w:rPr>
          <w:b/>
          <w:color w:val="00AFEF"/>
          <w:spacing w:val="-2"/>
          <w:w w:val="95"/>
          <w:sz w:val="20"/>
          <w:u w:val="single" w:color="00AFEF"/>
        </w:rPr>
        <w:t>为成本核算对象，归集和分配生产成本</w:t>
      </w:r>
      <w:r>
        <w:rPr>
          <w:spacing w:val="-4"/>
          <w:w w:val="95"/>
          <w:sz w:val="20"/>
        </w:rPr>
        <w:t xml:space="preserve">，计算各步骤   </w:t>
      </w:r>
      <w:r>
        <w:rPr>
          <w:spacing w:val="-4"/>
          <w:sz w:val="20"/>
        </w:rPr>
        <w:t>半成品和最后产成品成本的一种方法。</w:t>
      </w:r>
    </w:p>
    <w:p>
      <w:pPr>
        <w:pStyle w:val="6"/>
        <w:spacing w:before="2" w:line="304" w:lineRule="auto"/>
        <w:ind w:left="322" w:right="720" w:firstLine="400"/>
        <w:jc w:val="both"/>
      </w:pPr>
      <w:r>
        <w:rPr>
          <w:w w:val="95"/>
        </w:rPr>
        <w:t>这种方法适用于</w:t>
      </w:r>
      <w:r>
        <w:rPr>
          <w:color w:val="FF0000"/>
          <w:w w:val="95"/>
          <w:u w:val="double" w:color="FF0000"/>
        </w:rPr>
        <w:t>大量大批的多步骤生产</w:t>
      </w:r>
      <w:r>
        <w:rPr>
          <w:spacing w:val="-6"/>
          <w:w w:val="95"/>
        </w:rPr>
        <w:t>，如</w:t>
      </w:r>
      <w:r>
        <w:rPr>
          <w:color w:val="FF0000"/>
          <w:spacing w:val="-5"/>
          <w:w w:val="95"/>
          <w:u w:val="double" w:color="FF0000"/>
        </w:rPr>
        <w:t>冶金、纺织、机械制造</w:t>
      </w:r>
      <w:r>
        <w:rPr>
          <w:spacing w:val="-4"/>
          <w:w w:val="95"/>
        </w:rPr>
        <w:t xml:space="preserve">等。在这类企业中，产品生产可以分为若    </w:t>
      </w:r>
      <w:r>
        <w:rPr>
          <w:spacing w:val="-6"/>
          <w:w w:val="95"/>
        </w:rPr>
        <w:t>干个生产步骤的成本管理，通常</w:t>
      </w:r>
      <w:r>
        <w:rPr>
          <w:color w:val="FF0000"/>
          <w:spacing w:val="-3"/>
          <w:w w:val="95"/>
          <w:u w:val="double" w:color="FF0000"/>
        </w:rPr>
        <w:t>不仅要求按照产品品种计算成本，而且还要求按照生产步骤计算成本，</w:t>
      </w:r>
      <w:r>
        <w:rPr>
          <w:w w:val="95"/>
        </w:rPr>
        <w:t xml:space="preserve">以便为考    </w:t>
      </w:r>
      <w:r>
        <w:t>核和分析各种产品及各生产步骤的成本计划的执行情况提供资料。</w:t>
      </w:r>
    </w:p>
    <w:p>
      <w:pPr>
        <w:pStyle w:val="6"/>
        <w:spacing w:before="1"/>
      </w:pPr>
      <w:r>
        <w:t>分步法计算成本的主要特点：1.成本核算对象是各种产品的</w:t>
      </w:r>
      <w:r>
        <w:rPr>
          <w:color w:val="FF0000"/>
          <w:u w:val="double" w:color="FF0000"/>
        </w:rPr>
        <w:t>生产步骤；</w:t>
      </w:r>
    </w:p>
    <w:p>
      <w:pPr>
        <w:pStyle w:val="6"/>
        <w:spacing w:line="304" w:lineRule="auto"/>
        <w:ind w:left="322" w:right="720" w:firstLine="400"/>
        <w:jc w:val="both"/>
      </w:pPr>
      <w:r>
        <mc:AlternateContent>
          <mc:Choice Requires="wps">
            <w:drawing>
              <wp:anchor distT="0" distB="0" distL="114300" distR="114300" simplePos="0" relativeHeight="15884288" behindDoc="0" locked="0" layoutInCell="1" allowOverlap="1">
                <wp:simplePos x="0" y="0"/>
                <wp:positionH relativeFrom="page">
                  <wp:posOffset>713105</wp:posOffset>
                </wp:positionH>
                <wp:positionV relativeFrom="paragraph">
                  <wp:posOffset>621665</wp:posOffset>
                </wp:positionV>
                <wp:extent cx="6096000" cy="225425"/>
                <wp:effectExtent l="0" t="0" r="0" b="0"/>
                <wp:wrapNone/>
                <wp:docPr id="169" name="文本框 295"/>
                <wp:cNvGraphicFramePr/>
                <a:graphic xmlns:a="http://schemas.openxmlformats.org/drawingml/2006/main">
                  <a:graphicData uri="http://schemas.microsoft.com/office/word/2010/wordprocessingShape">
                    <wps:wsp>
                      <wps:cNvSpPr txBox="1"/>
                      <wps:spPr>
                        <a:xfrm>
                          <a:off x="0" y="0"/>
                          <a:ext cx="6096000" cy="225425"/>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69"/>
                              <w:gridCol w:w="2700"/>
                              <w:gridCol w:w="2275"/>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1769" w:type="dxa"/>
                                </w:tcPr>
                                <w:p>
                                  <w:pPr>
                                    <w:pStyle w:val="14"/>
                                    <w:spacing w:before="74" w:line="241" w:lineRule="exact"/>
                                    <w:ind w:left="262" w:right="256"/>
                                    <w:jc w:val="center"/>
                                    <w:rPr>
                                      <w:sz w:val="20"/>
                                    </w:rPr>
                                  </w:pPr>
                                  <w:r>
                                    <w:rPr>
                                      <w:sz w:val="20"/>
                                    </w:rPr>
                                    <w:t>项目</w:t>
                                  </w:r>
                                </w:p>
                              </w:tc>
                              <w:tc>
                                <w:tcPr>
                                  <w:tcW w:w="2700" w:type="dxa"/>
                                </w:tcPr>
                                <w:p>
                                  <w:pPr>
                                    <w:pStyle w:val="14"/>
                                    <w:spacing w:before="69" w:line="246" w:lineRule="exact"/>
                                    <w:ind w:left="929" w:right="918"/>
                                    <w:jc w:val="center"/>
                                    <w:rPr>
                                      <w:sz w:val="20"/>
                                    </w:rPr>
                                  </w:pPr>
                                  <w:r>
                                    <w:rPr>
                                      <w:sz w:val="20"/>
                                    </w:rPr>
                                    <w:t>品种法</w:t>
                                  </w:r>
                                </w:p>
                              </w:tc>
                              <w:tc>
                                <w:tcPr>
                                  <w:tcW w:w="2275" w:type="dxa"/>
                                </w:tcPr>
                                <w:p>
                                  <w:pPr>
                                    <w:pStyle w:val="14"/>
                                    <w:spacing w:before="69" w:line="246" w:lineRule="exact"/>
                                    <w:ind w:left="817" w:right="808"/>
                                    <w:jc w:val="center"/>
                                    <w:rPr>
                                      <w:sz w:val="20"/>
                                    </w:rPr>
                                  </w:pPr>
                                  <w:r>
                                    <w:rPr>
                                      <w:sz w:val="20"/>
                                    </w:rPr>
                                    <w:t>分批法</w:t>
                                  </w:r>
                                </w:p>
                              </w:tc>
                              <w:tc>
                                <w:tcPr>
                                  <w:tcW w:w="2841" w:type="dxa"/>
                                </w:tcPr>
                                <w:p>
                                  <w:pPr>
                                    <w:pStyle w:val="14"/>
                                    <w:spacing w:before="69" w:line="246" w:lineRule="exact"/>
                                    <w:ind w:left="1100" w:right="1091"/>
                                    <w:jc w:val="center"/>
                                    <w:rPr>
                                      <w:sz w:val="20"/>
                                    </w:rPr>
                                  </w:pPr>
                                  <w:r>
                                    <w:rPr>
                                      <w:sz w:val="20"/>
                                    </w:rPr>
                                    <w:t>分步法</w:t>
                                  </w:r>
                                </w:p>
                              </w:tc>
                            </w:tr>
                          </w:tbl>
                          <w:p>
                            <w:pPr>
                              <w:pStyle w:val="6"/>
                              <w:spacing w:before="0"/>
                              <w:ind w:left="0"/>
                            </w:pPr>
                          </w:p>
                        </w:txbxContent>
                      </wps:txbx>
                      <wps:bodyPr lIns="0" tIns="0" rIns="0" bIns="0" upright="1"/>
                    </wps:wsp>
                  </a:graphicData>
                </a:graphic>
              </wp:anchor>
            </w:drawing>
          </mc:Choice>
          <mc:Fallback>
            <w:pict>
              <v:shape id="文本框 295" o:spid="_x0000_s1026" o:spt="202" type="#_x0000_t202" style="position:absolute;left:0pt;margin-left:56.15pt;margin-top:48.95pt;height:17.75pt;width:480pt;mso-position-horizontal-relative:page;z-index:15884288;mso-width-relative:page;mso-height-relative:page;" filled="f" stroked="f" coordsize="21600,21600" o:gfxdata="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jOfCi2QAAAAsBAAAPAAAA&#10;AAAAAAEAIAAAACIAAABkcnMvZG93bnJldi54bWxQSwECFAAUAAAACACHTuJAhHqmJ6IBAAAoAwAA&#10;DgAAAAAAAAABACAAAAAoAQAAZHJzL2Uyb0RvYy54bWxQSwUGAAAAAAYABgBZAQAAPAU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69"/>
                        <w:gridCol w:w="2700"/>
                        <w:gridCol w:w="2275"/>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1769" w:type="dxa"/>
                          </w:tcPr>
                          <w:p>
                            <w:pPr>
                              <w:pStyle w:val="14"/>
                              <w:spacing w:before="74" w:line="241" w:lineRule="exact"/>
                              <w:ind w:left="262" w:right="256"/>
                              <w:jc w:val="center"/>
                              <w:rPr>
                                <w:sz w:val="20"/>
                              </w:rPr>
                            </w:pPr>
                            <w:r>
                              <w:rPr>
                                <w:sz w:val="20"/>
                              </w:rPr>
                              <w:t>项目</w:t>
                            </w:r>
                          </w:p>
                        </w:tc>
                        <w:tc>
                          <w:tcPr>
                            <w:tcW w:w="2700" w:type="dxa"/>
                          </w:tcPr>
                          <w:p>
                            <w:pPr>
                              <w:pStyle w:val="14"/>
                              <w:spacing w:before="69" w:line="246" w:lineRule="exact"/>
                              <w:ind w:left="929" w:right="918"/>
                              <w:jc w:val="center"/>
                              <w:rPr>
                                <w:sz w:val="20"/>
                              </w:rPr>
                            </w:pPr>
                            <w:r>
                              <w:rPr>
                                <w:sz w:val="20"/>
                              </w:rPr>
                              <w:t>品种法</w:t>
                            </w:r>
                          </w:p>
                        </w:tc>
                        <w:tc>
                          <w:tcPr>
                            <w:tcW w:w="2275" w:type="dxa"/>
                          </w:tcPr>
                          <w:p>
                            <w:pPr>
                              <w:pStyle w:val="14"/>
                              <w:spacing w:before="69" w:line="246" w:lineRule="exact"/>
                              <w:ind w:left="817" w:right="808"/>
                              <w:jc w:val="center"/>
                              <w:rPr>
                                <w:sz w:val="20"/>
                              </w:rPr>
                            </w:pPr>
                            <w:r>
                              <w:rPr>
                                <w:sz w:val="20"/>
                              </w:rPr>
                              <w:t>分批法</w:t>
                            </w:r>
                          </w:p>
                        </w:tc>
                        <w:tc>
                          <w:tcPr>
                            <w:tcW w:w="2841" w:type="dxa"/>
                          </w:tcPr>
                          <w:p>
                            <w:pPr>
                              <w:pStyle w:val="14"/>
                              <w:spacing w:before="69" w:line="246" w:lineRule="exact"/>
                              <w:ind w:left="1100" w:right="1091"/>
                              <w:jc w:val="center"/>
                              <w:rPr>
                                <w:sz w:val="20"/>
                              </w:rPr>
                            </w:pPr>
                            <w:r>
                              <w:rPr>
                                <w:sz w:val="20"/>
                              </w:rPr>
                              <w:t>分步法</w:t>
                            </w:r>
                          </w:p>
                        </w:tc>
                      </w:tr>
                    </w:tbl>
                    <w:p>
                      <w:pPr>
                        <w:pStyle w:val="6"/>
                        <w:spacing w:before="0"/>
                        <w:ind w:left="0"/>
                      </w:pPr>
                    </w:p>
                  </w:txbxContent>
                </v:textbox>
              </v:shape>
            </w:pict>
          </mc:Fallback>
        </mc:AlternateContent>
      </w:r>
      <w:r>
        <w:rPr>
          <w:w w:val="95"/>
        </w:rPr>
        <w:t>2</w:t>
      </w:r>
      <w:r>
        <w:rPr>
          <w:spacing w:val="-5"/>
          <w:w w:val="95"/>
        </w:rPr>
        <w:t>.月末为计算完工产品成本，</w:t>
      </w:r>
      <w:r>
        <w:rPr>
          <w:color w:val="FF0000"/>
          <w:w w:val="95"/>
          <w:u w:val="double" w:color="FF0000"/>
        </w:rPr>
        <w:t xml:space="preserve">还需要将归集在生产成本明细账中的生产成本在完工产品和在产品之间进行分    </w:t>
      </w:r>
      <w:r>
        <w:rPr>
          <w:color w:val="FF0000"/>
          <w:spacing w:val="-3"/>
          <w:w w:val="95"/>
          <w:u w:val="double" w:color="FF0000"/>
        </w:rPr>
        <w:t>配；</w:t>
      </w:r>
      <w:r>
        <w:rPr>
          <w:color w:val="FF0000"/>
          <w:spacing w:val="-6"/>
          <w:w w:val="95"/>
          <w:u w:val="double" w:color="FF0000"/>
        </w:rPr>
        <w:t>3</w:t>
      </w:r>
      <w:r>
        <w:rPr>
          <w:color w:val="FF0000"/>
          <w:spacing w:val="-2"/>
          <w:w w:val="95"/>
          <w:u w:val="double" w:color="FF0000"/>
        </w:rPr>
        <w:t>.除了按品种计算和结转产品成本</w:t>
      </w:r>
      <w:r>
        <w:rPr>
          <w:spacing w:val="-4"/>
          <w:w w:val="95"/>
        </w:rPr>
        <w:t>外，还需要计算和结转产品的</w:t>
      </w:r>
      <w:r>
        <w:rPr>
          <w:color w:val="FF0000"/>
          <w:spacing w:val="-4"/>
          <w:w w:val="95"/>
          <w:u w:val="double" w:color="FF0000"/>
        </w:rPr>
        <w:t>各步骤成本；成本计算期是固定的，与产品</w:t>
      </w:r>
      <w:r>
        <w:rPr>
          <w:color w:val="FF0000"/>
          <w:spacing w:val="-198"/>
          <w:w w:val="95"/>
          <w:u w:val="double" w:color="FF0000"/>
        </w:rPr>
        <w:t>的</w:t>
      </w:r>
      <w:r>
        <w:rPr>
          <w:color w:val="FF0000"/>
          <w:spacing w:val="212"/>
          <w:w w:val="95"/>
          <w:u w:val="double" w:color="FF0000"/>
        </w:rPr>
        <w:t xml:space="preserve"> </w:t>
      </w:r>
      <w:r>
        <w:rPr>
          <w:color w:val="FF0000"/>
          <w:u w:val="double" w:color="FF0000"/>
        </w:rPr>
        <w:t>生产周期不一致。</w:t>
      </w:r>
    </w:p>
    <w:p>
      <w:pPr>
        <w:spacing w:after="0" w:line="304" w:lineRule="auto"/>
        <w:jc w:val="both"/>
        <w:sectPr>
          <w:pgSz w:w="11910" w:h="16160"/>
          <w:pgMar w:top="1680" w:right="360" w:bottom="860" w:left="760" w:header="0" w:footer="548" w:gutter="0"/>
        </w:sectPr>
      </w:pPr>
    </w:p>
    <w:p>
      <w:pPr>
        <w:pStyle w:val="6"/>
        <w:spacing w:before="1"/>
        <w:ind w:left="0"/>
        <w:rPr>
          <w:sz w:val="14"/>
        </w:rPr>
      </w:pPr>
    </w:p>
    <w:tbl>
      <w:tblPr>
        <w:tblStyle w:val="10"/>
        <w:tblW w:w="0" w:type="auto"/>
        <w:tblInd w:w="3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69"/>
        <w:gridCol w:w="2700"/>
        <w:gridCol w:w="2275"/>
        <w:gridCol w:w="2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4" w:hRule="atLeast"/>
        </w:trPr>
        <w:tc>
          <w:tcPr>
            <w:tcW w:w="1769" w:type="dxa"/>
          </w:tcPr>
          <w:p>
            <w:pPr>
              <w:pStyle w:val="14"/>
              <w:rPr>
                <w:sz w:val="20"/>
              </w:rPr>
            </w:pPr>
          </w:p>
          <w:p>
            <w:pPr>
              <w:pStyle w:val="14"/>
              <w:spacing w:before="6"/>
              <w:rPr>
                <w:sz w:val="23"/>
              </w:rPr>
            </w:pPr>
          </w:p>
          <w:p>
            <w:pPr>
              <w:pStyle w:val="14"/>
              <w:spacing w:before="1"/>
              <w:ind w:left="262" w:right="253"/>
              <w:jc w:val="center"/>
              <w:rPr>
                <w:sz w:val="20"/>
              </w:rPr>
            </w:pPr>
            <w:r>
              <w:rPr>
                <w:sz w:val="20"/>
              </w:rPr>
              <w:t>适用范围</w:t>
            </w:r>
          </w:p>
        </w:tc>
        <w:tc>
          <w:tcPr>
            <w:tcW w:w="2700" w:type="dxa"/>
          </w:tcPr>
          <w:p>
            <w:pPr>
              <w:pStyle w:val="14"/>
              <w:spacing w:before="68"/>
              <w:ind w:left="107"/>
              <w:rPr>
                <w:sz w:val="20"/>
              </w:rPr>
            </w:pPr>
            <w:r>
              <w:rPr>
                <w:sz w:val="20"/>
              </w:rPr>
              <w:t>①大量大批单步骤</w:t>
            </w:r>
          </w:p>
          <w:p>
            <w:pPr>
              <w:pStyle w:val="14"/>
              <w:spacing w:before="6" w:line="320" w:lineRule="atLeast"/>
              <w:ind w:left="107" w:right="99"/>
              <w:rPr>
                <w:sz w:val="20"/>
              </w:rPr>
            </w:pPr>
            <w:r>
              <w:rPr>
                <w:spacing w:val="5"/>
                <w:sz w:val="20"/>
              </w:rPr>
              <w:t>②不要求按照生产步骤计算</w:t>
            </w:r>
            <w:r>
              <w:rPr>
                <w:sz w:val="20"/>
              </w:rPr>
              <w:t>产品成本的多步骤生产。 如：发电、供水、采掘</w:t>
            </w:r>
          </w:p>
        </w:tc>
        <w:tc>
          <w:tcPr>
            <w:tcW w:w="2275" w:type="dxa"/>
          </w:tcPr>
          <w:p>
            <w:pPr>
              <w:pStyle w:val="14"/>
              <w:spacing w:before="68"/>
              <w:ind w:left="107"/>
              <w:rPr>
                <w:sz w:val="20"/>
              </w:rPr>
            </w:pPr>
            <w:r>
              <w:rPr>
                <w:w w:val="95"/>
                <w:sz w:val="20"/>
              </w:rPr>
              <w:t>单件小批。</w:t>
            </w:r>
          </w:p>
          <w:p>
            <w:pPr>
              <w:pStyle w:val="14"/>
              <w:spacing w:before="6" w:line="320" w:lineRule="atLeast"/>
              <w:ind w:left="107"/>
              <w:rPr>
                <w:sz w:val="20"/>
              </w:rPr>
            </w:pPr>
            <w:r>
              <w:rPr>
                <w:spacing w:val="6"/>
                <w:sz w:val="20"/>
              </w:rPr>
              <w:t>如：造船、重型机械、</w:t>
            </w:r>
            <w:r>
              <w:rPr>
                <w:spacing w:val="-5"/>
                <w:sz w:val="20"/>
              </w:rPr>
              <w:t>精密仪器、新产品试制、</w:t>
            </w:r>
            <w:r>
              <w:rPr>
                <w:sz w:val="20"/>
              </w:rPr>
              <w:t>设备修理等</w:t>
            </w:r>
          </w:p>
        </w:tc>
        <w:tc>
          <w:tcPr>
            <w:tcW w:w="2831" w:type="dxa"/>
          </w:tcPr>
          <w:p>
            <w:pPr>
              <w:pStyle w:val="14"/>
              <w:spacing w:before="68"/>
              <w:ind w:left="107"/>
              <w:rPr>
                <w:sz w:val="20"/>
              </w:rPr>
            </w:pPr>
            <w:r>
              <w:rPr>
                <w:sz w:val="20"/>
              </w:rPr>
              <w:t>①大量大批，</w:t>
            </w:r>
          </w:p>
          <w:p>
            <w:pPr>
              <w:pStyle w:val="14"/>
              <w:spacing w:before="70" w:line="304" w:lineRule="auto"/>
              <w:ind w:left="107" w:right="88"/>
              <w:rPr>
                <w:sz w:val="20"/>
              </w:rPr>
            </w:pPr>
            <w:r>
              <w:rPr>
                <w:sz w:val="20"/>
              </w:rPr>
              <w:t>②要求按照生产步骤计算产品成本的多步骤生产。</w:t>
            </w:r>
          </w:p>
          <w:p>
            <w:pPr>
              <w:pStyle w:val="14"/>
              <w:spacing w:before="2" w:line="237" w:lineRule="exact"/>
              <w:ind w:left="107"/>
              <w:rPr>
                <w:sz w:val="20"/>
              </w:rPr>
            </w:pPr>
            <w:r>
              <w:rPr>
                <w:sz w:val="20"/>
              </w:rPr>
              <w:t>如：冶金、纺织、机械制造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 w:hRule="atLeast"/>
        </w:trPr>
        <w:tc>
          <w:tcPr>
            <w:tcW w:w="1769" w:type="dxa"/>
          </w:tcPr>
          <w:p>
            <w:pPr>
              <w:pStyle w:val="14"/>
              <w:spacing w:before="79" w:line="248" w:lineRule="exact"/>
              <w:ind w:left="262" w:right="256"/>
              <w:jc w:val="center"/>
              <w:rPr>
                <w:sz w:val="20"/>
              </w:rPr>
            </w:pPr>
            <w:r>
              <w:rPr>
                <w:sz w:val="20"/>
              </w:rPr>
              <w:t>成本计算对象</w:t>
            </w:r>
          </w:p>
        </w:tc>
        <w:tc>
          <w:tcPr>
            <w:tcW w:w="2700" w:type="dxa"/>
          </w:tcPr>
          <w:p>
            <w:pPr>
              <w:pStyle w:val="14"/>
              <w:spacing w:before="69"/>
              <w:ind w:left="929" w:right="921"/>
              <w:jc w:val="center"/>
              <w:rPr>
                <w:sz w:val="20"/>
              </w:rPr>
            </w:pPr>
            <w:r>
              <w:rPr>
                <w:sz w:val="20"/>
              </w:rPr>
              <w:t>产品品种</w:t>
            </w:r>
          </w:p>
        </w:tc>
        <w:tc>
          <w:tcPr>
            <w:tcW w:w="2275" w:type="dxa"/>
          </w:tcPr>
          <w:p>
            <w:pPr>
              <w:pStyle w:val="14"/>
              <w:spacing w:before="69"/>
              <w:ind w:left="635"/>
              <w:rPr>
                <w:sz w:val="20"/>
              </w:rPr>
            </w:pPr>
            <w:r>
              <w:rPr>
                <w:sz w:val="20"/>
              </w:rPr>
              <w:t>产品的批别</w:t>
            </w:r>
          </w:p>
        </w:tc>
        <w:tc>
          <w:tcPr>
            <w:tcW w:w="2831" w:type="dxa"/>
          </w:tcPr>
          <w:p>
            <w:pPr>
              <w:pStyle w:val="14"/>
              <w:spacing w:before="69"/>
              <w:ind w:left="719"/>
              <w:rPr>
                <w:sz w:val="20"/>
              </w:rPr>
            </w:pPr>
            <w:r>
              <w:rPr>
                <w:sz w:val="20"/>
              </w:rPr>
              <w:t>产品的生产步骤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769" w:type="dxa"/>
          </w:tcPr>
          <w:p>
            <w:pPr>
              <w:pStyle w:val="14"/>
              <w:rPr>
                <w:sz w:val="20"/>
              </w:rPr>
            </w:pPr>
          </w:p>
          <w:p>
            <w:pPr>
              <w:pStyle w:val="14"/>
              <w:spacing w:before="137"/>
              <w:ind w:left="262" w:right="256"/>
              <w:jc w:val="center"/>
              <w:rPr>
                <w:sz w:val="20"/>
              </w:rPr>
            </w:pPr>
            <w:r>
              <w:rPr>
                <w:sz w:val="20"/>
              </w:rPr>
              <w:t>成本计算期</w:t>
            </w:r>
          </w:p>
        </w:tc>
        <w:tc>
          <w:tcPr>
            <w:tcW w:w="2700" w:type="dxa"/>
          </w:tcPr>
          <w:p>
            <w:pPr>
              <w:pStyle w:val="14"/>
              <w:spacing w:before="2"/>
              <w:rPr>
                <w:sz w:val="18"/>
              </w:rPr>
            </w:pPr>
          </w:p>
          <w:p>
            <w:pPr>
              <w:pStyle w:val="14"/>
              <w:spacing w:line="302" w:lineRule="auto"/>
              <w:ind w:left="107" w:right="96"/>
              <w:rPr>
                <w:sz w:val="20"/>
              </w:rPr>
            </w:pPr>
            <w:r>
              <w:rPr>
                <w:w w:val="95"/>
                <w:sz w:val="20"/>
              </w:rPr>
              <w:t>一般定期计算产品成本，成</w:t>
            </w:r>
            <w:r>
              <w:rPr>
                <w:sz w:val="20"/>
              </w:rPr>
              <w:t>本计算期与核算报告期一致</w:t>
            </w:r>
          </w:p>
        </w:tc>
        <w:tc>
          <w:tcPr>
            <w:tcW w:w="2275" w:type="dxa"/>
          </w:tcPr>
          <w:p>
            <w:pPr>
              <w:pStyle w:val="14"/>
              <w:spacing w:before="70" w:line="302" w:lineRule="auto"/>
              <w:ind w:left="107" w:right="96"/>
              <w:rPr>
                <w:sz w:val="20"/>
              </w:rPr>
            </w:pPr>
            <w:r>
              <w:rPr>
                <w:sz w:val="20"/>
              </w:rPr>
              <w:t>成本计算期与产品生产周期基本一致，而与核</w:t>
            </w:r>
          </w:p>
          <w:p>
            <w:pPr>
              <w:pStyle w:val="14"/>
              <w:spacing w:before="4" w:line="238" w:lineRule="exact"/>
              <w:ind w:left="107"/>
              <w:rPr>
                <w:sz w:val="20"/>
              </w:rPr>
            </w:pPr>
            <w:r>
              <w:rPr>
                <w:sz w:val="20"/>
              </w:rPr>
              <w:t>算报告期不一致</w:t>
            </w:r>
          </w:p>
        </w:tc>
        <w:tc>
          <w:tcPr>
            <w:tcW w:w="2831" w:type="dxa"/>
          </w:tcPr>
          <w:p>
            <w:pPr>
              <w:pStyle w:val="14"/>
              <w:spacing w:before="2"/>
              <w:rPr>
                <w:sz w:val="18"/>
              </w:rPr>
            </w:pPr>
          </w:p>
          <w:p>
            <w:pPr>
              <w:pStyle w:val="14"/>
              <w:spacing w:line="302" w:lineRule="auto"/>
              <w:ind w:left="107" w:right="107"/>
              <w:rPr>
                <w:sz w:val="20"/>
              </w:rPr>
            </w:pPr>
            <w:r>
              <w:rPr>
                <w:sz w:val="20"/>
              </w:rPr>
              <w:t>一般定期计算产品成本，成本计算期与会计核算报告期一致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0" w:hRule="atLeast"/>
        </w:trPr>
        <w:tc>
          <w:tcPr>
            <w:tcW w:w="1769" w:type="dxa"/>
          </w:tcPr>
          <w:p>
            <w:pPr>
              <w:pStyle w:val="14"/>
              <w:rPr>
                <w:sz w:val="20"/>
              </w:rPr>
            </w:pPr>
          </w:p>
          <w:p>
            <w:pPr>
              <w:pStyle w:val="14"/>
              <w:spacing w:before="7"/>
              <w:rPr>
                <w:sz w:val="23"/>
              </w:rPr>
            </w:pPr>
          </w:p>
          <w:p>
            <w:pPr>
              <w:pStyle w:val="14"/>
              <w:spacing w:line="304" w:lineRule="auto"/>
              <w:ind w:left="784" w:right="173" w:hanging="600"/>
              <w:rPr>
                <w:sz w:val="20"/>
              </w:rPr>
            </w:pPr>
            <w:r>
              <w:rPr>
                <w:sz w:val="20"/>
              </w:rPr>
              <w:t>完工产品与在产品</w:t>
            </w:r>
          </w:p>
        </w:tc>
        <w:tc>
          <w:tcPr>
            <w:tcW w:w="2700" w:type="dxa"/>
          </w:tcPr>
          <w:p>
            <w:pPr>
              <w:pStyle w:val="14"/>
              <w:rPr>
                <w:sz w:val="20"/>
              </w:rPr>
            </w:pPr>
          </w:p>
          <w:p>
            <w:pPr>
              <w:pStyle w:val="14"/>
              <w:spacing w:before="138" w:line="304" w:lineRule="auto"/>
              <w:ind w:left="107" w:right="96"/>
              <w:jc w:val="both"/>
              <w:rPr>
                <w:sz w:val="20"/>
              </w:rPr>
            </w:pPr>
            <w:r>
              <w:rPr>
                <w:w w:val="95"/>
                <w:sz w:val="20"/>
              </w:rPr>
              <w:t>如果月末有在产品，要将生产费用在完工产品和在产品</w:t>
            </w:r>
            <w:r>
              <w:rPr>
                <w:sz w:val="20"/>
              </w:rPr>
              <w:t>之间进行分配</w:t>
            </w:r>
          </w:p>
        </w:tc>
        <w:tc>
          <w:tcPr>
            <w:tcW w:w="2275" w:type="dxa"/>
          </w:tcPr>
          <w:p>
            <w:pPr>
              <w:pStyle w:val="14"/>
              <w:rPr>
                <w:sz w:val="20"/>
              </w:rPr>
            </w:pPr>
          </w:p>
          <w:p>
            <w:pPr>
              <w:pStyle w:val="14"/>
              <w:spacing w:before="138" w:line="304" w:lineRule="auto"/>
              <w:ind w:left="107" w:right="96"/>
              <w:jc w:val="both"/>
              <w:rPr>
                <w:sz w:val="20"/>
              </w:rPr>
            </w:pPr>
            <w:r>
              <w:rPr>
                <w:sz w:val="20"/>
              </w:rPr>
              <w:t>一般不存在完工产品与在产品之间分配费用的问题</w:t>
            </w:r>
          </w:p>
        </w:tc>
        <w:tc>
          <w:tcPr>
            <w:tcW w:w="2831" w:type="dxa"/>
          </w:tcPr>
          <w:p>
            <w:pPr>
              <w:pStyle w:val="14"/>
              <w:spacing w:before="7" w:line="326" w:lineRule="exact"/>
              <w:ind w:left="107" w:right="107"/>
              <w:jc w:val="both"/>
              <w:rPr>
                <w:sz w:val="20"/>
              </w:rPr>
            </w:pPr>
            <w:r>
              <w:rPr>
                <w:sz w:val="20"/>
              </w:rPr>
              <w:t>月末需将生产费用在完工产品和在产品之间进行费用分配； 除了按品种计算和结转产品成本外，还需要计算和结转产品的各步骤成本</w:t>
            </w:r>
          </w:p>
        </w:tc>
      </w:tr>
    </w:tbl>
    <w:p>
      <w:pPr>
        <w:pStyle w:val="5"/>
      </w:pPr>
      <w:r>
        <w:t>（二）分步法成本核算的一般程序</w:t>
      </w:r>
    </w:p>
    <w:p>
      <w:pPr>
        <w:pStyle w:val="6"/>
        <w:spacing w:before="68" w:line="304" w:lineRule="auto"/>
        <w:ind w:left="322" w:right="862" w:firstLine="400"/>
      </w:pPr>
      <w:r>
        <w:rPr>
          <w:w w:val="95"/>
        </w:rPr>
        <w:t xml:space="preserve">根据成本管理对各生产步骤成本资料的不同要求和简化核算的要求，一般采用逐步结转和平行结转两种方   </w:t>
      </w:r>
      <w:r>
        <w:t>法，称为</w:t>
      </w:r>
      <w:r>
        <w:rPr>
          <w:color w:val="FF0000"/>
          <w:u w:val="double" w:color="FF0000"/>
        </w:rPr>
        <w:t>逐步结转分步法和平行结转分步法。</w:t>
      </w:r>
    </w:p>
    <w:p>
      <w:pPr>
        <w:pStyle w:val="5"/>
        <w:numPr>
          <w:ilvl w:val="0"/>
          <w:numId w:val="126"/>
        </w:numPr>
        <w:tabs>
          <w:tab w:val="left" w:pos="925"/>
        </w:tabs>
        <w:spacing w:before="2" w:after="0" w:line="240" w:lineRule="auto"/>
        <w:ind w:left="924" w:right="0" w:hanging="202"/>
        <w:jc w:val="left"/>
      </w:pPr>
      <w:r>
        <w:t>逐步结转分步法</w:t>
      </w:r>
    </w:p>
    <w:p>
      <w:pPr>
        <w:pStyle w:val="13"/>
        <w:numPr>
          <w:ilvl w:val="0"/>
          <w:numId w:val="127"/>
        </w:numPr>
        <w:tabs>
          <w:tab w:val="left" w:pos="1224"/>
        </w:tabs>
        <w:spacing w:before="70" w:after="0" w:line="240" w:lineRule="auto"/>
        <w:ind w:left="1223" w:right="0" w:hanging="501"/>
        <w:jc w:val="left"/>
        <w:rPr>
          <w:sz w:val="20"/>
        </w:rPr>
      </w:pPr>
      <w:r>
        <w:rPr>
          <w:sz w:val="20"/>
        </w:rPr>
        <w:t>概念</w:t>
      </w:r>
    </w:p>
    <w:p>
      <w:pPr>
        <w:pStyle w:val="6"/>
        <w:spacing w:line="304" w:lineRule="auto"/>
        <w:ind w:left="322" w:right="662" w:firstLine="400"/>
        <w:jc w:val="both"/>
      </w:pPr>
      <w:r>
        <w:t>逐</w:t>
      </w:r>
      <w:r>
        <w:rPr>
          <w:b/>
          <w:color w:val="00AFEF"/>
          <w:u w:val="single" w:color="00AFEF"/>
        </w:rPr>
        <w:t>步结转分步法</w:t>
      </w:r>
      <w:r>
        <w:t>是为了分步计算半成品成本而采用的一种分步法，也称</w:t>
      </w:r>
      <w:r>
        <w:rPr>
          <w:color w:val="FF0000"/>
          <w:u w:val="double" w:color="FF0000"/>
        </w:rPr>
        <w:t>计算半成品成本分步法。</w:t>
      </w:r>
      <w:r>
        <w:t>它是按照产品加工的顺序，</w:t>
      </w:r>
      <w:r>
        <w:rPr>
          <w:color w:val="FF0000"/>
          <w:u w:val="double" w:color="FF0000"/>
        </w:rPr>
        <w:t>逐步计算并结转半成品成本，</w:t>
      </w:r>
      <w:r>
        <w:t>直到最后加工步骤完成才能计算产成品成本的一种方法。完工产品</w:t>
      </w:r>
      <w:r>
        <w:rPr>
          <w:w w:val="95"/>
        </w:rPr>
        <w:t>是指各</w:t>
      </w:r>
      <w:r>
        <w:rPr>
          <w:color w:val="FF0000"/>
          <w:w w:val="95"/>
          <w:u w:val="double" w:color="FF0000"/>
        </w:rPr>
        <w:t>步骤已完工但尚未最终完成的产品</w:t>
      </w:r>
      <w:r>
        <w:rPr>
          <w:w w:val="95"/>
        </w:rPr>
        <w:t>和企业</w:t>
      </w:r>
      <w:r>
        <w:rPr>
          <w:color w:val="FF0000"/>
          <w:w w:val="95"/>
          <w:u w:val="double" w:color="FF0000"/>
        </w:rPr>
        <w:t>最后完成的产成品；</w:t>
      </w:r>
      <w:r>
        <w:rPr>
          <w:w w:val="95"/>
        </w:rPr>
        <w:t>在产品是指</w:t>
      </w:r>
      <w:r>
        <w:rPr>
          <w:color w:val="FF0000"/>
          <w:w w:val="95"/>
          <w:u w:val="double" w:color="FF0000"/>
        </w:rPr>
        <w:t>各步骤尚未加工完成</w:t>
      </w:r>
      <w:r>
        <w:rPr>
          <w:w w:val="95"/>
        </w:rPr>
        <w:t>的在产品。</w:t>
      </w:r>
    </w:p>
    <w:p>
      <w:pPr>
        <w:pStyle w:val="6"/>
        <w:spacing w:before="0"/>
      </w:pPr>
      <w:r>
        <w:t>逐步结转分步法：</w:t>
      </w:r>
    </w:p>
    <w:p>
      <w:pPr>
        <w:pStyle w:val="6"/>
        <w:spacing w:before="12"/>
        <w:ind w:left="0"/>
        <w:rPr>
          <w:sz w:val="11"/>
        </w:rPr>
      </w:pPr>
      <w:r>
        <w:drawing>
          <wp:anchor distT="0" distB="0" distL="0" distR="0" simplePos="0" relativeHeight="1024" behindDoc="0" locked="0" layoutInCell="1" allowOverlap="1">
            <wp:simplePos x="0" y="0"/>
            <wp:positionH relativeFrom="page">
              <wp:posOffset>2686050</wp:posOffset>
            </wp:positionH>
            <wp:positionV relativeFrom="paragraph">
              <wp:posOffset>121920</wp:posOffset>
            </wp:positionV>
            <wp:extent cx="2459990" cy="1166495"/>
            <wp:effectExtent l="0" t="0" r="0" b="0"/>
            <wp:wrapTopAndBottom/>
            <wp:docPr id="10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6.png"/>
                    <pic:cNvPicPr>
                      <a:picLocks noChangeAspect="1"/>
                    </pic:cNvPicPr>
                  </pic:nvPicPr>
                  <pic:blipFill>
                    <a:blip r:embed="rId64" cstate="print"/>
                    <a:stretch>
                      <a:fillRect/>
                    </a:stretch>
                  </pic:blipFill>
                  <pic:spPr>
                    <a:xfrm>
                      <a:off x="0" y="0"/>
                      <a:ext cx="2460230" cy="1166812"/>
                    </a:xfrm>
                    <a:prstGeom prst="rect">
                      <a:avLst/>
                    </a:prstGeom>
                  </pic:spPr>
                </pic:pic>
              </a:graphicData>
            </a:graphic>
          </wp:anchor>
        </w:drawing>
      </w:r>
    </w:p>
    <w:p>
      <w:pPr>
        <w:pStyle w:val="6"/>
        <w:spacing w:before="3"/>
        <w:ind w:left="0"/>
        <w:rPr>
          <w:sz w:val="15"/>
        </w:rPr>
      </w:pPr>
    </w:p>
    <w:p>
      <w:pPr>
        <w:pStyle w:val="13"/>
        <w:numPr>
          <w:ilvl w:val="0"/>
          <w:numId w:val="127"/>
        </w:numPr>
        <w:tabs>
          <w:tab w:val="left" w:pos="1224"/>
        </w:tabs>
        <w:spacing w:before="0" w:after="0" w:line="304" w:lineRule="auto"/>
        <w:ind w:left="322" w:right="763" w:firstLine="400"/>
        <w:jc w:val="left"/>
        <w:rPr>
          <w:sz w:val="20"/>
        </w:rPr>
      </w:pPr>
      <w:r>
        <w:rPr>
          <w:w w:val="95"/>
          <w:sz w:val="20"/>
        </w:rPr>
        <w:t>适用范围：</w:t>
      </w:r>
      <w:r>
        <w:rPr>
          <w:color w:val="FF0000"/>
          <w:w w:val="95"/>
          <w:sz w:val="20"/>
          <w:u w:val="double" w:color="FF0000"/>
        </w:rPr>
        <w:t>大量大批连续式复杂性生产的企业。</w:t>
      </w:r>
      <w:r>
        <w:rPr>
          <w:w w:val="95"/>
          <w:sz w:val="20"/>
        </w:rPr>
        <w:t>如：</w:t>
      </w:r>
      <w:r>
        <w:rPr>
          <w:color w:val="FF0000"/>
          <w:w w:val="95"/>
          <w:sz w:val="20"/>
          <w:u w:val="double" w:color="FF0000"/>
        </w:rPr>
        <w:t>钢铁厂的生铁、钢锭，纺织厂的棉纱</w:t>
      </w:r>
      <w:r>
        <w:rPr>
          <w:w w:val="95"/>
          <w:sz w:val="20"/>
        </w:rPr>
        <w:t xml:space="preserve">等，都需要   </w:t>
      </w:r>
      <w:r>
        <w:rPr>
          <w:spacing w:val="-13"/>
          <w:sz w:val="20"/>
        </w:rPr>
        <w:t>计算半成品成本。</w:t>
      </w:r>
      <w:r>
        <w:rPr>
          <w:sz w:val="20"/>
        </w:rPr>
        <w:t>（3）分类：</w:t>
      </w:r>
      <w:r>
        <w:rPr>
          <w:color w:val="FF0000"/>
          <w:sz w:val="20"/>
          <w:u w:val="double" w:color="FF0000"/>
        </w:rPr>
        <w:t>综合结转和分项结转</w:t>
      </w:r>
    </w:p>
    <w:p>
      <w:pPr>
        <w:pStyle w:val="6"/>
        <w:spacing w:before="2"/>
      </w:pPr>
      <w:r>
        <w:t>（4）优缺点</w:t>
      </w:r>
    </w:p>
    <w:p>
      <w:pPr>
        <w:pStyle w:val="6"/>
        <w:spacing w:line="302" w:lineRule="auto"/>
        <w:ind w:left="322" w:right="722" w:firstLine="400"/>
      </w:pPr>
      <w:r>
        <w:rPr>
          <w:spacing w:val="-4"/>
          <w:w w:val="95"/>
        </w:rPr>
        <w:t>优点：</w:t>
      </w:r>
      <w:r>
        <w:rPr>
          <w:color w:val="FF0000"/>
          <w:spacing w:val="-4"/>
          <w:w w:val="95"/>
          <w:u w:val="double" w:color="FF0000"/>
        </w:rPr>
        <w:t>①能提供各个生产步骤的半成品成本资料；</w:t>
      </w:r>
      <w:r>
        <w:rPr>
          <w:spacing w:val="-5"/>
          <w:w w:val="95"/>
        </w:rPr>
        <w:t xml:space="preserve">②为各生产步骤的在产品实物管理提供资料；③能够全面   </w:t>
      </w:r>
      <w:r>
        <w:rPr>
          <w:spacing w:val="-5"/>
        </w:rPr>
        <w:t>地反映各生产步骤的生产耗费水平，更好地满足各生产步骤成本管理的要求。</w:t>
      </w:r>
    </w:p>
    <w:p>
      <w:pPr>
        <w:pStyle w:val="6"/>
        <w:spacing w:before="5" w:line="304" w:lineRule="auto"/>
        <w:ind w:left="322" w:right="720" w:firstLine="400"/>
      </w:pPr>
      <w:r>
        <w:rPr>
          <w:spacing w:val="-6"/>
          <w:w w:val="95"/>
        </w:rPr>
        <w:t>缺点：成本结转工作量较大，各生产步骤的半成品成本采用逐步综合结转方法，</w:t>
      </w:r>
      <w:r>
        <w:rPr>
          <w:color w:val="FF0000"/>
          <w:spacing w:val="-2"/>
          <w:w w:val="95"/>
          <w:u w:val="double" w:color="FF0000"/>
        </w:rPr>
        <w:t>还要进行成本还原，</w:t>
      </w:r>
      <w:r>
        <w:rPr>
          <w:w w:val="95"/>
        </w:rPr>
        <w:t xml:space="preserve">增加了   </w:t>
      </w:r>
      <w:r>
        <w:t>核算的工作量。</w:t>
      </w:r>
    </w:p>
    <w:p>
      <w:pPr>
        <w:pStyle w:val="5"/>
        <w:numPr>
          <w:ilvl w:val="0"/>
          <w:numId w:val="126"/>
        </w:numPr>
        <w:tabs>
          <w:tab w:val="left" w:pos="925"/>
        </w:tabs>
        <w:spacing w:before="2" w:after="0" w:line="240" w:lineRule="auto"/>
        <w:ind w:left="924" w:right="0" w:hanging="202"/>
        <w:jc w:val="left"/>
      </w:pPr>
      <w:r>
        <w:t>平行结转分步法</w:t>
      </w:r>
    </w:p>
    <w:p>
      <w:pPr>
        <w:pStyle w:val="13"/>
        <w:numPr>
          <w:ilvl w:val="0"/>
          <w:numId w:val="128"/>
        </w:numPr>
        <w:tabs>
          <w:tab w:val="left" w:pos="1224"/>
        </w:tabs>
        <w:spacing w:before="70" w:after="0" w:line="240" w:lineRule="auto"/>
        <w:ind w:left="1223" w:right="0" w:hanging="501"/>
        <w:jc w:val="left"/>
        <w:rPr>
          <w:sz w:val="20"/>
        </w:rPr>
      </w:pPr>
      <w:r>
        <w:rPr>
          <w:sz w:val="20"/>
        </w:rPr>
        <w:t>概念:</w:t>
      </w:r>
      <w:r>
        <w:rPr>
          <w:b/>
          <w:color w:val="00AFEF"/>
          <w:sz w:val="20"/>
          <w:u w:val="single" w:color="00AFEF"/>
        </w:rPr>
        <w:t>平行结转分步法</w:t>
      </w:r>
      <w:r>
        <w:rPr>
          <w:sz w:val="20"/>
        </w:rPr>
        <w:t>也称</w:t>
      </w:r>
      <w:r>
        <w:rPr>
          <w:color w:val="FF0000"/>
          <w:spacing w:val="-2"/>
          <w:sz w:val="20"/>
          <w:u w:val="double" w:color="FF0000"/>
        </w:rPr>
        <w:t>不计算半成品成本分步法。</w:t>
      </w:r>
      <w:r>
        <w:rPr>
          <w:spacing w:val="-2"/>
          <w:sz w:val="20"/>
        </w:rPr>
        <w:t>它是指在计算各步骤成本时，</w:t>
      </w:r>
      <w:r>
        <w:rPr>
          <w:color w:val="FF0000"/>
          <w:sz w:val="20"/>
          <w:u w:val="double" w:color="FF0000"/>
        </w:rPr>
        <w:t>不计算各步骤所产</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20"/>
        <w:jc w:val="both"/>
      </w:pPr>
      <w:r>
        <w:drawing>
          <wp:anchor distT="0" distB="0" distL="0" distR="0" simplePos="0" relativeHeight="1024" behindDoc="0" locked="0" layoutInCell="1" allowOverlap="1">
            <wp:simplePos x="0" y="0"/>
            <wp:positionH relativeFrom="page">
              <wp:posOffset>2636520</wp:posOffset>
            </wp:positionH>
            <wp:positionV relativeFrom="paragraph">
              <wp:posOffset>714375</wp:posOffset>
            </wp:positionV>
            <wp:extent cx="2533650" cy="1409700"/>
            <wp:effectExtent l="0" t="0" r="0" b="0"/>
            <wp:wrapTopAndBottom/>
            <wp:docPr id="11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7.png"/>
                    <pic:cNvPicPr>
                      <a:picLocks noChangeAspect="1"/>
                    </pic:cNvPicPr>
                  </pic:nvPicPr>
                  <pic:blipFill>
                    <a:blip r:embed="rId65" cstate="print"/>
                    <a:stretch>
                      <a:fillRect/>
                    </a:stretch>
                  </pic:blipFill>
                  <pic:spPr>
                    <a:xfrm>
                      <a:off x="0" y="0"/>
                      <a:ext cx="2533372" cy="1409700"/>
                    </a:xfrm>
                    <a:prstGeom prst="rect">
                      <a:avLst/>
                    </a:prstGeom>
                  </pic:spPr>
                </pic:pic>
              </a:graphicData>
            </a:graphic>
          </wp:anchor>
        </w:drawing>
      </w:r>
      <w:r>
        <w:rPr>
          <w:color w:val="FF0000"/>
          <w:spacing w:val="-3"/>
          <w:w w:val="95"/>
          <w:u w:val="double" w:color="FF0000"/>
        </w:rPr>
        <w:t>半成品的成本，</w:t>
      </w:r>
      <w:r>
        <w:rPr>
          <w:spacing w:val="-1"/>
          <w:w w:val="95"/>
        </w:rPr>
        <w:t>也不计算各步骤所耗上一步骤的半成品成本，而</w:t>
      </w:r>
      <w:r>
        <w:rPr>
          <w:color w:val="FF0000"/>
          <w:w w:val="95"/>
          <w:u w:val="double" w:color="FF0000"/>
        </w:rPr>
        <w:t>只计算本步骤发生的各项其他成本</w:t>
      </w:r>
      <w:r>
        <w:rPr>
          <w:spacing w:val="-5"/>
          <w:w w:val="95"/>
        </w:rPr>
        <w:t xml:space="preserve">，以及这些成    </w:t>
      </w:r>
      <w:r>
        <w:rPr>
          <w:spacing w:val="-9"/>
          <w:w w:val="95"/>
        </w:rPr>
        <w:t xml:space="preserve">本中应计入产成品的份额，将相同产品的各步骤成本明细账中的这些份额平行结转、汇总，即可计算出该种产品    </w:t>
      </w:r>
      <w:r>
        <w:rPr>
          <w:spacing w:val="-9"/>
        </w:rPr>
        <w:t>的产成品成本。 平行结转分步法：</w:t>
      </w:r>
    </w:p>
    <w:p>
      <w:pPr>
        <w:pStyle w:val="13"/>
        <w:numPr>
          <w:ilvl w:val="0"/>
          <w:numId w:val="128"/>
        </w:numPr>
        <w:tabs>
          <w:tab w:val="left" w:pos="1224"/>
        </w:tabs>
        <w:spacing w:before="172" w:after="0" w:line="240" w:lineRule="auto"/>
        <w:ind w:left="1223" w:right="0" w:hanging="501"/>
        <w:jc w:val="left"/>
        <w:rPr>
          <w:sz w:val="20"/>
        </w:rPr>
      </w:pPr>
      <w:r>
        <w:rPr>
          <w:sz w:val="20"/>
        </w:rPr>
        <w:t>特点： ①各步骤的产品生产成本</w:t>
      </w:r>
      <w:r>
        <w:rPr>
          <w:color w:val="FF0000"/>
          <w:sz w:val="20"/>
          <w:u w:val="double" w:color="FF0000"/>
        </w:rPr>
        <w:t>并不伴随着半成品实物的转移而结转。</w:t>
      </w:r>
    </w:p>
    <w:p>
      <w:pPr>
        <w:pStyle w:val="6"/>
        <w:spacing w:line="302" w:lineRule="auto"/>
        <w:ind w:right="2263" w:firstLine="1200"/>
      </w:pPr>
      <w:r>
        <w:rPr>
          <w:w w:val="95"/>
        </w:rPr>
        <w:t xml:space="preserve">②每一生产步骤的生产成本也要在其完工产品与月末在产品之间进行分配。  </w:t>
      </w:r>
      <w:r>
        <w:t>完工产品是指</w:t>
      </w:r>
      <w:r>
        <w:rPr>
          <w:color w:val="FF0000"/>
          <w:u w:val="double" w:color="FF0000"/>
        </w:rPr>
        <w:t>企业最后完成的产成品；</w:t>
      </w:r>
    </w:p>
    <w:p>
      <w:pPr>
        <w:pStyle w:val="6"/>
        <w:spacing w:before="4"/>
        <w:ind w:left="322"/>
      </w:pPr>
      <w:r>
        <w:t>在产品是指</w:t>
      </w:r>
      <w:r>
        <w:rPr>
          <w:color w:val="FF0000"/>
          <w:u w:val="double" w:color="FF0000"/>
        </w:rPr>
        <w:t>各步骤尚未加工完成的</w:t>
      </w:r>
      <w:r>
        <w:t>在产品和</w:t>
      </w:r>
      <w:r>
        <w:rPr>
          <w:color w:val="FF0000"/>
          <w:u w:val="double" w:color="FF0000"/>
        </w:rPr>
        <w:t>各步骤已完工但尚未最终完成的</w:t>
      </w:r>
      <w:r>
        <w:t>产品。</w:t>
      </w:r>
    </w:p>
    <w:p>
      <w:pPr>
        <w:pStyle w:val="13"/>
        <w:numPr>
          <w:ilvl w:val="0"/>
          <w:numId w:val="128"/>
        </w:numPr>
        <w:tabs>
          <w:tab w:val="left" w:pos="1224"/>
        </w:tabs>
        <w:spacing w:before="71" w:after="0" w:line="240" w:lineRule="auto"/>
        <w:ind w:left="1223" w:right="0" w:hanging="501"/>
        <w:jc w:val="left"/>
        <w:rPr>
          <w:sz w:val="20"/>
        </w:rPr>
      </w:pPr>
      <w:r>
        <w:rPr>
          <w:sz w:val="20"/>
        </w:rPr>
        <w:t>优缺点</w:t>
      </w:r>
    </w:p>
    <w:p>
      <w:pPr>
        <w:pStyle w:val="6"/>
        <w:spacing w:line="304" w:lineRule="auto"/>
        <w:ind w:left="322" w:right="720" w:firstLine="400"/>
      </w:pPr>
      <w:r>
        <w:rPr>
          <w:spacing w:val="-7"/>
          <w:w w:val="95"/>
        </w:rPr>
        <w:t>优点：各步骤可以同时计算产品成本，平行汇总计入产成品成本，不必逐步结转半成品成本，</w:t>
      </w:r>
      <w:r>
        <w:rPr>
          <w:color w:val="FF0000"/>
          <w:w w:val="95"/>
          <w:u w:val="double" w:color="FF0000"/>
        </w:rPr>
        <w:t>能够直接提供</w:t>
      </w:r>
      <w:r>
        <w:rPr>
          <w:color w:val="FF0000"/>
          <w:spacing w:val="-199"/>
          <w:w w:val="95"/>
          <w:u w:val="double" w:color="FF0000"/>
        </w:rPr>
        <w:t>按</w:t>
      </w:r>
      <w:r>
        <w:rPr>
          <w:color w:val="FF0000"/>
          <w:spacing w:val="190"/>
          <w:w w:val="95"/>
          <w:u w:val="double" w:color="FF0000"/>
        </w:rPr>
        <w:t xml:space="preserve"> </w:t>
      </w:r>
      <w:r>
        <w:rPr>
          <w:color w:val="FF0000"/>
          <w:u w:val="double" w:color="FF0000"/>
        </w:rPr>
        <w:t>原始成本项目反映的产成品成本资料，不必进行成本还原，</w:t>
      </w:r>
      <w:r>
        <w:t>因而能够简化和加速成本计算工作；</w:t>
      </w:r>
    </w:p>
    <w:p>
      <w:pPr>
        <w:pStyle w:val="6"/>
        <w:spacing w:before="2" w:line="302" w:lineRule="auto"/>
        <w:ind w:left="322" w:right="647" w:firstLine="400"/>
      </w:pPr>
      <w:r>
        <mc:AlternateContent>
          <mc:Choice Requires="wps">
            <w:drawing>
              <wp:anchor distT="0" distB="0" distL="114300" distR="114300" simplePos="0" relativeHeight="15885312" behindDoc="0" locked="0" layoutInCell="1" allowOverlap="1">
                <wp:simplePos x="0" y="0"/>
                <wp:positionH relativeFrom="page">
                  <wp:posOffset>615950</wp:posOffset>
                </wp:positionH>
                <wp:positionV relativeFrom="paragraph">
                  <wp:posOffset>370840</wp:posOffset>
                </wp:positionV>
                <wp:extent cx="6434455" cy="2754630"/>
                <wp:effectExtent l="0" t="0" r="0" b="0"/>
                <wp:wrapNone/>
                <wp:docPr id="170" name="文本框 296"/>
                <wp:cNvGraphicFramePr/>
                <a:graphic xmlns:a="http://schemas.openxmlformats.org/drawingml/2006/main">
                  <a:graphicData uri="http://schemas.microsoft.com/office/word/2010/wordprocessingShape">
                    <wps:wsp>
                      <wps:cNvSpPr txBox="1"/>
                      <wps:spPr>
                        <a:xfrm>
                          <a:off x="0" y="0"/>
                          <a:ext cx="6434455" cy="275463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2"/>
                              <w:gridCol w:w="4350"/>
                              <w:gridCol w:w="36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92" w:type="dxa"/>
                                </w:tcPr>
                                <w:p>
                                  <w:pPr>
                                    <w:pStyle w:val="14"/>
                                    <w:spacing w:before="68" w:line="238" w:lineRule="exact"/>
                                    <w:ind w:left="1045"/>
                                    <w:rPr>
                                      <w:sz w:val="20"/>
                                    </w:rPr>
                                  </w:pPr>
                                  <w:r>
                                    <w:rPr>
                                      <w:sz w:val="20"/>
                                    </w:rPr>
                                    <w:t>项目</w:t>
                                  </w:r>
                                </w:p>
                              </w:tc>
                              <w:tc>
                                <w:tcPr>
                                  <w:tcW w:w="4350" w:type="dxa"/>
                                </w:tcPr>
                                <w:p>
                                  <w:pPr>
                                    <w:pStyle w:val="14"/>
                                    <w:spacing w:before="68" w:line="238" w:lineRule="exact"/>
                                    <w:ind w:left="1675"/>
                                    <w:rPr>
                                      <w:sz w:val="20"/>
                                    </w:rPr>
                                  </w:pPr>
                                  <w:r>
                                    <w:rPr>
                                      <w:sz w:val="20"/>
                                    </w:rPr>
                                    <w:t>逐步结转分步法</w:t>
                                  </w:r>
                                </w:p>
                              </w:tc>
                              <w:tc>
                                <w:tcPr>
                                  <w:tcW w:w="3636" w:type="dxa"/>
                                </w:tcPr>
                                <w:p>
                                  <w:pPr>
                                    <w:pStyle w:val="14"/>
                                    <w:spacing w:before="68" w:line="238" w:lineRule="exact"/>
                                    <w:ind w:left="1175" w:right="808"/>
                                    <w:jc w:val="center"/>
                                    <w:rPr>
                                      <w:sz w:val="20"/>
                                    </w:rPr>
                                  </w:pPr>
                                  <w:r>
                                    <w:rPr>
                                      <w:sz w:val="20"/>
                                    </w:rPr>
                                    <w:t>平行结转分步法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92" w:type="dxa"/>
                                </w:tcPr>
                                <w:p>
                                  <w:pPr>
                                    <w:pStyle w:val="14"/>
                                    <w:spacing w:before="68" w:line="238" w:lineRule="exact"/>
                                    <w:ind w:left="546"/>
                                    <w:rPr>
                                      <w:sz w:val="20"/>
                                    </w:rPr>
                                  </w:pPr>
                                  <w:r>
                                    <w:rPr>
                                      <w:sz w:val="20"/>
                                    </w:rPr>
                                    <w:t>半成品成本</w:t>
                                  </w:r>
                                </w:p>
                              </w:tc>
                              <w:tc>
                                <w:tcPr>
                                  <w:tcW w:w="4350" w:type="dxa"/>
                                </w:tcPr>
                                <w:p>
                                  <w:pPr>
                                    <w:pStyle w:val="14"/>
                                    <w:spacing w:before="68" w:line="238" w:lineRule="exact"/>
                                    <w:ind w:left="2153" w:right="1747"/>
                                    <w:jc w:val="center"/>
                                    <w:rPr>
                                      <w:sz w:val="20"/>
                                    </w:rPr>
                                  </w:pPr>
                                  <w:r>
                                    <w:rPr>
                                      <w:sz w:val="20"/>
                                    </w:rPr>
                                    <w:t>计算</w:t>
                                  </w:r>
                                </w:p>
                              </w:tc>
                              <w:tc>
                                <w:tcPr>
                                  <w:tcW w:w="3636" w:type="dxa"/>
                                </w:tcPr>
                                <w:p>
                                  <w:pPr>
                                    <w:pStyle w:val="14"/>
                                    <w:spacing w:before="68" w:line="238" w:lineRule="exact"/>
                                    <w:ind w:left="1177" w:right="808"/>
                                    <w:jc w:val="center"/>
                                    <w:rPr>
                                      <w:sz w:val="20"/>
                                    </w:rPr>
                                  </w:pPr>
                                  <w:r>
                                    <w:rPr>
                                      <w:sz w:val="20"/>
                                    </w:rPr>
                                    <w:t>不计算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092" w:type="dxa"/>
                                </w:tcPr>
                                <w:p>
                                  <w:pPr>
                                    <w:pStyle w:val="14"/>
                                    <w:spacing w:before="68" w:line="238" w:lineRule="exact"/>
                                    <w:ind w:left="344"/>
                                    <w:rPr>
                                      <w:sz w:val="20"/>
                                    </w:rPr>
                                  </w:pPr>
                                  <w:r>
                                    <w:rPr>
                                      <w:sz w:val="20"/>
                                    </w:rPr>
                                    <w:t>费用与实物转移</w:t>
                                  </w:r>
                                </w:p>
                              </w:tc>
                              <w:tc>
                                <w:tcPr>
                                  <w:tcW w:w="4350" w:type="dxa"/>
                                </w:tcPr>
                                <w:p>
                                  <w:pPr>
                                    <w:pStyle w:val="14"/>
                                    <w:spacing w:before="68" w:line="238" w:lineRule="exact"/>
                                    <w:ind w:left="1473"/>
                                    <w:rPr>
                                      <w:sz w:val="20"/>
                                    </w:rPr>
                                  </w:pPr>
                                  <w:r>
                                    <w:rPr>
                                      <w:sz w:val="20"/>
                                    </w:rPr>
                                    <w:t>同步（转移并结转）</w:t>
                                  </w:r>
                                </w:p>
                              </w:tc>
                              <w:tc>
                                <w:tcPr>
                                  <w:tcW w:w="3636" w:type="dxa"/>
                                </w:tcPr>
                                <w:p>
                                  <w:pPr>
                                    <w:pStyle w:val="14"/>
                                    <w:spacing w:before="68" w:line="238" w:lineRule="exact"/>
                                    <w:ind w:left="1177" w:right="808"/>
                                    <w:jc w:val="center"/>
                                    <w:rPr>
                                      <w:sz w:val="20"/>
                                    </w:rPr>
                                  </w:pPr>
                                  <w:r>
                                    <w:rPr>
                                      <w:sz w:val="20"/>
                                    </w:rPr>
                                    <w:t>不同步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92" w:type="dxa"/>
                                </w:tcPr>
                                <w:p>
                                  <w:pPr>
                                    <w:pStyle w:val="14"/>
                                    <w:spacing w:before="68" w:line="238" w:lineRule="exact"/>
                                    <w:ind w:left="445"/>
                                    <w:rPr>
                                      <w:sz w:val="20"/>
                                    </w:rPr>
                                  </w:pPr>
                                  <w:r>
                                    <w:rPr>
                                      <w:sz w:val="20"/>
                                    </w:rPr>
                                    <w:t>完工产品含义</w:t>
                                  </w:r>
                                </w:p>
                              </w:tc>
                              <w:tc>
                                <w:tcPr>
                                  <w:tcW w:w="4350" w:type="dxa"/>
                                </w:tcPr>
                                <w:p>
                                  <w:pPr>
                                    <w:pStyle w:val="14"/>
                                    <w:spacing w:before="68" w:line="238" w:lineRule="exact"/>
                                    <w:ind w:left="107"/>
                                    <w:rPr>
                                      <w:sz w:val="20"/>
                                    </w:rPr>
                                  </w:pPr>
                                  <w:r>
                                    <w:rPr>
                                      <w:sz w:val="20"/>
                                    </w:rPr>
                                    <w:t>①各步骤的完工半成品②最终完工的产成品</w:t>
                                  </w:r>
                                </w:p>
                              </w:tc>
                              <w:tc>
                                <w:tcPr>
                                  <w:tcW w:w="3636" w:type="dxa"/>
                                </w:tcPr>
                                <w:p>
                                  <w:pPr>
                                    <w:pStyle w:val="14"/>
                                    <w:spacing w:before="68" w:line="238" w:lineRule="exact"/>
                                    <w:ind w:left="1177" w:right="808"/>
                                    <w:jc w:val="center"/>
                                    <w:rPr>
                                      <w:sz w:val="20"/>
                                    </w:rPr>
                                  </w:pPr>
                                  <w:r>
                                    <w:rPr>
                                      <w:sz w:val="20"/>
                                    </w:rPr>
                                    <w:t>最终完工的产成品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092" w:type="dxa"/>
                                </w:tcPr>
                                <w:p>
                                  <w:pPr>
                                    <w:pStyle w:val="14"/>
                                    <w:rPr>
                                      <w:sz w:val="18"/>
                                    </w:rPr>
                                  </w:pPr>
                                </w:p>
                                <w:p>
                                  <w:pPr>
                                    <w:pStyle w:val="14"/>
                                    <w:ind w:left="546"/>
                                    <w:rPr>
                                      <w:sz w:val="20"/>
                                    </w:rPr>
                                  </w:pPr>
                                  <w:r>
                                    <w:rPr>
                                      <w:sz w:val="20"/>
                                    </w:rPr>
                                    <w:t>在产品含义</w:t>
                                  </w:r>
                                </w:p>
                              </w:tc>
                              <w:tc>
                                <w:tcPr>
                                  <w:tcW w:w="4350" w:type="dxa"/>
                                </w:tcPr>
                                <w:p>
                                  <w:pPr>
                                    <w:pStyle w:val="14"/>
                                    <w:rPr>
                                      <w:sz w:val="18"/>
                                    </w:rPr>
                                  </w:pPr>
                                </w:p>
                                <w:p>
                                  <w:pPr>
                                    <w:pStyle w:val="14"/>
                                    <w:ind w:left="1075"/>
                                    <w:rPr>
                                      <w:sz w:val="20"/>
                                    </w:rPr>
                                  </w:pPr>
                                  <w:r>
                                    <w:rPr>
                                      <w:sz w:val="20"/>
                                    </w:rPr>
                                    <w:t>本步骤尚未加工完成的半成品</w:t>
                                  </w:r>
                                </w:p>
                              </w:tc>
                              <w:tc>
                                <w:tcPr>
                                  <w:tcW w:w="3636" w:type="dxa"/>
                                </w:tcPr>
                                <w:p>
                                  <w:pPr>
                                    <w:pStyle w:val="14"/>
                                    <w:spacing w:before="68"/>
                                    <w:ind w:left="106"/>
                                    <w:rPr>
                                      <w:sz w:val="20"/>
                                    </w:rPr>
                                  </w:pPr>
                                  <w:r>
                                    <w:rPr>
                                      <w:sz w:val="20"/>
                                    </w:rPr>
                                    <w:t>①本步骤尚未加工完成的半成品</w:t>
                                  </w:r>
                                </w:p>
                                <w:p>
                                  <w:pPr>
                                    <w:pStyle w:val="14"/>
                                    <w:spacing w:before="70" w:line="237" w:lineRule="exact"/>
                                    <w:ind w:left="106"/>
                                    <w:rPr>
                                      <w:sz w:val="20"/>
                                    </w:rPr>
                                  </w:pPr>
                                  <w:r>
                                    <w:rPr>
                                      <w:sz w:val="20"/>
                                    </w:rPr>
                                    <w:t>②各步骤的完工半成品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092" w:type="dxa"/>
                                </w:tcPr>
                                <w:p>
                                  <w:pPr>
                                    <w:pStyle w:val="14"/>
                                    <w:spacing w:before="1"/>
                                    <w:rPr>
                                      <w:sz w:val="18"/>
                                    </w:rPr>
                                  </w:pPr>
                                </w:p>
                                <w:p>
                                  <w:pPr>
                                    <w:pStyle w:val="14"/>
                                    <w:ind w:left="644"/>
                                    <w:rPr>
                                      <w:sz w:val="20"/>
                                    </w:rPr>
                                  </w:pPr>
                                  <w:r>
                                    <w:rPr>
                                      <w:sz w:val="20"/>
                                    </w:rPr>
                                    <w:t>成本还原</w:t>
                                  </w:r>
                                </w:p>
                              </w:tc>
                              <w:tc>
                                <w:tcPr>
                                  <w:tcW w:w="4350" w:type="dxa"/>
                                </w:tcPr>
                                <w:p>
                                  <w:pPr>
                                    <w:pStyle w:val="14"/>
                                    <w:spacing w:before="7" w:line="326" w:lineRule="exact"/>
                                    <w:ind w:left="1173" w:right="1165" w:firstLine="100"/>
                                    <w:rPr>
                                      <w:sz w:val="20"/>
                                    </w:rPr>
                                  </w:pPr>
                                  <w:r>
                                    <w:rPr>
                                      <w:sz w:val="20"/>
                                    </w:rPr>
                                    <w:t>综合结转分步法需要分项结转分步法不需要</w:t>
                                  </w:r>
                                </w:p>
                              </w:tc>
                              <w:tc>
                                <w:tcPr>
                                  <w:tcW w:w="3636" w:type="dxa"/>
                                </w:tcPr>
                                <w:p>
                                  <w:pPr>
                                    <w:pStyle w:val="14"/>
                                    <w:spacing w:before="1"/>
                                    <w:rPr>
                                      <w:sz w:val="18"/>
                                    </w:rPr>
                                  </w:pPr>
                                </w:p>
                                <w:p>
                                  <w:pPr>
                                    <w:pStyle w:val="14"/>
                                    <w:ind w:left="1177" w:right="808"/>
                                    <w:jc w:val="center"/>
                                    <w:rPr>
                                      <w:sz w:val="20"/>
                                    </w:rPr>
                                  </w:pPr>
                                  <w:r>
                                    <w:rPr>
                                      <w:sz w:val="20"/>
                                    </w:rPr>
                                    <w:t>不需要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2092" w:type="dxa"/>
                                </w:tcPr>
                                <w:p>
                                  <w:pPr>
                                    <w:pStyle w:val="14"/>
                                    <w:spacing w:before="62" w:line="237" w:lineRule="exact"/>
                                    <w:ind w:left="107"/>
                                    <w:rPr>
                                      <w:sz w:val="20"/>
                                    </w:rPr>
                                  </w:pPr>
                                  <w:r>
                                    <w:rPr>
                                      <w:sz w:val="20"/>
                                    </w:rPr>
                                    <w:t>同时计算产成品成本</w:t>
                                  </w:r>
                                </w:p>
                              </w:tc>
                              <w:tc>
                                <w:tcPr>
                                  <w:tcW w:w="4350" w:type="dxa"/>
                                </w:tcPr>
                                <w:p>
                                  <w:pPr>
                                    <w:pStyle w:val="14"/>
                                    <w:spacing w:before="62" w:line="237" w:lineRule="exact"/>
                                    <w:ind w:left="2153" w:right="1747"/>
                                    <w:jc w:val="center"/>
                                    <w:rPr>
                                      <w:sz w:val="20"/>
                                    </w:rPr>
                                  </w:pPr>
                                  <w:r>
                                    <w:rPr>
                                      <w:sz w:val="20"/>
                                    </w:rPr>
                                    <w:t>不能</w:t>
                                  </w:r>
                                </w:p>
                              </w:tc>
                              <w:tc>
                                <w:tcPr>
                                  <w:tcW w:w="3636" w:type="dxa"/>
                                </w:tcPr>
                                <w:p>
                                  <w:pPr>
                                    <w:pStyle w:val="14"/>
                                    <w:spacing w:before="62" w:line="237" w:lineRule="exact"/>
                                    <w:ind w:left="448"/>
                                    <w:jc w:val="center"/>
                                    <w:rPr>
                                      <w:sz w:val="20"/>
                                    </w:rPr>
                                  </w:pPr>
                                  <w:r>
                                    <w:rPr>
                                      <w:w w:val="99"/>
                                      <w:sz w:val="20"/>
                                    </w:rPr>
                                    <w:t>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092" w:type="dxa"/>
                                </w:tcPr>
                                <w:p>
                                  <w:pPr>
                                    <w:pStyle w:val="14"/>
                                    <w:spacing w:before="1"/>
                                    <w:rPr>
                                      <w:sz w:val="18"/>
                                    </w:rPr>
                                  </w:pPr>
                                </w:p>
                                <w:p>
                                  <w:pPr>
                                    <w:pStyle w:val="14"/>
                                    <w:ind w:left="1045"/>
                                    <w:rPr>
                                      <w:sz w:val="20"/>
                                    </w:rPr>
                                  </w:pPr>
                                  <w:r>
                                    <w:rPr>
                                      <w:sz w:val="20"/>
                                    </w:rPr>
                                    <w:t>优点</w:t>
                                  </w:r>
                                </w:p>
                              </w:tc>
                              <w:tc>
                                <w:tcPr>
                                  <w:tcW w:w="4350" w:type="dxa"/>
                                </w:tcPr>
                                <w:p>
                                  <w:pPr>
                                    <w:pStyle w:val="14"/>
                                    <w:spacing w:before="8" w:line="326" w:lineRule="exact"/>
                                    <w:ind w:left="107" w:right="97"/>
                                    <w:rPr>
                                      <w:sz w:val="20"/>
                                    </w:rPr>
                                  </w:pPr>
                                  <w:r>
                                    <w:rPr>
                                      <w:spacing w:val="-5"/>
                                      <w:w w:val="95"/>
                                      <w:sz w:val="20"/>
                                    </w:rPr>
                                    <w:t xml:space="preserve">能提供各步骤半成品的成本资料，便于进行在产 </w:t>
                                  </w:r>
                                  <w:r>
                                    <w:rPr>
                                      <w:spacing w:val="-5"/>
                                      <w:sz w:val="20"/>
                                    </w:rPr>
                                    <w:t>品的实物管理和资金管理</w:t>
                                  </w:r>
                                </w:p>
                              </w:tc>
                              <w:tc>
                                <w:tcPr>
                                  <w:tcW w:w="3636" w:type="dxa"/>
                                </w:tcPr>
                                <w:p>
                                  <w:pPr>
                                    <w:pStyle w:val="14"/>
                                    <w:spacing w:before="8" w:line="326" w:lineRule="exact"/>
                                    <w:ind w:left="106" w:right="59"/>
                                    <w:rPr>
                                      <w:sz w:val="20"/>
                                    </w:rPr>
                                  </w:pPr>
                                  <w:r>
                                    <w:rPr>
                                      <w:sz w:val="20"/>
                                    </w:rPr>
                                    <w:t>简化加速成本计算工作，不需进行成本还原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2092" w:type="dxa"/>
                                </w:tcPr>
                                <w:p>
                                  <w:pPr>
                                    <w:pStyle w:val="14"/>
                                    <w:spacing w:before="6"/>
                                    <w:rPr>
                                      <w:sz w:val="17"/>
                                    </w:rPr>
                                  </w:pPr>
                                </w:p>
                                <w:p>
                                  <w:pPr>
                                    <w:pStyle w:val="14"/>
                                    <w:ind w:left="1045"/>
                                    <w:rPr>
                                      <w:sz w:val="20"/>
                                    </w:rPr>
                                  </w:pPr>
                                  <w:r>
                                    <w:rPr>
                                      <w:sz w:val="20"/>
                                    </w:rPr>
                                    <w:t>缺点</w:t>
                                  </w:r>
                                </w:p>
                              </w:tc>
                              <w:tc>
                                <w:tcPr>
                                  <w:tcW w:w="4350" w:type="dxa"/>
                                </w:tcPr>
                                <w:p>
                                  <w:pPr>
                                    <w:pStyle w:val="14"/>
                                    <w:spacing w:line="326" w:lineRule="exact"/>
                                    <w:ind w:left="107" w:right="97"/>
                                    <w:rPr>
                                      <w:sz w:val="20"/>
                                    </w:rPr>
                                  </w:pPr>
                                  <w:r>
                                    <w:rPr>
                                      <w:spacing w:val="-6"/>
                                      <w:w w:val="95"/>
                                      <w:sz w:val="20"/>
                                    </w:rPr>
                                    <w:t xml:space="preserve">成本结转工作量大，采用逐步综合结转法，还要 </w:t>
                                  </w:r>
                                  <w:r>
                                    <w:rPr>
                                      <w:spacing w:val="-6"/>
                                      <w:sz w:val="20"/>
                                    </w:rPr>
                                    <w:t>进行成本还原</w:t>
                                  </w:r>
                                </w:p>
                              </w:tc>
                              <w:tc>
                                <w:tcPr>
                                  <w:tcW w:w="3636" w:type="dxa"/>
                                </w:tcPr>
                                <w:p>
                                  <w:pPr>
                                    <w:pStyle w:val="14"/>
                                    <w:spacing w:line="326" w:lineRule="exact"/>
                                    <w:ind w:left="106" w:right="59"/>
                                    <w:rPr>
                                      <w:sz w:val="20"/>
                                    </w:rPr>
                                  </w:pPr>
                                  <w:r>
                                    <w:rPr>
                                      <w:sz w:val="20"/>
                                    </w:rPr>
                                    <w:t>不能提供各步骤半成品的成本资料，不便于进行在产品的实物管理和资金管理</w:t>
                                  </w:r>
                                </w:p>
                              </w:tc>
                            </w:tr>
                          </w:tbl>
                          <w:p>
                            <w:pPr>
                              <w:pStyle w:val="6"/>
                              <w:spacing w:before="0"/>
                              <w:ind w:left="0"/>
                            </w:pPr>
                          </w:p>
                        </w:txbxContent>
                      </wps:txbx>
                      <wps:bodyPr lIns="0" tIns="0" rIns="0" bIns="0" upright="1"/>
                    </wps:wsp>
                  </a:graphicData>
                </a:graphic>
              </wp:anchor>
            </w:drawing>
          </mc:Choice>
          <mc:Fallback>
            <w:pict>
              <v:shape id="文本框 296" o:spid="_x0000_s1026" o:spt="202" type="#_x0000_t202" style="position:absolute;left:0pt;margin-left:48.5pt;margin-top:29.2pt;height:216.9pt;width:506.65pt;mso-position-horizontal-relative:page;z-index:15885312;mso-width-relative:page;mso-height-relative:page;" filled="f" stroked="f" coordsize="21600,21600" o:gfxdata="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GVnFtHZAAAACgEAAA8A&#10;AAAAAAAAAQAgAAAAIgAAAGRycy9kb3ducmV2LnhtbFBLAQIUABQAAAAIAIdO4kBIrMOJpAEAACkD&#10;AAAOAAAAAAAAAAEAIAAAACg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2"/>
                        <w:gridCol w:w="4350"/>
                        <w:gridCol w:w="36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92" w:type="dxa"/>
                          </w:tcPr>
                          <w:p>
                            <w:pPr>
                              <w:pStyle w:val="14"/>
                              <w:spacing w:before="68" w:line="238" w:lineRule="exact"/>
                              <w:ind w:left="1045"/>
                              <w:rPr>
                                <w:sz w:val="20"/>
                              </w:rPr>
                            </w:pPr>
                            <w:r>
                              <w:rPr>
                                <w:sz w:val="20"/>
                              </w:rPr>
                              <w:t>项目</w:t>
                            </w:r>
                          </w:p>
                        </w:tc>
                        <w:tc>
                          <w:tcPr>
                            <w:tcW w:w="4350" w:type="dxa"/>
                          </w:tcPr>
                          <w:p>
                            <w:pPr>
                              <w:pStyle w:val="14"/>
                              <w:spacing w:before="68" w:line="238" w:lineRule="exact"/>
                              <w:ind w:left="1675"/>
                              <w:rPr>
                                <w:sz w:val="20"/>
                              </w:rPr>
                            </w:pPr>
                            <w:r>
                              <w:rPr>
                                <w:sz w:val="20"/>
                              </w:rPr>
                              <w:t>逐步结转分步法</w:t>
                            </w:r>
                          </w:p>
                        </w:tc>
                        <w:tc>
                          <w:tcPr>
                            <w:tcW w:w="3636" w:type="dxa"/>
                          </w:tcPr>
                          <w:p>
                            <w:pPr>
                              <w:pStyle w:val="14"/>
                              <w:spacing w:before="68" w:line="238" w:lineRule="exact"/>
                              <w:ind w:left="1175" w:right="808"/>
                              <w:jc w:val="center"/>
                              <w:rPr>
                                <w:sz w:val="20"/>
                              </w:rPr>
                            </w:pPr>
                            <w:r>
                              <w:rPr>
                                <w:sz w:val="20"/>
                              </w:rPr>
                              <w:t>平行结转分步法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92" w:type="dxa"/>
                          </w:tcPr>
                          <w:p>
                            <w:pPr>
                              <w:pStyle w:val="14"/>
                              <w:spacing w:before="68" w:line="238" w:lineRule="exact"/>
                              <w:ind w:left="546"/>
                              <w:rPr>
                                <w:sz w:val="20"/>
                              </w:rPr>
                            </w:pPr>
                            <w:r>
                              <w:rPr>
                                <w:sz w:val="20"/>
                              </w:rPr>
                              <w:t>半成品成本</w:t>
                            </w:r>
                          </w:p>
                        </w:tc>
                        <w:tc>
                          <w:tcPr>
                            <w:tcW w:w="4350" w:type="dxa"/>
                          </w:tcPr>
                          <w:p>
                            <w:pPr>
                              <w:pStyle w:val="14"/>
                              <w:spacing w:before="68" w:line="238" w:lineRule="exact"/>
                              <w:ind w:left="2153" w:right="1747"/>
                              <w:jc w:val="center"/>
                              <w:rPr>
                                <w:sz w:val="20"/>
                              </w:rPr>
                            </w:pPr>
                            <w:r>
                              <w:rPr>
                                <w:sz w:val="20"/>
                              </w:rPr>
                              <w:t>计算</w:t>
                            </w:r>
                          </w:p>
                        </w:tc>
                        <w:tc>
                          <w:tcPr>
                            <w:tcW w:w="3636" w:type="dxa"/>
                          </w:tcPr>
                          <w:p>
                            <w:pPr>
                              <w:pStyle w:val="14"/>
                              <w:spacing w:before="68" w:line="238" w:lineRule="exact"/>
                              <w:ind w:left="1177" w:right="808"/>
                              <w:jc w:val="center"/>
                              <w:rPr>
                                <w:sz w:val="20"/>
                              </w:rPr>
                            </w:pPr>
                            <w:r>
                              <w:rPr>
                                <w:sz w:val="20"/>
                              </w:rPr>
                              <w:t>不计算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092" w:type="dxa"/>
                          </w:tcPr>
                          <w:p>
                            <w:pPr>
                              <w:pStyle w:val="14"/>
                              <w:spacing w:before="68" w:line="238" w:lineRule="exact"/>
                              <w:ind w:left="344"/>
                              <w:rPr>
                                <w:sz w:val="20"/>
                              </w:rPr>
                            </w:pPr>
                            <w:r>
                              <w:rPr>
                                <w:sz w:val="20"/>
                              </w:rPr>
                              <w:t>费用与实物转移</w:t>
                            </w:r>
                          </w:p>
                        </w:tc>
                        <w:tc>
                          <w:tcPr>
                            <w:tcW w:w="4350" w:type="dxa"/>
                          </w:tcPr>
                          <w:p>
                            <w:pPr>
                              <w:pStyle w:val="14"/>
                              <w:spacing w:before="68" w:line="238" w:lineRule="exact"/>
                              <w:ind w:left="1473"/>
                              <w:rPr>
                                <w:sz w:val="20"/>
                              </w:rPr>
                            </w:pPr>
                            <w:r>
                              <w:rPr>
                                <w:sz w:val="20"/>
                              </w:rPr>
                              <w:t>同步（转移并结转）</w:t>
                            </w:r>
                          </w:p>
                        </w:tc>
                        <w:tc>
                          <w:tcPr>
                            <w:tcW w:w="3636" w:type="dxa"/>
                          </w:tcPr>
                          <w:p>
                            <w:pPr>
                              <w:pStyle w:val="14"/>
                              <w:spacing w:before="68" w:line="238" w:lineRule="exact"/>
                              <w:ind w:left="1177" w:right="808"/>
                              <w:jc w:val="center"/>
                              <w:rPr>
                                <w:sz w:val="20"/>
                              </w:rPr>
                            </w:pPr>
                            <w:r>
                              <w:rPr>
                                <w:sz w:val="20"/>
                              </w:rPr>
                              <w:t>不同步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92" w:type="dxa"/>
                          </w:tcPr>
                          <w:p>
                            <w:pPr>
                              <w:pStyle w:val="14"/>
                              <w:spacing w:before="68" w:line="238" w:lineRule="exact"/>
                              <w:ind w:left="445"/>
                              <w:rPr>
                                <w:sz w:val="20"/>
                              </w:rPr>
                            </w:pPr>
                            <w:r>
                              <w:rPr>
                                <w:sz w:val="20"/>
                              </w:rPr>
                              <w:t>完工产品含义</w:t>
                            </w:r>
                          </w:p>
                        </w:tc>
                        <w:tc>
                          <w:tcPr>
                            <w:tcW w:w="4350" w:type="dxa"/>
                          </w:tcPr>
                          <w:p>
                            <w:pPr>
                              <w:pStyle w:val="14"/>
                              <w:spacing w:before="68" w:line="238" w:lineRule="exact"/>
                              <w:ind w:left="107"/>
                              <w:rPr>
                                <w:sz w:val="20"/>
                              </w:rPr>
                            </w:pPr>
                            <w:r>
                              <w:rPr>
                                <w:sz w:val="20"/>
                              </w:rPr>
                              <w:t>①各步骤的完工半成品②最终完工的产成品</w:t>
                            </w:r>
                          </w:p>
                        </w:tc>
                        <w:tc>
                          <w:tcPr>
                            <w:tcW w:w="3636" w:type="dxa"/>
                          </w:tcPr>
                          <w:p>
                            <w:pPr>
                              <w:pStyle w:val="14"/>
                              <w:spacing w:before="68" w:line="238" w:lineRule="exact"/>
                              <w:ind w:left="1177" w:right="808"/>
                              <w:jc w:val="center"/>
                              <w:rPr>
                                <w:sz w:val="20"/>
                              </w:rPr>
                            </w:pPr>
                            <w:r>
                              <w:rPr>
                                <w:sz w:val="20"/>
                              </w:rPr>
                              <w:t>最终完工的产成品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092" w:type="dxa"/>
                          </w:tcPr>
                          <w:p>
                            <w:pPr>
                              <w:pStyle w:val="14"/>
                              <w:rPr>
                                <w:sz w:val="18"/>
                              </w:rPr>
                            </w:pPr>
                          </w:p>
                          <w:p>
                            <w:pPr>
                              <w:pStyle w:val="14"/>
                              <w:ind w:left="546"/>
                              <w:rPr>
                                <w:sz w:val="20"/>
                              </w:rPr>
                            </w:pPr>
                            <w:r>
                              <w:rPr>
                                <w:sz w:val="20"/>
                              </w:rPr>
                              <w:t>在产品含义</w:t>
                            </w:r>
                          </w:p>
                        </w:tc>
                        <w:tc>
                          <w:tcPr>
                            <w:tcW w:w="4350" w:type="dxa"/>
                          </w:tcPr>
                          <w:p>
                            <w:pPr>
                              <w:pStyle w:val="14"/>
                              <w:rPr>
                                <w:sz w:val="18"/>
                              </w:rPr>
                            </w:pPr>
                          </w:p>
                          <w:p>
                            <w:pPr>
                              <w:pStyle w:val="14"/>
                              <w:ind w:left="1075"/>
                              <w:rPr>
                                <w:sz w:val="20"/>
                              </w:rPr>
                            </w:pPr>
                            <w:r>
                              <w:rPr>
                                <w:sz w:val="20"/>
                              </w:rPr>
                              <w:t>本步骤尚未加工完成的半成品</w:t>
                            </w:r>
                          </w:p>
                        </w:tc>
                        <w:tc>
                          <w:tcPr>
                            <w:tcW w:w="3636" w:type="dxa"/>
                          </w:tcPr>
                          <w:p>
                            <w:pPr>
                              <w:pStyle w:val="14"/>
                              <w:spacing w:before="68"/>
                              <w:ind w:left="106"/>
                              <w:rPr>
                                <w:sz w:val="20"/>
                              </w:rPr>
                            </w:pPr>
                            <w:r>
                              <w:rPr>
                                <w:sz w:val="20"/>
                              </w:rPr>
                              <w:t>①本步骤尚未加工完成的半成品</w:t>
                            </w:r>
                          </w:p>
                          <w:p>
                            <w:pPr>
                              <w:pStyle w:val="14"/>
                              <w:spacing w:before="70" w:line="237" w:lineRule="exact"/>
                              <w:ind w:left="106"/>
                              <w:rPr>
                                <w:sz w:val="20"/>
                              </w:rPr>
                            </w:pPr>
                            <w:r>
                              <w:rPr>
                                <w:sz w:val="20"/>
                              </w:rPr>
                              <w:t>②各步骤的完工半成品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092" w:type="dxa"/>
                          </w:tcPr>
                          <w:p>
                            <w:pPr>
                              <w:pStyle w:val="14"/>
                              <w:spacing w:before="1"/>
                              <w:rPr>
                                <w:sz w:val="18"/>
                              </w:rPr>
                            </w:pPr>
                          </w:p>
                          <w:p>
                            <w:pPr>
                              <w:pStyle w:val="14"/>
                              <w:ind w:left="644"/>
                              <w:rPr>
                                <w:sz w:val="20"/>
                              </w:rPr>
                            </w:pPr>
                            <w:r>
                              <w:rPr>
                                <w:sz w:val="20"/>
                              </w:rPr>
                              <w:t>成本还原</w:t>
                            </w:r>
                          </w:p>
                        </w:tc>
                        <w:tc>
                          <w:tcPr>
                            <w:tcW w:w="4350" w:type="dxa"/>
                          </w:tcPr>
                          <w:p>
                            <w:pPr>
                              <w:pStyle w:val="14"/>
                              <w:spacing w:before="7" w:line="326" w:lineRule="exact"/>
                              <w:ind w:left="1173" w:right="1165" w:firstLine="100"/>
                              <w:rPr>
                                <w:sz w:val="20"/>
                              </w:rPr>
                            </w:pPr>
                            <w:r>
                              <w:rPr>
                                <w:sz w:val="20"/>
                              </w:rPr>
                              <w:t>综合结转分步法需要分项结转分步法不需要</w:t>
                            </w:r>
                          </w:p>
                        </w:tc>
                        <w:tc>
                          <w:tcPr>
                            <w:tcW w:w="3636" w:type="dxa"/>
                          </w:tcPr>
                          <w:p>
                            <w:pPr>
                              <w:pStyle w:val="14"/>
                              <w:spacing w:before="1"/>
                              <w:rPr>
                                <w:sz w:val="18"/>
                              </w:rPr>
                            </w:pPr>
                          </w:p>
                          <w:p>
                            <w:pPr>
                              <w:pStyle w:val="14"/>
                              <w:ind w:left="1177" w:right="808"/>
                              <w:jc w:val="center"/>
                              <w:rPr>
                                <w:sz w:val="20"/>
                              </w:rPr>
                            </w:pPr>
                            <w:r>
                              <w:rPr>
                                <w:sz w:val="20"/>
                              </w:rPr>
                              <w:t>不需要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2092" w:type="dxa"/>
                          </w:tcPr>
                          <w:p>
                            <w:pPr>
                              <w:pStyle w:val="14"/>
                              <w:spacing w:before="62" w:line="237" w:lineRule="exact"/>
                              <w:ind w:left="107"/>
                              <w:rPr>
                                <w:sz w:val="20"/>
                              </w:rPr>
                            </w:pPr>
                            <w:r>
                              <w:rPr>
                                <w:sz w:val="20"/>
                              </w:rPr>
                              <w:t>同时计算产成品成本</w:t>
                            </w:r>
                          </w:p>
                        </w:tc>
                        <w:tc>
                          <w:tcPr>
                            <w:tcW w:w="4350" w:type="dxa"/>
                          </w:tcPr>
                          <w:p>
                            <w:pPr>
                              <w:pStyle w:val="14"/>
                              <w:spacing w:before="62" w:line="237" w:lineRule="exact"/>
                              <w:ind w:left="2153" w:right="1747"/>
                              <w:jc w:val="center"/>
                              <w:rPr>
                                <w:sz w:val="20"/>
                              </w:rPr>
                            </w:pPr>
                            <w:r>
                              <w:rPr>
                                <w:sz w:val="20"/>
                              </w:rPr>
                              <w:t>不能</w:t>
                            </w:r>
                          </w:p>
                        </w:tc>
                        <w:tc>
                          <w:tcPr>
                            <w:tcW w:w="3636" w:type="dxa"/>
                          </w:tcPr>
                          <w:p>
                            <w:pPr>
                              <w:pStyle w:val="14"/>
                              <w:spacing w:before="62" w:line="237" w:lineRule="exact"/>
                              <w:ind w:left="448"/>
                              <w:jc w:val="center"/>
                              <w:rPr>
                                <w:sz w:val="20"/>
                              </w:rPr>
                            </w:pPr>
                            <w:r>
                              <w:rPr>
                                <w:w w:val="99"/>
                                <w:sz w:val="20"/>
                              </w:rPr>
                              <w:t>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2092" w:type="dxa"/>
                          </w:tcPr>
                          <w:p>
                            <w:pPr>
                              <w:pStyle w:val="14"/>
                              <w:spacing w:before="1"/>
                              <w:rPr>
                                <w:sz w:val="18"/>
                              </w:rPr>
                            </w:pPr>
                          </w:p>
                          <w:p>
                            <w:pPr>
                              <w:pStyle w:val="14"/>
                              <w:ind w:left="1045"/>
                              <w:rPr>
                                <w:sz w:val="20"/>
                              </w:rPr>
                            </w:pPr>
                            <w:r>
                              <w:rPr>
                                <w:sz w:val="20"/>
                              </w:rPr>
                              <w:t>优点</w:t>
                            </w:r>
                          </w:p>
                        </w:tc>
                        <w:tc>
                          <w:tcPr>
                            <w:tcW w:w="4350" w:type="dxa"/>
                          </w:tcPr>
                          <w:p>
                            <w:pPr>
                              <w:pStyle w:val="14"/>
                              <w:spacing w:before="8" w:line="326" w:lineRule="exact"/>
                              <w:ind w:left="107" w:right="97"/>
                              <w:rPr>
                                <w:sz w:val="20"/>
                              </w:rPr>
                            </w:pPr>
                            <w:r>
                              <w:rPr>
                                <w:spacing w:val="-5"/>
                                <w:w w:val="95"/>
                                <w:sz w:val="20"/>
                              </w:rPr>
                              <w:t xml:space="preserve">能提供各步骤半成品的成本资料，便于进行在产 </w:t>
                            </w:r>
                            <w:r>
                              <w:rPr>
                                <w:spacing w:val="-5"/>
                                <w:sz w:val="20"/>
                              </w:rPr>
                              <w:t>品的实物管理和资金管理</w:t>
                            </w:r>
                          </w:p>
                        </w:tc>
                        <w:tc>
                          <w:tcPr>
                            <w:tcW w:w="3636" w:type="dxa"/>
                          </w:tcPr>
                          <w:p>
                            <w:pPr>
                              <w:pStyle w:val="14"/>
                              <w:spacing w:before="8" w:line="326" w:lineRule="exact"/>
                              <w:ind w:left="106" w:right="59"/>
                              <w:rPr>
                                <w:sz w:val="20"/>
                              </w:rPr>
                            </w:pPr>
                            <w:r>
                              <w:rPr>
                                <w:sz w:val="20"/>
                              </w:rPr>
                              <w:t>简化加速成本计算工作，不需进行成本还原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2092" w:type="dxa"/>
                          </w:tcPr>
                          <w:p>
                            <w:pPr>
                              <w:pStyle w:val="14"/>
                              <w:spacing w:before="6"/>
                              <w:rPr>
                                <w:sz w:val="17"/>
                              </w:rPr>
                            </w:pPr>
                          </w:p>
                          <w:p>
                            <w:pPr>
                              <w:pStyle w:val="14"/>
                              <w:ind w:left="1045"/>
                              <w:rPr>
                                <w:sz w:val="20"/>
                              </w:rPr>
                            </w:pPr>
                            <w:r>
                              <w:rPr>
                                <w:sz w:val="20"/>
                              </w:rPr>
                              <w:t>缺点</w:t>
                            </w:r>
                          </w:p>
                        </w:tc>
                        <w:tc>
                          <w:tcPr>
                            <w:tcW w:w="4350" w:type="dxa"/>
                          </w:tcPr>
                          <w:p>
                            <w:pPr>
                              <w:pStyle w:val="14"/>
                              <w:spacing w:line="326" w:lineRule="exact"/>
                              <w:ind w:left="107" w:right="97"/>
                              <w:rPr>
                                <w:sz w:val="20"/>
                              </w:rPr>
                            </w:pPr>
                            <w:r>
                              <w:rPr>
                                <w:spacing w:val="-6"/>
                                <w:w w:val="95"/>
                                <w:sz w:val="20"/>
                              </w:rPr>
                              <w:t xml:space="preserve">成本结转工作量大，采用逐步综合结转法，还要 </w:t>
                            </w:r>
                            <w:r>
                              <w:rPr>
                                <w:spacing w:val="-6"/>
                                <w:sz w:val="20"/>
                              </w:rPr>
                              <w:t>进行成本还原</w:t>
                            </w:r>
                          </w:p>
                        </w:tc>
                        <w:tc>
                          <w:tcPr>
                            <w:tcW w:w="3636" w:type="dxa"/>
                          </w:tcPr>
                          <w:p>
                            <w:pPr>
                              <w:pStyle w:val="14"/>
                              <w:spacing w:line="326" w:lineRule="exact"/>
                              <w:ind w:left="106" w:right="59"/>
                              <w:rPr>
                                <w:sz w:val="20"/>
                              </w:rPr>
                            </w:pPr>
                            <w:r>
                              <w:rPr>
                                <w:sz w:val="20"/>
                              </w:rPr>
                              <w:t>不能提供各步骤半成品的成本资料，不便于进行在产品的实物管理和资金管理</w:t>
                            </w:r>
                          </w:p>
                        </w:tc>
                      </w:tr>
                    </w:tbl>
                    <w:p>
                      <w:pPr>
                        <w:pStyle w:val="6"/>
                        <w:spacing w:before="0"/>
                        <w:ind w:left="0"/>
                      </w:pPr>
                    </w:p>
                  </w:txbxContent>
                </v:textbox>
              </v:shape>
            </w:pict>
          </mc:Fallback>
        </mc:AlternateContent>
      </w:r>
      <w:r>
        <w:rPr>
          <w:w w:val="95"/>
        </w:rPr>
        <w:t>缺点：</w:t>
      </w:r>
      <w:r>
        <w:rPr>
          <w:color w:val="FF0000"/>
          <w:w w:val="95"/>
          <w:u w:val="double" w:color="FF0000"/>
        </w:rPr>
        <w:t>不能提供各个步骤的半成品成本资料；</w:t>
      </w:r>
      <w:r>
        <w:rPr>
          <w:w w:val="95"/>
        </w:rPr>
        <w:t xml:space="preserve">在产品的费用在产品最后完成以前，不随实物转出而转出，因   </w:t>
      </w:r>
      <w:r>
        <w:t>而</w:t>
      </w:r>
      <w:r>
        <w:rPr>
          <w:color w:val="FF0000"/>
          <w:u w:val="double" w:color="FF0000"/>
        </w:rPr>
        <w:t>不能为各个生产步骤在产品的实物和资金管理提供资料。</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rPr>
          <w:sz w:val="19"/>
        </w:rPr>
      </w:pPr>
    </w:p>
    <w:p>
      <w:pPr>
        <w:pStyle w:val="6"/>
        <w:spacing w:before="0"/>
        <w:ind w:left="4992"/>
      </w:pPr>
      <w:r>
        <w:rPr>
          <w:color w:val="FF0000"/>
          <w:u w:val="double" w:color="FF0000"/>
        </w:rPr>
        <w:t>本章总结</w:t>
      </w:r>
    </w:p>
    <w:p>
      <w:pPr>
        <w:pStyle w:val="13"/>
        <w:numPr>
          <w:ilvl w:val="0"/>
          <w:numId w:val="129"/>
        </w:numPr>
        <w:tabs>
          <w:tab w:val="left" w:pos="925"/>
        </w:tabs>
        <w:spacing w:before="70" w:after="0" w:line="240" w:lineRule="auto"/>
        <w:ind w:left="924" w:right="0" w:hanging="202"/>
        <w:jc w:val="left"/>
        <w:rPr>
          <w:sz w:val="20"/>
        </w:rPr>
      </w:pPr>
      <w:r>
        <w:rPr>
          <w:sz w:val="20"/>
        </w:rPr>
        <w:t>掌握管理会计的概念和目标</w:t>
      </w:r>
    </w:p>
    <w:p>
      <w:pPr>
        <w:pStyle w:val="13"/>
        <w:numPr>
          <w:ilvl w:val="0"/>
          <w:numId w:val="129"/>
        </w:numPr>
        <w:tabs>
          <w:tab w:val="left" w:pos="925"/>
        </w:tabs>
        <w:spacing w:before="68" w:after="0" w:line="240" w:lineRule="auto"/>
        <w:ind w:left="924" w:right="0" w:hanging="202"/>
        <w:jc w:val="left"/>
        <w:rPr>
          <w:sz w:val="20"/>
        </w:rPr>
      </w:pPr>
      <w:r>
        <w:rPr>
          <w:sz w:val="20"/>
        </w:rPr>
        <w:t>掌握管理会计要素和管理会计体系的构成</w:t>
      </w:r>
    </w:p>
    <w:p>
      <w:pPr>
        <w:pStyle w:val="13"/>
        <w:numPr>
          <w:ilvl w:val="0"/>
          <w:numId w:val="129"/>
        </w:numPr>
        <w:tabs>
          <w:tab w:val="left" w:pos="925"/>
        </w:tabs>
        <w:spacing w:before="70" w:after="0" w:line="240" w:lineRule="auto"/>
        <w:ind w:left="924" w:right="0" w:hanging="202"/>
        <w:jc w:val="left"/>
        <w:rPr>
          <w:sz w:val="20"/>
        </w:rPr>
      </w:pPr>
      <w:r>
        <w:rPr>
          <w:sz w:val="20"/>
        </w:rPr>
        <w:t>掌握管理会计的应用原则和应用主体</w:t>
      </w:r>
    </w:p>
    <w:p>
      <w:pPr>
        <w:pStyle w:val="13"/>
        <w:numPr>
          <w:ilvl w:val="0"/>
          <w:numId w:val="129"/>
        </w:numPr>
        <w:tabs>
          <w:tab w:val="left" w:pos="925"/>
        </w:tabs>
        <w:spacing w:before="70" w:after="0" w:line="240" w:lineRule="auto"/>
        <w:ind w:left="924" w:right="0" w:hanging="202"/>
        <w:jc w:val="left"/>
        <w:rPr>
          <w:sz w:val="20"/>
        </w:rPr>
      </w:pPr>
      <w:r>
        <w:rPr>
          <w:sz w:val="20"/>
        </w:rPr>
        <w:t>掌握产品成本核算的一般程序</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13"/>
        <w:numPr>
          <w:ilvl w:val="0"/>
          <w:numId w:val="129"/>
        </w:numPr>
        <w:tabs>
          <w:tab w:val="left" w:pos="925"/>
        </w:tabs>
        <w:spacing w:before="71" w:after="0" w:line="240" w:lineRule="auto"/>
        <w:ind w:left="924" w:right="0" w:hanging="202"/>
        <w:jc w:val="left"/>
        <w:rPr>
          <w:sz w:val="20"/>
        </w:rPr>
      </w:pPr>
      <w:r>
        <w:rPr>
          <w:sz w:val="20"/>
        </w:rPr>
        <w:t>掌握产品成本核算对象的确定、成本项目的设置</w:t>
      </w:r>
    </w:p>
    <w:p>
      <w:pPr>
        <w:pStyle w:val="13"/>
        <w:numPr>
          <w:ilvl w:val="0"/>
          <w:numId w:val="129"/>
        </w:numPr>
        <w:tabs>
          <w:tab w:val="left" w:pos="925"/>
        </w:tabs>
        <w:spacing w:before="70" w:after="0" w:line="240" w:lineRule="auto"/>
        <w:ind w:left="924" w:right="0" w:hanging="202"/>
        <w:jc w:val="left"/>
        <w:rPr>
          <w:sz w:val="20"/>
        </w:rPr>
      </w:pPr>
      <w:r>
        <w:rPr>
          <w:sz w:val="20"/>
        </w:rPr>
        <w:t>掌握各种要素费用的归集和分配</w:t>
      </w:r>
    </w:p>
    <w:p>
      <w:pPr>
        <w:pStyle w:val="13"/>
        <w:numPr>
          <w:ilvl w:val="0"/>
          <w:numId w:val="129"/>
        </w:numPr>
        <w:tabs>
          <w:tab w:val="left" w:pos="925"/>
        </w:tabs>
        <w:spacing w:before="70" w:after="0" w:line="240" w:lineRule="auto"/>
        <w:ind w:left="924" w:right="0" w:hanging="202"/>
        <w:jc w:val="left"/>
        <w:rPr>
          <w:sz w:val="20"/>
        </w:rPr>
      </w:pPr>
      <w:r>
        <w:rPr>
          <w:sz w:val="20"/>
        </w:rPr>
        <w:t>掌握生产费用在完工产品和在产品之间的归集和分配</w:t>
      </w:r>
    </w:p>
    <w:p>
      <w:pPr>
        <w:pStyle w:val="13"/>
        <w:numPr>
          <w:ilvl w:val="0"/>
          <w:numId w:val="129"/>
        </w:numPr>
        <w:tabs>
          <w:tab w:val="left" w:pos="925"/>
        </w:tabs>
        <w:spacing w:before="70" w:after="0" w:line="240" w:lineRule="auto"/>
        <w:ind w:left="924" w:right="0" w:hanging="202"/>
        <w:jc w:val="left"/>
        <w:rPr>
          <w:sz w:val="20"/>
        </w:rPr>
      </w:pPr>
      <w:r>
        <w:rPr>
          <w:sz w:val="20"/>
        </w:rPr>
        <w:t>熟悉管理会计工具方法</w:t>
      </w:r>
    </w:p>
    <w:p>
      <w:pPr>
        <w:pStyle w:val="13"/>
        <w:numPr>
          <w:ilvl w:val="0"/>
          <w:numId w:val="129"/>
        </w:numPr>
        <w:tabs>
          <w:tab w:val="left" w:pos="925"/>
        </w:tabs>
        <w:spacing w:before="71" w:after="0" w:line="240" w:lineRule="auto"/>
        <w:ind w:left="924" w:right="0" w:hanging="202"/>
        <w:jc w:val="left"/>
        <w:rPr>
          <w:sz w:val="20"/>
        </w:rPr>
      </w:pPr>
      <w:r>
        <w:rPr>
          <w:sz w:val="20"/>
        </w:rPr>
        <w:t>熟悉产品成本核算的要求及账户设置</w:t>
      </w:r>
    </w:p>
    <w:p>
      <w:pPr>
        <w:pStyle w:val="13"/>
        <w:numPr>
          <w:ilvl w:val="0"/>
          <w:numId w:val="129"/>
        </w:numPr>
        <w:tabs>
          <w:tab w:val="left" w:pos="1026"/>
        </w:tabs>
        <w:spacing w:before="67" w:after="0" w:line="240" w:lineRule="auto"/>
        <w:ind w:left="1025" w:right="0" w:hanging="303"/>
        <w:jc w:val="left"/>
        <w:rPr>
          <w:sz w:val="20"/>
        </w:rPr>
      </w:pPr>
      <w:r>
        <w:rPr>
          <w:sz w:val="20"/>
        </w:rPr>
        <w:t>熟悉产品成本计算的品种法、分批法、分步法</w:t>
      </w:r>
    </w:p>
    <w:p>
      <w:pPr>
        <w:pStyle w:val="2"/>
        <w:tabs>
          <w:tab w:val="left" w:pos="1120"/>
        </w:tabs>
        <w:spacing w:before="119"/>
      </w:pPr>
      <w:bookmarkStart w:id="164" w:name="第八章　政府会计基础"/>
      <w:bookmarkEnd w:id="164"/>
      <w:bookmarkStart w:id="165" w:name="_bookmark38"/>
      <w:bookmarkEnd w:id="165"/>
      <w:r>
        <w:rPr>
          <w:color w:val="FF0000"/>
        </w:rPr>
        <w:t>第</w:t>
      </w:r>
      <w:r>
        <w:rPr>
          <w:color w:val="FF0000"/>
          <w:spacing w:val="-3"/>
        </w:rPr>
        <w:t>八</w:t>
      </w:r>
      <w:r>
        <w:rPr>
          <w:color w:val="FF0000"/>
        </w:rPr>
        <w:t>章</w:t>
      </w:r>
      <w:r>
        <w:rPr>
          <w:color w:val="FF0000"/>
        </w:rPr>
        <w:tab/>
      </w:r>
      <w:r>
        <w:rPr>
          <w:color w:val="FF0000"/>
        </w:rPr>
        <w:t>政</w:t>
      </w:r>
      <w:r>
        <w:rPr>
          <w:color w:val="FF0000"/>
          <w:spacing w:val="-3"/>
        </w:rPr>
        <w:t>府</w:t>
      </w:r>
      <w:r>
        <w:rPr>
          <w:color w:val="FF0000"/>
        </w:rPr>
        <w:t>会计</w:t>
      </w:r>
      <w:r>
        <w:rPr>
          <w:color w:val="FF0000"/>
          <w:spacing w:val="-3"/>
        </w:rPr>
        <w:t>基</w:t>
      </w:r>
      <w:r>
        <w:rPr>
          <w:color w:val="FF0000"/>
        </w:rPr>
        <w:t>础</w:t>
      </w:r>
    </w:p>
    <w:p>
      <w:pPr>
        <w:pStyle w:val="5"/>
        <w:spacing w:before="184"/>
        <w:ind w:left="4392"/>
      </w:pPr>
      <w:bookmarkStart w:id="166" w:name="【本章考情分析】"/>
      <w:bookmarkEnd w:id="166"/>
      <w:r>
        <w:rPr>
          <w:color w:val="00AFEF"/>
          <w:u w:val="single" w:color="00AFEF"/>
        </w:rPr>
        <w:t>【本章考情分析】</w:t>
      </w:r>
    </w:p>
    <w:p>
      <w:pPr>
        <w:pStyle w:val="6"/>
        <w:spacing w:line="304" w:lineRule="auto"/>
        <w:ind w:left="322" w:right="749" w:firstLine="400"/>
      </w:pPr>
      <w:r>
        <w:t xml:space="preserve">本章是《初级会计实务》中不太重要的一章，考试题型以客观题的小题为主，2020 年教材根据最新政府会计准则进行全面调整，但预计 2020 年考试分数仍在 </w:t>
      </w:r>
      <w:r>
        <w:rPr>
          <w:color w:val="FF0000"/>
          <w:u w:val="double" w:color="FF0000"/>
        </w:rPr>
        <w:t>5 分</w:t>
      </w:r>
      <w:r>
        <w:t>左右。</w:t>
      </w:r>
    </w:p>
    <w:p>
      <w:pPr>
        <w:pStyle w:val="6"/>
        <w:spacing w:before="12"/>
        <w:ind w:left="0"/>
        <w:rPr>
          <w:sz w:val="25"/>
        </w:rPr>
      </w:pPr>
    </w:p>
    <w:p>
      <w:pPr>
        <w:pStyle w:val="3"/>
        <w:tabs>
          <w:tab w:val="left" w:pos="855"/>
        </w:tabs>
        <w:spacing w:before="44"/>
        <w:ind w:left="15"/>
        <w:jc w:val="center"/>
        <w:rPr>
          <w:rFonts w:hint="eastAsia" w:ascii="微软雅黑" w:eastAsia="微软雅黑"/>
        </w:rPr>
      </w:pPr>
      <w:bookmarkStart w:id="167" w:name="第一节　政府会计概述"/>
      <w:bookmarkEnd w:id="167"/>
      <w:bookmarkStart w:id="168" w:name="_bookmark39"/>
      <w:bookmarkEnd w:id="168"/>
      <w:r>
        <w:rPr>
          <w:rFonts w:hint="eastAsia" w:ascii="微软雅黑" w:eastAsia="微软雅黑"/>
          <w:shd w:val="clear" w:color="auto" w:fill="FFFF00"/>
        </w:rPr>
        <w:t>第一节</w:t>
      </w:r>
      <w:r>
        <w:rPr>
          <w:rFonts w:hint="eastAsia" w:ascii="微软雅黑" w:eastAsia="微软雅黑"/>
          <w:shd w:val="clear" w:color="auto" w:fill="FFFF00"/>
        </w:rPr>
        <w:tab/>
      </w:r>
      <w:r>
        <w:rPr>
          <w:rFonts w:hint="eastAsia" w:ascii="微软雅黑" w:eastAsia="微软雅黑"/>
          <w:shd w:val="clear" w:color="auto" w:fill="FFFF00"/>
        </w:rPr>
        <w:t>政府会计概述</w:t>
      </w:r>
    </w:p>
    <w:p>
      <w:pPr>
        <w:spacing w:before="138"/>
        <w:ind w:left="742" w:right="0" w:firstLine="0"/>
        <w:jc w:val="left"/>
        <w:rPr>
          <w:b/>
          <w:sz w:val="21"/>
        </w:rPr>
      </w:pPr>
      <w:bookmarkStart w:id="169" w:name="一、政府会计标准体系"/>
      <w:bookmarkEnd w:id="169"/>
      <w:r>
        <w:rPr>
          <w:b/>
          <w:sz w:val="21"/>
          <w:shd w:val="clear" w:color="auto" w:fill="C0C0C0"/>
        </w:rPr>
        <w:t>一、政府会计标准体系</w:t>
      </w:r>
    </w:p>
    <w:p>
      <w:pPr>
        <w:pStyle w:val="5"/>
        <w:numPr>
          <w:ilvl w:val="0"/>
          <w:numId w:val="130"/>
        </w:numPr>
        <w:tabs>
          <w:tab w:val="left" w:pos="925"/>
        </w:tabs>
        <w:spacing w:before="92" w:after="0" w:line="240" w:lineRule="auto"/>
        <w:ind w:left="924" w:right="0" w:hanging="202"/>
        <w:jc w:val="left"/>
      </w:pPr>
      <w:r>
        <w:t>政府会计基本准则</w:t>
      </w:r>
    </w:p>
    <w:p>
      <w:pPr>
        <w:pStyle w:val="6"/>
        <w:spacing w:line="304" w:lineRule="auto"/>
        <w:ind w:left="322" w:right="722" w:firstLine="400"/>
      </w:pPr>
      <w:r>
        <w:rPr>
          <w:w w:val="95"/>
        </w:rPr>
        <w:t>政府会计基本准则</w:t>
      </w:r>
      <w:r>
        <w:rPr>
          <w:color w:val="FF0000"/>
          <w:spacing w:val="-5"/>
          <w:w w:val="95"/>
          <w:u w:val="double" w:color="FF0000"/>
        </w:rPr>
        <w:t>用于规范政府会计目标、政府会计主体、政府会计信息质量要求、政府会计核算基础，以</w:t>
      </w:r>
      <w:r>
        <w:rPr>
          <w:color w:val="FF0000"/>
          <w:spacing w:val="-198"/>
          <w:w w:val="95"/>
          <w:u w:val="double" w:color="FF0000"/>
        </w:rPr>
        <w:t>及</w:t>
      </w:r>
      <w:r>
        <w:rPr>
          <w:color w:val="FF0000"/>
          <w:spacing w:val="190"/>
          <w:w w:val="95"/>
          <w:u w:val="double" w:color="FF0000"/>
        </w:rPr>
        <w:t xml:space="preserve"> </w:t>
      </w:r>
      <w:r>
        <w:rPr>
          <w:color w:val="FF0000"/>
          <w:u w:val="double" w:color="FF0000"/>
        </w:rPr>
        <w:t>政府会计要素定义、确认和计量原则、列报要求等原则事项。</w:t>
      </w:r>
    </w:p>
    <w:p>
      <w:pPr>
        <w:pStyle w:val="5"/>
        <w:numPr>
          <w:ilvl w:val="0"/>
          <w:numId w:val="130"/>
        </w:numPr>
        <w:tabs>
          <w:tab w:val="left" w:pos="925"/>
        </w:tabs>
        <w:spacing w:before="2" w:after="0" w:line="240" w:lineRule="auto"/>
        <w:ind w:left="924" w:right="0" w:hanging="202"/>
        <w:jc w:val="left"/>
      </w:pPr>
      <w:r>
        <w:t>政府会计具体准则及应用指南</w:t>
      </w:r>
    </w:p>
    <w:p>
      <w:pPr>
        <w:pStyle w:val="6"/>
        <w:spacing w:line="302" w:lineRule="auto"/>
        <w:ind w:left="322" w:right="722" w:firstLine="400"/>
      </w:pPr>
      <w:r>
        <w:rPr>
          <w:spacing w:val="-4"/>
          <w:w w:val="95"/>
        </w:rPr>
        <w:t xml:space="preserve">具体准则依据基本准则制定，用于规范政府发生的经济业务或事项的会计处理原则，详细规定经济业务或事   </w:t>
      </w:r>
      <w:r>
        <w:rPr>
          <w:spacing w:val="-4"/>
        </w:rPr>
        <w:t>项引起的会计要素变动的确认、计量和报告。</w:t>
      </w:r>
    </w:p>
    <w:p>
      <w:pPr>
        <w:pStyle w:val="6"/>
        <w:spacing w:before="5" w:line="304" w:lineRule="auto"/>
        <w:ind w:right="5261"/>
      </w:pPr>
      <w:r>
        <w:t>应用指南是对具体准则的实际应用作出的操作性规定。3.政府会计制度</w:t>
      </w:r>
    </w:p>
    <w:p>
      <w:pPr>
        <w:pStyle w:val="6"/>
        <w:spacing w:before="2"/>
      </w:pPr>
      <w:r>
        <w:t>政府会计制度依据基本准则制定，主要规定政府会计科目及账务处理、报表体系及编制说明。</w:t>
      </w:r>
    </w:p>
    <w:p>
      <w:pPr>
        <w:pStyle w:val="6"/>
        <w:spacing w:line="304" w:lineRule="auto"/>
        <w:ind w:left="322" w:right="722" w:firstLine="400"/>
      </w:pPr>
      <w:r>
        <w:rPr>
          <w:spacing w:val="-2"/>
          <w:w w:val="95"/>
        </w:rPr>
        <w:t>①政府会计主体应当根据政府会计准则</w:t>
      </w:r>
      <w:r>
        <w:rPr>
          <w:w w:val="95"/>
        </w:rPr>
        <w:t>（包括基本准则和具体准则</w:t>
      </w:r>
      <w:r>
        <w:rPr>
          <w:spacing w:val="-29"/>
          <w:w w:val="95"/>
        </w:rPr>
        <w:t>）</w:t>
      </w:r>
      <w:r>
        <w:rPr>
          <w:w w:val="95"/>
        </w:rPr>
        <w:t xml:space="preserve">规定的原则和政府会计制度及解释的要   </w:t>
      </w:r>
      <w:r>
        <w:t>求，对其发生的各项经济业务或事项进行会计核算。</w:t>
      </w:r>
    </w:p>
    <w:p>
      <w:pPr>
        <w:pStyle w:val="6"/>
        <w:spacing w:before="0" w:line="256" w:lineRule="exact"/>
      </w:pPr>
      <w:r>
        <w:t>②政府会计主体主要包括各级政府、各部门、各单位。</w:t>
      </w:r>
    </w:p>
    <w:p>
      <w:pPr>
        <w:pStyle w:val="6"/>
      </w:pPr>
      <w:r>
        <w:t>各级政府指各级政府财政部门，具体负责财政总会计的核算；</w:t>
      </w:r>
    </w:p>
    <w:p>
      <w:pPr>
        <w:pStyle w:val="6"/>
        <w:spacing w:line="304" w:lineRule="auto"/>
        <w:ind w:left="322" w:right="722" w:firstLine="400"/>
      </w:pPr>
      <w:r>
        <w:rPr>
          <w:spacing w:val="-7"/>
          <w:w w:val="95"/>
        </w:rPr>
        <w:t xml:space="preserve">各部门、各单位是指与本级政府财政部门直接或间接发生预算拨款关系的国家机关、军队、政党组织、社会   </w:t>
      </w:r>
      <w:r>
        <w:rPr>
          <w:spacing w:val="-7"/>
        </w:rPr>
        <w:t>团体、事业单位和其他单位。</w:t>
      </w:r>
    </w:p>
    <w:p>
      <w:pPr>
        <w:pStyle w:val="6"/>
        <w:spacing w:before="2" w:line="304" w:lineRule="auto"/>
        <w:ind w:left="322" w:right="722" w:firstLine="400"/>
      </w:pPr>
      <w:r>
        <w:rPr>
          <w:spacing w:val="-7"/>
          <w:w w:val="95"/>
        </w:rPr>
        <w:t xml:space="preserve">③军队、已纳入企业财务管理体系的单位和执行《民间非营利组织会计制度》的社会团体，其会计核算不适   </w:t>
      </w:r>
      <w:r>
        <w:rPr>
          <w:spacing w:val="-7"/>
        </w:rPr>
        <w:t>用政府会计准则制度。</w:t>
      </w:r>
    </w:p>
    <w:p>
      <w:pPr>
        <w:spacing w:before="0" w:line="223" w:lineRule="exact"/>
        <w:ind w:left="742" w:right="0" w:firstLine="0"/>
        <w:jc w:val="left"/>
        <w:rPr>
          <w:b/>
          <w:sz w:val="21"/>
        </w:rPr>
      </w:pPr>
      <w:bookmarkStart w:id="170" w:name="二、政府会计要素及其确认与计量"/>
      <w:bookmarkEnd w:id="170"/>
      <w:r>
        <w:rPr>
          <w:b/>
          <w:sz w:val="21"/>
          <w:shd w:val="clear" w:color="auto" w:fill="C0C0C0"/>
        </w:rPr>
        <w:t>二、政府会计要素及其确认与计量</w:t>
      </w:r>
    </w:p>
    <w:p>
      <w:pPr>
        <w:pStyle w:val="5"/>
        <w:spacing w:before="89"/>
      </w:pPr>
      <w:r>
        <w:t>（一）政府预算会计要素</w:t>
      </w:r>
    </w:p>
    <w:p>
      <w:pPr>
        <w:pStyle w:val="6"/>
        <w:spacing w:after="3"/>
      </w:pPr>
      <w:r>
        <w:t>政府预算会计要素包括</w:t>
      </w:r>
      <w:r>
        <w:rPr>
          <w:color w:val="FF0000"/>
          <w:u w:val="double" w:color="FF0000"/>
        </w:rPr>
        <w:t>预算收入、预算支出与预算结余。</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7"/>
        <w:gridCol w:w="8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347" w:type="dxa"/>
          </w:tcPr>
          <w:p>
            <w:pPr>
              <w:pStyle w:val="14"/>
              <w:spacing w:before="3"/>
              <w:rPr>
                <w:sz w:val="14"/>
              </w:rPr>
            </w:pPr>
          </w:p>
          <w:p>
            <w:pPr>
              <w:pStyle w:val="14"/>
              <w:ind w:right="263"/>
              <w:jc w:val="right"/>
              <w:rPr>
                <w:sz w:val="20"/>
              </w:rPr>
            </w:pPr>
            <w:r>
              <w:rPr>
                <w:w w:val="95"/>
                <w:sz w:val="20"/>
              </w:rPr>
              <w:t>预算收入</w:t>
            </w:r>
          </w:p>
        </w:tc>
        <w:tc>
          <w:tcPr>
            <w:tcW w:w="8705" w:type="dxa"/>
          </w:tcPr>
          <w:p>
            <w:pPr>
              <w:pStyle w:val="14"/>
              <w:spacing w:before="27"/>
              <w:ind w:left="507"/>
              <w:rPr>
                <w:sz w:val="20"/>
              </w:rPr>
            </w:pPr>
            <w:r>
              <w:rPr>
                <w:sz w:val="20"/>
              </w:rPr>
              <w:t>政府会计主体在预算年度内依法取得的并纳入预算管理的现金流入。预算收入一般在实际收</w:t>
            </w:r>
          </w:p>
          <w:p>
            <w:pPr>
              <w:pStyle w:val="14"/>
              <w:spacing w:before="55"/>
              <w:ind w:left="106"/>
              <w:rPr>
                <w:sz w:val="20"/>
              </w:rPr>
            </w:pPr>
            <w:r>
              <w:rPr>
                <w:sz w:val="20"/>
              </w:rPr>
              <w:t>到时予以确认，以实际收到的金额计量。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47" w:type="dxa"/>
          </w:tcPr>
          <w:p>
            <w:pPr>
              <w:pStyle w:val="14"/>
              <w:spacing w:before="26"/>
              <w:ind w:right="263"/>
              <w:jc w:val="right"/>
              <w:rPr>
                <w:sz w:val="20"/>
              </w:rPr>
            </w:pPr>
            <w:r>
              <w:rPr>
                <w:w w:val="95"/>
                <w:sz w:val="20"/>
              </w:rPr>
              <w:t>预算支出</w:t>
            </w:r>
          </w:p>
        </w:tc>
        <w:tc>
          <w:tcPr>
            <w:tcW w:w="8705" w:type="dxa"/>
          </w:tcPr>
          <w:p>
            <w:pPr>
              <w:pStyle w:val="14"/>
              <w:spacing w:before="26"/>
              <w:ind w:left="507"/>
              <w:rPr>
                <w:sz w:val="20"/>
              </w:rPr>
            </w:pPr>
            <w:r>
              <w:rPr>
                <w:sz w:val="20"/>
              </w:rPr>
              <w:t>政府会计主体在预算年度内依法发生并纳入预算管理的现金流出。预算支出一般在实际支付</w:t>
            </w:r>
          </w:p>
        </w:tc>
      </w:tr>
    </w:tbl>
    <w:p>
      <w:pPr>
        <w:spacing w:after="0"/>
        <w:rPr>
          <w:sz w:val="20"/>
        </w:rPr>
        <w:sectPr>
          <w:pgSz w:w="11910" w:h="16160"/>
          <w:pgMar w:top="1680" w:right="360" w:bottom="860" w:left="760" w:header="0" w:footer="548" w:gutter="0"/>
        </w:sectPr>
      </w:pPr>
    </w:p>
    <w:p>
      <w:pPr>
        <w:pStyle w:val="6"/>
        <w:spacing w:before="1"/>
        <w:ind w:left="0"/>
        <w:rPr>
          <w:sz w:val="14"/>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7"/>
        <w:gridCol w:w="8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347" w:type="dxa"/>
          </w:tcPr>
          <w:p>
            <w:pPr>
              <w:pStyle w:val="14"/>
              <w:rPr>
                <w:rFonts w:ascii="Times New Roman"/>
                <w:sz w:val="18"/>
              </w:rPr>
            </w:pPr>
          </w:p>
        </w:tc>
        <w:tc>
          <w:tcPr>
            <w:tcW w:w="8735" w:type="dxa"/>
          </w:tcPr>
          <w:p>
            <w:pPr>
              <w:pStyle w:val="14"/>
              <w:spacing w:before="27"/>
              <w:ind w:left="106"/>
              <w:rPr>
                <w:sz w:val="20"/>
              </w:rPr>
            </w:pPr>
            <w:r>
              <w:rPr>
                <w:sz w:val="20"/>
              </w:rPr>
              <w:t>时予以确认，以实际支付的金额计量。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347" w:type="dxa"/>
          </w:tcPr>
          <w:p>
            <w:pPr>
              <w:pStyle w:val="14"/>
              <w:rPr>
                <w:sz w:val="20"/>
              </w:rPr>
            </w:pPr>
          </w:p>
          <w:p>
            <w:pPr>
              <w:pStyle w:val="14"/>
              <w:rPr>
                <w:sz w:val="20"/>
              </w:rPr>
            </w:pPr>
          </w:p>
          <w:p>
            <w:pPr>
              <w:pStyle w:val="14"/>
              <w:spacing w:before="138"/>
              <w:ind w:left="272"/>
              <w:rPr>
                <w:sz w:val="20"/>
              </w:rPr>
            </w:pPr>
            <w:r>
              <w:rPr>
                <w:sz w:val="20"/>
              </w:rPr>
              <w:t>预算结余</w:t>
            </w:r>
          </w:p>
        </w:tc>
        <w:tc>
          <w:tcPr>
            <w:tcW w:w="8735" w:type="dxa"/>
          </w:tcPr>
          <w:p>
            <w:pPr>
              <w:pStyle w:val="14"/>
              <w:spacing w:before="27" w:line="292" w:lineRule="auto"/>
              <w:ind w:left="106" w:right="96"/>
              <w:rPr>
                <w:sz w:val="20"/>
              </w:rPr>
            </w:pPr>
            <w:r>
              <w:rPr>
                <w:spacing w:val="-3"/>
                <w:w w:val="95"/>
                <w:sz w:val="20"/>
              </w:rPr>
              <w:t xml:space="preserve">政府会计主体预算年度内预算收入扣除预算支出后的资金余额，以及历年滚存的资金余额。预算结   </w:t>
            </w:r>
            <w:r>
              <w:rPr>
                <w:spacing w:val="-3"/>
                <w:sz w:val="20"/>
              </w:rPr>
              <w:t>余包括结余资金和结转资金。</w:t>
            </w:r>
          </w:p>
          <w:p>
            <w:pPr>
              <w:pStyle w:val="14"/>
              <w:spacing w:line="255" w:lineRule="exact"/>
              <w:ind w:left="106"/>
              <w:rPr>
                <w:sz w:val="20"/>
              </w:rPr>
            </w:pPr>
            <w:r>
              <w:rPr>
                <w:sz w:val="20"/>
              </w:rPr>
              <w:t>①结余资金是指年度预算执行终了，预算收入实际完成数扣除预算支出和结转资金后剩余的资金。</w:t>
            </w:r>
          </w:p>
          <w:p>
            <w:pPr>
              <w:pStyle w:val="14"/>
              <w:spacing w:before="2" w:line="310" w:lineRule="atLeast"/>
              <w:ind w:left="106" w:right="99"/>
              <w:rPr>
                <w:sz w:val="20"/>
              </w:rPr>
            </w:pPr>
            <w:r>
              <w:rPr>
                <w:spacing w:val="-3"/>
                <w:w w:val="95"/>
                <w:sz w:val="20"/>
              </w:rPr>
              <w:t xml:space="preserve">②结转资金是指预算安排项目的支出年终尚未执行完毕或者因故未执行，且下年需要按原用途继续   </w:t>
            </w:r>
            <w:r>
              <w:rPr>
                <w:spacing w:val="-3"/>
                <w:sz w:val="20"/>
              </w:rPr>
              <w:t>使用的资金。</w:t>
            </w:r>
          </w:p>
        </w:tc>
      </w:tr>
    </w:tbl>
    <w:p>
      <w:pPr>
        <w:pStyle w:val="5"/>
      </w:pPr>
      <w:r>
        <w:t>（二）政府财务会计要素</w:t>
      </w:r>
    </w:p>
    <w:p>
      <w:pPr>
        <w:pStyle w:val="13"/>
        <w:numPr>
          <w:ilvl w:val="0"/>
          <w:numId w:val="131"/>
        </w:numPr>
        <w:tabs>
          <w:tab w:val="left" w:pos="925"/>
        </w:tabs>
        <w:spacing w:before="70" w:after="0" w:line="302" w:lineRule="auto"/>
        <w:ind w:left="322" w:right="761" w:firstLine="400"/>
        <w:jc w:val="left"/>
        <w:rPr>
          <w:sz w:val="20"/>
        </w:rPr>
      </w:pPr>
      <w:r>
        <w:rPr>
          <w:color w:val="FF0000"/>
          <w:w w:val="95"/>
          <w:sz w:val="20"/>
          <w:u w:val="double" w:color="FF0000"/>
        </w:rPr>
        <w:t>资产:</w:t>
      </w:r>
      <w:r>
        <w:rPr>
          <w:w w:val="95"/>
          <w:sz w:val="20"/>
        </w:rPr>
        <w:t xml:space="preserve">政府会计主体过去的经济业务或者事项形成的，由政府会计主体控制的，预期能够产生服务潜力或   </w:t>
      </w:r>
      <w:r>
        <w:rPr>
          <w:sz w:val="20"/>
        </w:rPr>
        <w:t>者带来经济利益流入的经济资源。</w:t>
      </w:r>
    </w:p>
    <w:p>
      <w:pPr>
        <w:pStyle w:val="13"/>
        <w:numPr>
          <w:ilvl w:val="0"/>
          <w:numId w:val="132"/>
        </w:numPr>
        <w:tabs>
          <w:tab w:val="left" w:pos="1224"/>
        </w:tabs>
        <w:spacing w:before="4" w:after="0" w:line="240" w:lineRule="auto"/>
        <w:ind w:left="1223" w:right="0" w:hanging="501"/>
        <w:jc w:val="left"/>
        <w:rPr>
          <w:sz w:val="18"/>
        </w:rPr>
      </w:pPr>
      <w:r>
        <w:rPr>
          <w:spacing w:val="-1"/>
          <w:sz w:val="20"/>
        </w:rPr>
        <w:t>资产类别:政府会计主体的资产按照流动性，分为</w:t>
      </w:r>
      <w:r>
        <w:rPr>
          <w:color w:val="FF0000"/>
          <w:spacing w:val="-2"/>
          <w:sz w:val="20"/>
          <w:u w:val="double" w:color="FF0000"/>
        </w:rPr>
        <w:t>流动资产和非流动资产；</w:t>
      </w:r>
      <w:r>
        <w:rPr>
          <w:spacing w:val="-6"/>
          <w:sz w:val="20"/>
        </w:rPr>
        <w:t xml:space="preserve">流动资产是指预计在 </w:t>
      </w:r>
      <w:r>
        <w:rPr>
          <w:sz w:val="20"/>
        </w:rPr>
        <w:t>1</w:t>
      </w:r>
      <w:r>
        <w:rPr>
          <w:spacing w:val="-18"/>
          <w:sz w:val="20"/>
        </w:rPr>
        <w:t xml:space="preserve"> 年内</w:t>
      </w:r>
    </w:p>
    <w:p>
      <w:pPr>
        <w:pStyle w:val="6"/>
        <w:spacing w:before="71"/>
        <w:ind w:left="322"/>
      </w:pPr>
      <w:r>
        <w:t>（含 1 年）耗用或者可以变现的资产；</w:t>
      </w:r>
    </w:p>
    <w:p>
      <w:pPr>
        <w:pStyle w:val="6"/>
      </w:pPr>
      <w:r>
        <w:t>非流动资产是指流动资产以外的资产。</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42"/>
        <w:gridCol w:w="83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26" w:hRule="atLeast"/>
        </w:trPr>
        <w:tc>
          <w:tcPr>
            <w:tcW w:w="1742" w:type="dxa"/>
          </w:tcPr>
          <w:p>
            <w:pPr>
              <w:pStyle w:val="14"/>
              <w:spacing w:before="69" w:line="237" w:lineRule="exact"/>
              <w:ind w:left="348" w:right="342"/>
              <w:jc w:val="center"/>
              <w:rPr>
                <w:sz w:val="20"/>
              </w:rPr>
            </w:pPr>
            <w:r>
              <w:rPr>
                <w:sz w:val="20"/>
              </w:rPr>
              <w:t>流动资产</w:t>
            </w:r>
          </w:p>
        </w:tc>
        <w:tc>
          <w:tcPr>
            <w:tcW w:w="8325" w:type="dxa"/>
          </w:tcPr>
          <w:p>
            <w:pPr>
              <w:pStyle w:val="14"/>
              <w:spacing w:before="69" w:line="237" w:lineRule="exact"/>
              <w:ind w:left="508"/>
              <w:rPr>
                <w:sz w:val="20"/>
              </w:rPr>
            </w:pPr>
            <w:r>
              <w:rPr>
                <w:sz w:val="20"/>
              </w:rPr>
              <w:t>货币资金、短期投资、应收及预付款项、存货等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742" w:type="dxa"/>
          </w:tcPr>
          <w:p>
            <w:pPr>
              <w:pStyle w:val="14"/>
              <w:spacing w:before="1"/>
              <w:rPr>
                <w:sz w:val="18"/>
              </w:rPr>
            </w:pPr>
          </w:p>
          <w:p>
            <w:pPr>
              <w:pStyle w:val="14"/>
              <w:spacing w:before="1"/>
              <w:ind w:left="350" w:right="342"/>
              <w:jc w:val="center"/>
              <w:rPr>
                <w:sz w:val="20"/>
              </w:rPr>
            </w:pPr>
            <w:r>
              <w:rPr>
                <w:sz w:val="20"/>
              </w:rPr>
              <w:t>非流动资产</w:t>
            </w:r>
          </w:p>
        </w:tc>
        <w:tc>
          <w:tcPr>
            <w:tcW w:w="8325" w:type="dxa"/>
          </w:tcPr>
          <w:p>
            <w:pPr>
              <w:pStyle w:val="14"/>
              <w:spacing w:before="8" w:line="326" w:lineRule="exact"/>
              <w:ind w:left="107" w:right="98" w:firstLine="400"/>
              <w:rPr>
                <w:sz w:val="20"/>
              </w:rPr>
            </w:pPr>
            <w:r>
              <w:rPr>
                <w:spacing w:val="-9"/>
                <w:w w:val="95"/>
                <w:sz w:val="20"/>
              </w:rPr>
              <w:t xml:space="preserve">固定资产、在建工程、无形资产、长期投资、公共基础设施、政府储备资产、文物文化资  </w:t>
            </w:r>
            <w:r>
              <w:rPr>
                <w:spacing w:val="-9"/>
                <w:sz w:val="20"/>
              </w:rPr>
              <w:t>产、保障性住房和自然资源资产等</w:t>
            </w:r>
          </w:p>
        </w:tc>
      </w:tr>
    </w:tbl>
    <w:p>
      <w:pPr>
        <w:pStyle w:val="13"/>
        <w:numPr>
          <w:ilvl w:val="0"/>
          <w:numId w:val="132"/>
        </w:numPr>
        <w:tabs>
          <w:tab w:val="left" w:pos="1224"/>
        </w:tabs>
        <w:spacing w:before="70" w:after="0" w:line="240" w:lineRule="auto"/>
        <w:ind w:left="1223" w:right="0" w:hanging="501"/>
        <w:jc w:val="left"/>
        <w:rPr>
          <w:sz w:val="18"/>
        </w:rPr>
      </w:pPr>
      <w:r>
        <w:rPr>
          <w:sz w:val="20"/>
        </w:rPr>
        <w:t>资产的确认条件</w:t>
      </w:r>
    </w:p>
    <w:p>
      <w:pPr>
        <w:pStyle w:val="6"/>
        <w:spacing w:line="302" w:lineRule="auto"/>
        <w:ind w:left="322" w:right="720" w:firstLine="400"/>
      </w:pPr>
      <w:r>
        <w:rPr>
          <w:spacing w:val="-2"/>
          <w:w w:val="95"/>
        </w:rPr>
        <w:t>符合政府资产定义的经济资源，在</w:t>
      </w:r>
      <w:r>
        <w:rPr>
          <w:color w:val="FF0000"/>
          <w:w w:val="95"/>
          <w:u w:val="double" w:color="FF0000"/>
        </w:rPr>
        <w:t>同时满足</w:t>
      </w:r>
      <w:r>
        <w:rPr>
          <w:spacing w:val="-6"/>
          <w:w w:val="95"/>
        </w:rPr>
        <w:t xml:space="preserve">以下条件时，确认为资产：①与该经济资源相关的服务潜力很可   </w:t>
      </w:r>
      <w:r>
        <w:rPr>
          <w:spacing w:val="-6"/>
        </w:rPr>
        <w:t>能实现或者经济利益很可能流入政府会计主体；②该经济资源的成本或者价值能够可靠地计量。</w:t>
      </w:r>
    </w:p>
    <w:p>
      <w:pPr>
        <w:pStyle w:val="6"/>
        <w:spacing w:before="4" w:line="304" w:lineRule="auto"/>
        <w:ind w:left="322" w:right="720" w:firstLine="400"/>
      </w:pPr>
      <w:r>
        <mc:AlternateContent>
          <mc:Choice Requires="wps">
            <w:drawing>
              <wp:anchor distT="0" distB="0" distL="114300" distR="114300" simplePos="0" relativeHeight="482520064" behindDoc="1" locked="0" layoutInCell="1" allowOverlap="1">
                <wp:simplePos x="0" y="0"/>
                <wp:positionH relativeFrom="page">
                  <wp:posOffset>1068705</wp:posOffset>
                </wp:positionH>
                <wp:positionV relativeFrom="paragraph">
                  <wp:posOffset>140970</wp:posOffset>
                </wp:positionV>
                <wp:extent cx="251460" cy="5715"/>
                <wp:effectExtent l="0" t="0" r="0" b="0"/>
                <wp:wrapNone/>
                <wp:docPr id="340" name="任意多边形 29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97" o:spid="_x0000_s1026" o:spt="100" style="position:absolute;left:0pt;margin-left:84.15pt;margin-top:11.1pt;height:0.45pt;width:19.8pt;mso-position-horizontal-relative:page;z-index:-20796416;mso-width-relative:page;mso-height-relative:page;" filled="f" stroked="t" coordsize="396,9" o:gfxdata="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aX&#10;+r7ZAAAACQEAAA8AAAAAAAAAAQAgAAAAIgAAAGRycy9kb3ducmV2LnhtbFBLAQIUABQAAAAIAIdO&#10;4kBgqv0TlAIAAFcHAAAOAAAAAAAAAAEAIAAAACgBAABkcnMvZTJvRG9jLnhtbFBLBQYAAAAABgAG&#10;AFkBAAAuBg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w w:val="95"/>
        </w:rPr>
        <w:t>【</w:t>
      </w:r>
      <w:r>
        <w:rPr>
          <w:b/>
          <w:color w:val="00AFEF"/>
          <w:w w:val="95"/>
        </w:rPr>
        <w:t>提示</w:t>
      </w:r>
      <w:r>
        <w:rPr>
          <w:spacing w:val="-9"/>
          <w:w w:val="95"/>
        </w:rPr>
        <w:t xml:space="preserve">】企业资产的确认条件：①与该资源有关的经济利益很可能流入企业；②该资源的成本或价值能够可   </w:t>
      </w:r>
      <w:r>
        <w:rPr>
          <w:spacing w:val="-9"/>
        </w:rPr>
        <w:t>靠的计量。</w:t>
      </w:r>
    </w:p>
    <w:p>
      <w:pPr>
        <w:pStyle w:val="5"/>
        <w:numPr>
          <w:ilvl w:val="0"/>
          <w:numId w:val="132"/>
        </w:numPr>
        <w:tabs>
          <w:tab w:val="left" w:pos="1225"/>
        </w:tabs>
        <w:spacing w:before="2" w:after="0" w:line="240" w:lineRule="auto"/>
        <w:ind w:left="1224" w:right="0" w:hanging="502"/>
        <w:jc w:val="left"/>
        <w:rPr>
          <w:sz w:val="18"/>
        </w:rPr>
      </w:pPr>
      <w:r>
        <w:t>资产的计量属性</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2"/>
        <w:gridCol w:w="90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8" w:hRule="atLeast"/>
        </w:trPr>
        <w:tc>
          <w:tcPr>
            <w:tcW w:w="1442" w:type="dxa"/>
          </w:tcPr>
          <w:p>
            <w:pPr>
              <w:pStyle w:val="14"/>
              <w:spacing w:before="28"/>
              <w:ind w:left="300" w:right="292"/>
              <w:jc w:val="center"/>
              <w:rPr>
                <w:sz w:val="20"/>
              </w:rPr>
            </w:pPr>
            <w:r>
              <w:rPr>
                <w:sz w:val="20"/>
              </w:rPr>
              <w:t>历史成本</w:t>
            </w:r>
          </w:p>
        </w:tc>
        <w:tc>
          <w:tcPr>
            <w:tcW w:w="9000" w:type="dxa"/>
          </w:tcPr>
          <w:p>
            <w:pPr>
              <w:pStyle w:val="14"/>
              <w:spacing w:before="28"/>
              <w:ind w:left="107"/>
              <w:rPr>
                <w:sz w:val="20"/>
              </w:rPr>
            </w:pPr>
            <w:r>
              <w:rPr>
                <w:sz w:val="20"/>
              </w:rPr>
              <w:t>资产按照取得时支付的现金金额或者支付对价的公允价值计量。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42" w:type="dxa"/>
          </w:tcPr>
          <w:p>
            <w:pPr>
              <w:pStyle w:val="14"/>
              <w:spacing w:before="28"/>
              <w:ind w:left="300" w:right="292"/>
              <w:jc w:val="center"/>
              <w:rPr>
                <w:sz w:val="20"/>
              </w:rPr>
            </w:pPr>
            <w:r>
              <w:rPr>
                <w:sz w:val="20"/>
              </w:rPr>
              <w:t>重置成本</w:t>
            </w:r>
          </w:p>
        </w:tc>
        <w:tc>
          <w:tcPr>
            <w:tcW w:w="9000" w:type="dxa"/>
          </w:tcPr>
          <w:p>
            <w:pPr>
              <w:pStyle w:val="14"/>
              <w:spacing w:before="28"/>
              <w:ind w:left="107"/>
              <w:rPr>
                <w:sz w:val="20"/>
              </w:rPr>
            </w:pPr>
            <w:r>
              <w:rPr>
                <w:sz w:val="20"/>
              </w:rPr>
              <w:t>资产按照现在购买相同或者相似资产所需支付的现金金额计量。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442" w:type="dxa"/>
          </w:tcPr>
          <w:p>
            <w:pPr>
              <w:pStyle w:val="14"/>
              <w:spacing w:before="27"/>
              <w:ind w:left="298" w:right="292"/>
              <w:jc w:val="center"/>
              <w:rPr>
                <w:sz w:val="20"/>
              </w:rPr>
            </w:pPr>
            <w:r>
              <w:rPr>
                <w:sz w:val="20"/>
              </w:rPr>
              <w:t>现值</w:t>
            </w:r>
          </w:p>
        </w:tc>
        <w:tc>
          <w:tcPr>
            <w:tcW w:w="9000" w:type="dxa"/>
          </w:tcPr>
          <w:p>
            <w:pPr>
              <w:pStyle w:val="14"/>
              <w:spacing w:before="27"/>
              <w:ind w:left="107"/>
              <w:rPr>
                <w:sz w:val="20"/>
              </w:rPr>
            </w:pPr>
            <w:r>
              <w:rPr>
                <w:sz w:val="20"/>
              </w:rPr>
              <w:t>资产按照预计从其持续使用和最终处置中所产生的未来净现金流入量的折现金额计量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42" w:type="dxa"/>
          </w:tcPr>
          <w:p>
            <w:pPr>
              <w:pStyle w:val="14"/>
              <w:spacing w:before="27"/>
              <w:ind w:left="300" w:right="292"/>
              <w:jc w:val="center"/>
              <w:rPr>
                <w:sz w:val="20"/>
              </w:rPr>
            </w:pPr>
            <w:r>
              <w:rPr>
                <w:sz w:val="20"/>
              </w:rPr>
              <w:t>公允价值</w:t>
            </w:r>
          </w:p>
        </w:tc>
        <w:tc>
          <w:tcPr>
            <w:tcW w:w="9000" w:type="dxa"/>
          </w:tcPr>
          <w:p>
            <w:pPr>
              <w:pStyle w:val="14"/>
              <w:spacing w:before="27"/>
              <w:ind w:left="107"/>
              <w:rPr>
                <w:sz w:val="20"/>
              </w:rPr>
            </w:pPr>
            <w:r>
              <w:rPr>
                <w:sz w:val="20"/>
              </w:rPr>
              <w:t>资产按照市场参与者在计量日发生的有序交易中，出售资产所能收到的价格计量。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trPr>
        <w:tc>
          <w:tcPr>
            <w:tcW w:w="1442" w:type="dxa"/>
          </w:tcPr>
          <w:p>
            <w:pPr>
              <w:pStyle w:val="14"/>
              <w:spacing w:before="27"/>
              <w:ind w:left="300" w:right="292"/>
              <w:jc w:val="center"/>
              <w:rPr>
                <w:sz w:val="20"/>
              </w:rPr>
            </w:pPr>
            <w:r>
              <w:rPr>
                <w:sz w:val="20"/>
              </w:rPr>
              <w:t>名义金额</w:t>
            </w:r>
          </w:p>
        </w:tc>
        <w:tc>
          <w:tcPr>
            <w:tcW w:w="9000" w:type="dxa"/>
          </w:tcPr>
          <w:p>
            <w:pPr>
              <w:pStyle w:val="14"/>
              <w:spacing w:before="27"/>
              <w:ind w:left="107"/>
              <w:rPr>
                <w:sz w:val="20"/>
              </w:rPr>
            </w:pPr>
            <w:r>
              <w:rPr>
                <w:sz w:val="20"/>
              </w:rPr>
              <w:t>无法采用历史成本、重置成本、现值和公允价值计量属性的，采用名义金额（即人民币 1 元）计量</w:t>
            </w:r>
          </w:p>
        </w:tc>
      </w:tr>
    </w:tbl>
    <w:p>
      <w:pPr>
        <w:pStyle w:val="6"/>
        <w:spacing w:line="304" w:lineRule="auto"/>
        <w:ind w:left="322" w:right="652" w:firstLine="400"/>
      </w:pPr>
      <w:r>
        <w:rPr>
          <w:w w:val="95"/>
        </w:rPr>
        <w:t>政府会计主体在对资产进行计量时，</w:t>
      </w:r>
      <w:r>
        <w:rPr>
          <w:color w:val="FF0000"/>
          <w:w w:val="95"/>
          <w:u w:val="double" w:color="FF0000"/>
        </w:rPr>
        <w:t>一般应当采用历史成本</w:t>
      </w:r>
      <w:r>
        <w:rPr>
          <w:w w:val="95"/>
        </w:rPr>
        <w:t xml:space="preserve">。采用重置成本、现值、公允价值计量的，应当   </w:t>
      </w:r>
      <w:r>
        <w:t>保证所确定的资产金额能够持续、可靠计量。</w:t>
      </w:r>
    </w:p>
    <w:p>
      <w:pPr>
        <w:pStyle w:val="5"/>
        <w:numPr>
          <w:ilvl w:val="0"/>
          <w:numId w:val="131"/>
        </w:numPr>
        <w:tabs>
          <w:tab w:val="left" w:pos="925"/>
        </w:tabs>
        <w:spacing w:before="0" w:after="0" w:line="304" w:lineRule="auto"/>
        <w:ind w:left="322" w:right="725" w:firstLine="400"/>
        <w:jc w:val="left"/>
        <w:rPr>
          <w:b w:val="0"/>
        </w:rPr>
      </w:pPr>
      <w:r>
        <mc:AlternateContent>
          <mc:Choice Requires="wps">
            <w:drawing>
              <wp:anchor distT="0" distB="0" distL="114300" distR="114300" simplePos="0" relativeHeight="482521088" behindDoc="1" locked="0" layoutInCell="1" allowOverlap="1">
                <wp:simplePos x="0" y="0"/>
                <wp:positionH relativeFrom="page">
                  <wp:posOffset>687705</wp:posOffset>
                </wp:positionH>
                <wp:positionV relativeFrom="paragraph">
                  <wp:posOffset>345440</wp:posOffset>
                </wp:positionV>
                <wp:extent cx="502920" cy="5715"/>
                <wp:effectExtent l="0" t="0" r="0" b="0"/>
                <wp:wrapNone/>
                <wp:docPr id="341" name="任意多边形 298"/>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98" o:spid="_x0000_s1026" o:spt="100" style="position:absolute;left:0pt;margin-left:54.15pt;margin-top:27.2pt;height:0.45pt;width:39.6pt;mso-position-horizontal-relative:page;z-index:-20795392;mso-width-relative:page;mso-height-relative:page;" filled="f" stroked="t" coordsize="792,9" o:gfxdata="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lV0T79cAAAAJAQAADwAAAAAAAAABACAAAAAi&#10;AAAAZHJzL2Rvd25yZXYueG1sUEsBAhQAFAAAAAgAh07iQLRrYe7vAgAAmwoAAA4AAAAAAAAAAQAg&#10;AAAAJg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val="0"/>
          <w:color w:val="FF0000"/>
          <w:w w:val="95"/>
          <w:u w:val="double" w:color="FF0000"/>
        </w:rPr>
        <w:t>负债</w:t>
      </w:r>
      <w:r>
        <w:rPr>
          <w:b w:val="0"/>
          <w:spacing w:val="-10"/>
          <w:w w:val="95"/>
        </w:rPr>
        <w:t>：负债是指</w:t>
      </w:r>
      <w:r>
        <w:rPr>
          <w:color w:val="00AFEF"/>
          <w:spacing w:val="-3"/>
          <w:w w:val="95"/>
          <w:u w:val="single" w:color="00AFEF"/>
        </w:rPr>
        <w:t xml:space="preserve">政府会计主体过去的经济业务或者事项形成的，预期会导致经济资源流出政府会计主体的   </w:t>
      </w:r>
      <w:r>
        <w:rPr>
          <w:color w:val="00AFEF"/>
          <w:spacing w:val="-3"/>
        </w:rPr>
        <w:t>现时义务</w:t>
      </w:r>
      <w:r>
        <w:rPr>
          <w:b w:val="0"/>
          <w:spacing w:val="-3"/>
        </w:rPr>
        <w:t>。</w:t>
      </w:r>
    </w:p>
    <w:p>
      <w:pPr>
        <w:pStyle w:val="13"/>
        <w:numPr>
          <w:ilvl w:val="0"/>
          <w:numId w:val="133"/>
        </w:numPr>
        <w:tabs>
          <w:tab w:val="left" w:pos="1224"/>
        </w:tabs>
        <w:spacing w:before="1" w:after="0" w:line="240" w:lineRule="auto"/>
        <w:ind w:left="1223" w:right="0" w:hanging="501"/>
        <w:jc w:val="left"/>
        <w:rPr>
          <w:sz w:val="20"/>
        </w:rPr>
      </w:pPr>
      <w:r>
        <w:rPr>
          <w:sz w:val="20"/>
        </w:rPr>
        <w:t>负债分类</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67"/>
        <w:gridCol w:w="78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567" w:type="dxa"/>
          </w:tcPr>
          <w:p>
            <w:pPr>
              <w:pStyle w:val="14"/>
              <w:spacing w:before="28"/>
              <w:ind w:left="161" w:right="155"/>
              <w:jc w:val="center"/>
              <w:rPr>
                <w:sz w:val="20"/>
              </w:rPr>
            </w:pPr>
            <w:r>
              <w:rPr>
                <w:sz w:val="20"/>
              </w:rPr>
              <w:t>流动负债</w:t>
            </w:r>
          </w:p>
        </w:tc>
        <w:tc>
          <w:tcPr>
            <w:tcW w:w="7873" w:type="dxa"/>
          </w:tcPr>
          <w:p>
            <w:pPr>
              <w:pStyle w:val="14"/>
              <w:spacing w:before="28"/>
              <w:ind w:left="506"/>
              <w:rPr>
                <w:sz w:val="20"/>
              </w:rPr>
            </w:pPr>
            <w:r>
              <w:rPr>
                <w:sz w:val="20"/>
              </w:rPr>
              <w:t>短期借款、应付及预收款项、应付职工薪酬、应缴款项等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567" w:type="dxa"/>
          </w:tcPr>
          <w:p>
            <w:pPr>
              <w:pStyle w:val="14"/>
              <w:spacing w:before="28"/>
              <w:ind w:left="159" w:right="155"/>
              <w:jc w:val="center"/>
              <w:rPr>
                <w:sz w:val="20"/>
              </w:rPr>
            </w:pPr>
            <w:r>
              <w:rPr>
                <w:sz w:val="20"/>
              </w:rPr>
              <w:t>非流动负债</w:t>
            </w:r>
          </w:p>
        </w:tc>
        <w:tc>
          <w:tcPr>
            <w:tcW w:w="7873" w:type="dxa"/>
          </w:tcPr>
          <w:p>
            <w:pPr>
              <w:pStyle w:val="14"/>
              <w:spacing w:before="28"/>
              <w:ind w:left="506"/>
              <w:rPr>
                <w:sz w:val="20"/>
              </w:rPr>
            </w:pPr>
            <w:r>
              <w:rPr>
                <w:sz w:val="20"/>
              </w:rPr>
              <w:t>长期借款、长期应付款、应付政府债券和政府依法担保形成的债务等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567" w:type="dxa"/>
            <w:vMerge w:val="restart"/>
          </w:tcPr>
          <w:p>
            <w:pPr>
              <w:pStyle w:val="14"/>
              <w:spacing w:before="27"/>
              <w:ind w:left="582"/>
              <w:rPr>
                <w:sz w:val="20"/>
              </w:rPr>
            </w:pPr>
            <w:r>
              <w:rPr>
                <w:sz w:val="20"/>
              </w:rPr>
              <w:t>偿还时间与金额基本</w:t>
            </w:r>
          </w:p>
          <w:p>
            <w:pPr>
              <w:pStyle w:val="14"/>
              <w:spacing w:before="56"/>
              <w:ind w:left="781"/>
              <w:rPr>
                <w:sz w:val="20"/>
              </w:rPr>
            </w:pPr>
            <w:r>
              <w:rPr>
                <w:sz w:val="20"/>
              </w:rPr>
              <w:t>确定的负债</w:t>
            </w:r>
          </w:p>
        </w:tc>
        <w:tc>
          <w:tcPr>
            <w:tcW w:w="7873" w:type="dxa"/>
          </w:tcPr>
          <w:p>
            <w:pPr>
              <w:pStyle w:val="14"/>
              <w:spacing w:before="27"/>
              <w:ind w:left="506"/>
              <w:rPr>
                <w:sz w:val="20"/>
              </w:rPr>
            </w:pPr>
            <w:r>
              <w:rPr>
                <w:sz w:val="20"/>
              </w:rPr>
              <w:t>融资活动形成的举借债务及其应付利息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567" w:type="dxa"/>
            <w:vMerge w:val="continue"/>
            <w:tcBorders>
              <w:top w:val="nil"/>
            </w:tcBorders>
          </w:tcPr>
          <w:p>
            <w:pPr>
              <w:rPr>
                <w:sz w:val="2"/>
                <w:szCs w:val="2"/>
              </w:rPr>
            </w:pPr>
          </w:p>
        </w:tc>
        <w:tc>
          <w:tcPr>
            <w:tcW w:w="7873" w:type="dxa"/>
          </w:tcPr>
          <w:p>
            <w:pPr>
              <w:pStyle w:val="14"/>
              <w:spacing w:before="27"/>
              <w:ind w:left="506"/>
              <w:rPr>
                <w:sz w:val="20"/>
              </w:rPr>
            </w:pPr>
            <w:r>
              <w:rPr>
                <w:sz w:val="20"/>
              </w:rPr>
              <w:t>运营活动形成的应付及预收款项和暂时性负债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567" w:type="dxa"/>
          </w:tcPr>
          <w:p>
            <w:pPr>
              <w:pStyle w:val="14"/>
              <w:spacing w:before="29"/>
              <w:ind w:left="562" w:right="155"/>
              <w:jc w:val="center"/>
              <w:rPr>
                <w:sz w:val="20"/>
              </w:rPr>
            </w:pPr>
            <w:r>
              <w:rPr>
                <w:sz w:val="20"/>
              </w:rPr>
              <w:t>由或有事项形成的预</w:t>
            </w:r>
          </w:p>
          <w:p>
            <w:pPr>
              <w:pStyle w:val="14"/>
              <w:spacing w:before="55"/>
              <w:ind w:left="164" w:right="155"/>
              <w:jc w:val="center"/>
              <w:rPr>
                <w:sz w:val="20"/>
              </w:rPr>
            </w:pPr>
            <w:r>
              <w:rPr>
                <w:sz w:val="20"/>
              </w:rPr>
              <w:t>计负债</w:t>
            </w:r>
          </w:p>
        </w:tc>
        <w:tc>
          <w:tcPr>
            <w:tcW w:w="7873" w:type="dxa"/>
          </w:tcPr>
          <w:p>
            <w:pPr>
              <w:pStyle w:val="14"/>
              <w:spacing w:before="29"/>
              <w:ind w:left="506" w:right="-15"/>
              <w:rPr>
                <w:sz w:val="20"/>
              </w:rPr>
            </w:pPr>
            <w:r>
              <w:rPr>
                <w:spacing w:val="-7"/>
                <w:w w:val="95"/>
                <w:sz w:val="20"/>
              </w:rPr>
              <w:t>未决诉讼或未决仲裁、对外国政府或国际经济组织的贷款担保、承诺</w:t>
            </w:r>
            <w:r>
              <w:rPr>
                <w:w w:val="95"/>
                <w:sz w:val="20"/>
              </w:rPr>
              <w:t>（</w:t>
            </w:r>
            <w:r>
              <w:rPr>
                <w:spacing w:val="-8"/>
                <w:w w:val="95"/>
                <w:sz w:val="20"/>
              </w:rPr>
              <w:t>补贴、代偿</w:t>
            </w:r>
            <w:r>
              <w:rPr>
                <w:spacing w:val="-99"/>
                <w:w w:val="95"/>
                <w:sz w:val="20"/>
              </w:rPr>
              <w:t>）</w:t>
            </w:r>
            <w:r>
              <w:rPr>
                <w:w w:val="95"/>
                <w:sz w:val="20"/>
              </w:rPr>
              <w:t>、</w:t>
            </w:r>
          </w:p>
          <w:p>
            <w:pPr>
              <w:pStyle w:val="14"/>
              <w:spacing w:before="55"/>
              <w:ind w:left="108"/>
              <w:rPr>
                <w:sz w:val="20"/>
              </w:rPr>
            </w:pPr>
            <w:r>
              <w:rPr>
                <w:sz w:val="20"/>
              </w:rPr>
              <w:t>自然灾害或公共事件的救助等</w:t>
            </w:r>
          </w:p>
        </w:tc>
      </w:tr>
    </w:tbl>
    <w:p>
      <w:pPr>
        <w:pStyle w:val="13"/>
        <w:numPr>
          <w:ilvl w:val="0"/>
          <w:numId w:val="133"/>
        </w:numPr>
        <w:tabs>
          <w:tab w:val="left" w:pos="1224"/>
        </w:tabs>
        <w:spacing w:before="69" w:after="0" w:line="240" w:lineRule="auto"/>
        <w:ind w:left="1223" w:right="0" w:hanging="501"/>
        <w:jc w:val="left"/>
        <w:rPr>
          <w:sz w:val="20"/>
        </w:rPr>
      </w:pPr>
      <w:r>
        <w:rPr>
          <w:sz w:val="20"/>
        </w:rPr>
        <w:t>负债的确认条件</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22" w:firstLine="400"/>
      </w:pPr>
      <w:r>
        <w:rPr>
          <w:spacing w:val="-5"/>
          <w:w w:val="95"/>
        </w:rPr>
        <w:t xml:space="preserve">符合政府负债定义的义务，在同时满足以下条件时，确认为负债：①履行该义务很可能导致含有服务潜力或   </w:t>
      </w:r>
      <w:r>
        <w:rPr>
          <w:spacing w:val="-5"/>
        </w:rPr>
        <w:t>者经济利益的经济资源流出政府会计主体；②该义务的金额能够可靠地计量。</w:t>
      </w:r>
    </w:p>
    <w:p>
      <w:pPr>
        <w:pStyle w:val="6"/>
        <w:spacing w:before="2"/>
      </w:pPr>
      <w:r>
        <mc:AlternateContent>
          <mc:Choice Requires="wps">
            <w:drawing>
              <wp:anchor distT="0" distB="0" distL="114300" distR="114300" simplePos="0" relativeHeight="15887360" behindDoc="0" locked="0" layoutInCell="1" allowOverlap="1">
                <wp:simplePos x="0" y="0"/>
                <wp:positionH relativeFrom="page">
                  <wp:posOffset>1068705</wp:posOffset>
                </wp:positionH>
                <wp:positionV relativeFrom="paragraph">
                  <wp:posOffset>139065</wp:posOffset>
                </wp:positionV>
                <wp:extent cx="251460" cy="5715"/>
                <wp:effectExtent l="0" t="0" r="0" b="0"/>
                <wp:wrapNone/>
                <wp:docPr id="171" name="任意多边形 299"/>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299" o:spid="_x0000_s1026" o:spt="100" style="position:absolute;left:0pt;margin-left:84.15pt;margin-top:10.95pt;height:0.45pt;width:19.8pt;mso-position-horizontal-relative:page;z-index:15887360;mso-width-relative:page;mso-height-relative:page;" filled="f" stroked="t" coordsize="396,9" o:gfxdata="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fcT/S9gA&#10;AAAJAQAADwAAAAAAAAABACAAAAAiAAAAZHJzL2Rvd25yZXYueG1sUEsBAhQAFAAAAAgAh07iQGc1&#10;gm+RAgAAVwcAAA4AAAAAAAAAAQAgAAAAJwEAAGRycy9lMm9Eb2MueG1sUEsFBgAAAAAGAAYAWQEA&#10;ACo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t>【</w:t>
      </w:r>
      <w:r>
        <w:rPr>
          <w:b/>
          <w:color w:val="00AFEF"/>
        </w:rPr>
        <w:t>提示</w:t>
      </w:r>
      <w:r>
        <w:t>】和企业负债的确认条件类似</w:t>
      </w:r>
    </w:p>
    <w:p>
      <w:pPr>
        <w:pStyle w:val="13"/>
        <w:numPr>
          <w:ilvl w:val="0"/>
          <w:numId w:val="133"/>
        </w:numPr>
        <w:tabs>
          <w:tab w:val="left" w:pos="1224"/>
        </w:tabs>
        <w:spacing w:before="70" w:after="0" w:line="240" w:lineRule="auto"/>
        <w:ind w:left="1223" w:right="0" w:hanging="501"/>
        <w:jc w:val="left"/>
        <w:rPr>
          <w:sz w:val="20"/>
        </w:rPr>
      </w:pPr>
      <w:r>
        <mc:AlternateContent>
          <mc:Choice Requires="wps">
            <w:drawing>
              <wp:anchor distT="0" distB="0" distL="114300" distR="114300" simplePos="0" relativeHeight="15888384" behindDoc="0" locked="0" layoutInCell="1" allowOverlap="1">
                <wp:simplePos x="0" y="0"/>
                <wp:positionH relativeFrom="page">
                  <wp:posOffset>3510280</wp:posOffset>
                </wp:positionH>
                <wp:positionV relativeFrom="paragraph">
                  <wp:posOffset>154305</wp:posOffset>
                </wp:positionV>
                <wp:extent cx="3627120" cy="1496060"/>
                <wp:effectExtent l="0" t="0" r="0" b="0"/>
                <wp:wrapNone/>
                <wp:docPr id="172" name="文本框 300"/>
                <wp:cNvGraphicFramePr/>
                <a:graphic xmlns:a="http://schemas.openxmlformats.org/drawingml/2006/main">
                  <a:graphicData uri="http://schemas.microsoft.com/office/word/2010/wordprocessingShape">
                    <wps:wsp>
                      <wps:cNvSpPr txBox="1"/>
                      <wps:spPr>
                        <a:xfrm>
                          <a:off x="0" y="0"/>
                          <a:ext cx="3627120" cy="149606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7"/>
                              <w:gridCol w:w="2150"/>
                              <w:gridCol w:w="22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347" w:type="dxa"/>
                                </w:tcPr>
                                <w:p>
                                  <w:pPr>
                                    <w:pStyle w:val="14"/>
                                    <w:spacing w:before="8" w:line="326" w:lineRule="exact"/>
                                    <w:ind w:left="373" w:right="165" w:hanging="202"/>
                                    <w:rPr>
                                      <w:sz w:val="20"/>
                                    </w:rPr>
                                  </w:pPr>
                                  <w:r>
                                    <w:rPr>
                                      <w:sz w:val="20"/>
                                    </w:rPr>
                                    <w:t>企业会计计量属性</w:t>
                                  </w:r>
                                </w:p>
                              </w:tc>
                              <w:tc>
                                <w:tcPr>
                                  <w:tcW w:w="2150" w:type="dxa"/>
                                </w:tcPr>
                                <w:p>
                                  <w:pPr>
                                    <w:pStyle w:val="14"/>
                                    <w:spacing w:before="1"/>
                                    <w:rPr>
                                      <w:sz w:val="18"/>
                                    </w:rPr>
                                  </w:pPr>
                                </w:p>
                                <w:p>
                                  <w:pPr>
                                    <w:pStyle w:val="14"/>
                                    <w:ind w:left="155" w:right="144"/>
                                    <w:jc w:val="center"/>
                                    <w:rPr>
                                      <w:sz w:val="20"/>
                                    </w:rPr>
                                  </w:pPr>
                                  <w:r>
                                    <w:rPr>
                                      <w:sz w:val="20"/>
                                    </w:rPr>
                                    <w:t>政府资产的计量属性</w:t>
                                  </w:r>
                                </w:p>
                              </w:tc>
                              <w:tc>
                                <w:tcPr>
                                  <w:tcW w:w="2200" w:type="dxa"/>
                                </w:tcPr>
                                <w:p>
                                  <w:pPr>
                                    <w:pStyle w:val="14"/>
                                    <w:spacing w:before="1"/>
                                    <w:rPr>
                                      <w:sz w:val="18"/>
                                    </w:rPr>
                                  </w:pPr>
                                </w:p>
                                <w:p>
                                  <w:pPr>
                                    <w:pStyle w:val="14"/>
                                    <w:ind w:left="180" w:right="170"/>
                                    <w:jc w:val="center"/>
                                    <w:rPr>
                                      <w:sz w:val="20"/>
                                    </w:rPr>
                                  </w:pPr>
                                  <w:r>
                                    <w:rPr>
                                      <w:sz w:val="20"/>
                                    </w:rPr>
                                    <w:t>政府负债的计量属性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347" w:type="dxa"/>
                                </w:tcPr>
                                <w:p>
                                  <w:pPr>
                                    <w:pStyle w:val="14"/>
                                    <w:spacing w:before="61" w:line="237" w:lineRule="exact"/>
                                    <w:ind w:left="150" w:right="144"/>
                                    <w:jc w:val="center"/>
                                    <w:rPr>
                                      <w:sz w:val="20"/>
                                    </w:rPr>
                                  </w:pPr>
                                  <w:r>
                                    <w:rPr>
                                      <w:sz w:val="20"/>
                                    </w:rPr>
                                    <w:t>历史成本</w:t>
                                  </w:r>
                                </w:p>
                              </w:tc>
                              <w:tc>
                                <w:tcPr>
                                  <w:tcW w:w="2150" w:type="dxa"/>
                                </w:tcPr>
                                <w:p>
                                  <w:pPr>
                                    <w:pStyle w:val="14"/>
                                    <w:spacing w:before="61" w:line="237" w:lineRule="exact"/>
                                    <w:ind w:left="152" w:right="144"/>
                                    <w:jc w:val="center"/>
                                    <w:rPr>
                                      <w:sz w:val="20"/>
                                    </w:rPr>
                                  </w:pPr>
                                  <w:r>
                                    <w:rPr>
                                      <w:sz w:val="20"/>
                                    </w:rPr>
                                    <w:t>历史成本</w:t>
                                  </w:r>
                                </w:p>
                              </w:tc>
                              <w:tc>
                                <w:tcPr>
                                  <w:tcW w:w="2200" w:type="dxa"/>
                                </w:tcPr>
                                <w:p>
                                  <w:pPr>
                                    <w:pStyle w:val="14"/>
                                    <w:spacing w:before="61" w:line="237" w:lineRule="exact"/>
                                    <w:ind w:left="177" w:right="170"/>
                                    <w:jc w:val="center"/>
                                    <w:rPr>
                                      <w:sz w:val="20"/>
                                    </w:rPr>
                                  </w:pPr>
                                  <w:r>
                                    <w:rPr>
                                      <w:sz w:val="20"/>
                                    </w:rPr>
                                    <w:t>历史成本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47" w:type="dxa"/>
                                </w:tcPr>
                                <w:p>
                                  <w:pPr>
                                    <w:pStyle w:val="14"/>
                                    <w:spacing w:before="69" w:line="237" w:lineRule="exact"/>
                                    <w:ind w:left="150" w:right="146"/>
                                    <w:jc w:val="center"/>
                                    <w:rPr>
                                      <w:sz w:val="20"/>
                                    </w:rPr>
                                  </w:pPr>
                                  <w:r>
                                    <w:rPr>
                                      <w:sz w:val="20"/>
                                    </w:rPr>
                                    <w:t>现值</w:t>
                                  </w:r>
                                </w:p>
                              </w:tc>
                              <w:tc>
                                <w:tcPr>
                                  <w:tcW w:w="2150" w:type="dxa"/>
                                </w:tcPr>
                                <w:p>
                                  <w:pPr>
                                    <w:pStyle w:val="14"/>
                                    <w:spacing w:before="69" w:line="237" w:lineRule="exact"/>
                                    <w:ind w:left="150" w:right="144"/>
                                    <w:jc w:val="center"/>
                                    <w:rPr>
                                      <w:sz w:val="20"/>
                                    </w:rPr>
                                  </w:pPr>
                                  <w:r>
                                    <w:rPr>
                                      <w:sz w:val="20"/>
                                    </w:rPr>
                                    <w:t>现值</w:t>
                                  </w:r>
                                </w:p>
                              </w:tc>
                              <w:tc>
                                <w:tcPr>
                                  <w:tcW w:w="2200" w:type="dxa"/>
                                </w:tcPr>
                                <w:p>
                                  <w:pPr>
                                    <w:pStyle w:val="14"/>
                                    <w:spacing w:before="69" w:line="237" w:lineRule="exact"/>
                                    <w:ind w:left="175" w:right="170"/>
                                    <w:jc w:val="center"/>
                                    <w:rPr>
                                      <w:sz w:val="20"/>
                                    </w:rPr>
                                  </w:pPr>
                                  <w:r>
                                    <w:rPr>
                                      <w:sz w:val="20"/>
                                    </w:rPr>
                                    <w:t>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47" w:type="dxa"/>
                                </w:tcPr>
                                <w:p>
                                  <w:pPr>
                                    <w:pStyle w:val="14"/>
                                    <w:spacing w:before="69" w:line="237" w:lineRule="exact"/>
                                    <w:ind w:left="150" w:right="144"/>
                                    <w:jc w:val="center"/>
                                    <w:rPr>
                                      <w:sz w:val="20"/>
                                    </w:rPr>
                                  </w:pPr>
                                  <w:r>
                                    <w:rPr>
                                      <w:sz w:val="20"/>
                                    </w:rPr>
                                    <w:t>公允价值</w:t>
                                  </w:r>
                                </w:p>
                              </w:tc>
                              <w:tc>
                                <w:tcPr>
                                  <w:tcW w:w="2150" w:type="dxa"/>
                                </w:tcPr>
                                <w:p>
                                  <w:pPr>
                                    <w:pStyle w:val="14"/>
                                    <w:spacing w:before="69" w:line="237" w:lineRule="exact"/>
                                    <w:ind w:left="152" w:right="144"/>
                                    <w:jc w:val="center"/>
                                    <w:rPr>
                                      <w:sz w:val="20"/>
                                    </w:rPr>
                                  </w:pPr>
                                  <w:r>
                                    <w:rPr>
                                      <w:sz w:val="20"/>
                                    </w:rPr>
                                    <w:t>公允价值</w:t>
                                  </w:r>
                                </w:p>
                              </w:tc>
                              <w:tc>
                                <w:tcPr>
                                  <w:tcW w:w="2200" w:type="dxa"/>
                                </w:tcPr>
                                <w:p>
                                  <w:pPr>
                                    <w:pStyle w:val="14"/>
                                    <w:spacing w:before="69" w:line="237" w:lineRule="exact"/>
                                    <w:ind w:left="177" w:right="170"/>
                                    <w:jc w:val="center"/>
                                    <w:rPr>
                                      <w:sz w:val="20"/>
                                    </w:rPr>
                                  </w:pPr>
                                  <w:r>
                                    <w:rPr>
                                      <w:sz w:val="20"/>
                                    </w:rPr>
                                    <w:t>公允价值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47" w:type="dxa"/>
                                </w:tcPr>
                                <w:p>
                                  <w:pPr>
                                    <w:pStyle w:val="14"/>
                                    <w:spacing w:before="69" w:line="237" w:lineRule="exact"/>
                                    <w:ind w:left="150" w:right="144"/>
                                    <w:jc w:val="center"/>
                                    <w:rPr>
                                      <w:sz w:val="20"/>
                                    </w:rPr>
                                  </w:pPr>
                                  <w:r>
                                    <w:rPr>
                                      <w:sz w:val="20"/>
                                    </w:rPr>
                                    <w:t>重置成本</w:t>
                                  </w:r>
                                </w:p>
                              </w:tc>
                              <w:tc>
                                <w:tcPr>
                                  <w:tcW w:w="2150" w:type="dxa"/>
                                </w:tcPr>
                                <w:p>
                                  <w:pPr>
                                    <w:pStyle w:val="14"/>
                                    <w:spacing w:before="69" w:line="237" w:lineRule="exact"/>
                                    <w:ind w:left="152" w:right="144"/>
                                    <w:jc w:val="center"/>
                                    <w:rPr>
                                      <w:sz w:val="20"/>
                                    </w:rPr>
                                  </w:pPr>
                                  <w:r>
                                    <w:rPr>
                                      <w:sz w:val="20"/>
                                    </w:rPr>
                                    <w:t>重置成本</w:t>
                                  </w:r>
                                </w:p>
                              </w:tc>
                              <w:tc>
                                <w:tcPr>
                                  <w:tcW w:w="2200"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347" w:type="dxa"/>
                                </w:tcPr>
                                <w:p>
                                  <w:pPr>
                                    <w:pStyle w:val="14"/>
                                    <w:spacing w:before="71" w:line="238" w:lineRule="exact"/>
                                    <w:ind w:left="150" w:right="146"/>
                                    <w:jc w:val="center"/>
                                    <w:rPr>
                                      <w:sz w:val="20"/>
                                    </w:rPr>
                                  </w:pPr>
                                  <w:r>
                                    <w:rPr>
                                      <w:sz w:val="20"/>
                                    </w:rPr>
                                    <w:t>可变现净值</w:t>
                                  </w:r>
                                </w:p>
                              </w:tc>
                              <w:tc>
                                <w:tcPr>
                                  <w:tcW w:w="2150" w:type="dxa"/>
                                </w:tcPr>
                                <w:p>
                                  <w:pPr>
                                    <w:pStyle w:val="14"/>
                                    <w:spacing w:before="71" w:line="238" w:lineRule="exact"/>
                                    <w:ind w:left="152" w:right="144"/>
                                    <w:jc w:val="center"/>
                                    <w:rPr>
                                      <w:sz w:val="20"/>
                                    </w:rPr>
                                  </w:pPr>
                                  <w:r>
                                    <w:rPr>
                                      <w:sz w:val="20"/>
                                    </w:rPr>
                                    <w:t>名义金额</w:t>
                                  </w:r>
                                </w:p>
                              </w:tc>
                              <w:tc>
                                <w:tcPr>
                                  <w:tcW w:w="2200" w:type="dxa"/>
                                </w:tcPr>
                                <w:p>
                                  <w:pPr>
                                    <w:pStyle w:val="14"/>
                                    <w:rPr>
                                      <w:rFonts w:ascii="Times New Roman"/>
                                      <w:sz w:val="18"/>
                                    </w:rPr>
                                  </w:pPr>
                                </w:p>
                              </w:tc>
                            </w:tr>
                          </w:tbl>
                          <w:p>
                            <w:pPr>
                              <w:pStyle w:val="6"/>
                              <w:spacing w:before="0"/>
                              <w:ind w:left="0"/>
                            </w:pPr>
                          </w:p>
                        </w:txbxContent>
                      </wps:txbx>
                      <wps:bodyPr lIns="0" tIns="0" rIns="0" bIns="0" upright="1"/>
                    </wps:wsp>
                  </a:graphicData>
                </a:graphic>
              </wp:anchor>
            </w:drawing>
          </mc:Choice>
          <mc:Fallback>
            <w:pict>
              <v:shape id="文本框 300" o:spid="_x0000_s1026" o:spt="202" type="#_x0000_t202" style="position:absolute;left:0pt;margin-left:276.4pt;margin-top:12.15pt;height:117.8pt;width:285.6pt;mso-position-horizontal-relative:page;z-index:15888384;mso-width-relative:page;mso-height-relative:page;" filled="f" stroked="f" coordsize="21600,21600" o:gfxdata="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LKKlx9oAAAALAQAADwAA&#10;AAAAAAABACAAAAAiAAAAZHJzL2Rvd25yZXYueG1sUEsBAhQAFAAAAAgAh07iQGHSa1eiAQAAKQMA&#10;AA4AAAAAAAAAAQAgAAAAKQEAAGRycy9lMm9Eb2MueG1sUEsFBgAAAAAGAAYAWQEAAD0FA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7"/>
                        <w:gridCol w:w="2150"/>
                        <w:gridCol w:w="22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trPr>
                        <w:tc>
                          <w:tcPr>
                            <w:tcW w:w="1347" w:type="dxa"/>
                          </w:tcPr>
                          <w:p>
                            <w:pPr>
                              <w:pStyle w:val="14"/>
                              <w:spacing w:before="8" w:line="326" w:lineRule="exact"/>
                              <w:ind w:left="373" w:right="165" w:hanging="202"/>
                              <w:rPr>
                                <w:sz w:val="20"/>
                              </w:rPr>
                            </w:pPr>
                            <w:r>
                              <w:rPr>
                                <w:sz w:val="20"/>
                              </w:rPr>
                              <w:t>企业会计计量属性</w:t>
                            </w:r>
                          </w:p>
                        </w:tc>
                        <w:tc>
                          <w:tcPr>
                            <w:tcW w:w="2150" w:type="dxa"/>
                          </w:tcPr>
                          <w:p>
                            <w:pPr>
                              <w:pStyle w:val="14"/>
                              <w:spacing w:before="1"/>
                              <w:rPr>
                                <w:sz w:val="18"/>
                              </w:rPr>
                            </w:pPr>
                          </w:p>
                          <w:p>
                            <w:pPr>
                              <w:pStyle w:val="14"/>
                              <w:ind w:left="155" w:right="144"/>
                              <w:jc w:val="center"/>
                              <w:rPr>
                                <w:sz w:val="20"/>
                              </w:rPr>
                            </w:pPr>
                            <w:r>
                              <w:rPr>
                                <w:sz w:val="20"/>
                              </w:rPr>
                              <w:t>政府资产的计量属性</w:t>
                            </w:r>
                          </w:p>
                        </w:tc>
                        <w:tc>
                          <w:tcPr>
                            <w:tcW w:w="2200" w:type="dxa"/>
                          </w:tcPr>
                          <w:p>
                            <w:pPr>
                              <w:pStyle w:val="14"/>
                              <w:spacing w:before="1"/>
                              <w:rPr>
                                <w:sz w:val="18"/>
                              </w:rPr>
                            </w:pPr>
                          </w:p>
                          <w:p>
                            <w:pPr>
                              <w:pStyle w:val="14"/>
                              <w:ind w:left="180" w:right="170"/>
                              <w:jc w:val="center"/>
                              <w:rPr>
                                <w:sz w:val="20"/>
                              </w:rPr>
                            </w:pPr>
                            <w:r>
                              <w:rPr>
                                <w:sz w:val="20"/>
                              </w:rPr>
                              <w:t>政府负债的计量属性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347" w:type="dxa"/>
                          </w:tcPr>
                          <w:p>
                            <w:pPr>
                              <w:pStyle w:val="14"/>
                              <w:spacing w:before="61" w:line="237" w:lineRule="exact"/>
                              <w:ind w:left="150" w:right="144"/>
                              <w:jc w:val="center"/>
                              <w:rPr>
                                <w:sz w:val="20"/>
                              </w:rPr>
                            </w:pPr>
                            <w:r>
                              <w:rPr>
                                <w:sz w:val="20"/>
                              </w:rPr>
                              <w:t>历史成本</w:t>
                            </w:r>
                          </w:p>
                        </w:tc>
                        <w:tc>
                          <w:tcPr>
                            <w:tcW w:w="2150" w:type="dxa"/>
                          </w:tcPr>
                          <w:p>
                            <w:pPr>
                              <w:pStyle w:val="14"/>
                              <w:spacing w:before="61" w:line="237" w:lineRule="exact"/>
                              <w:ind w:left="152" w:right="144"/>
                              <w:jc w:val="center"/>
                              <w:rPr>
                                <w:sz w:val="20"/>
                              </w:rPr>
                            </w:pPr>
                            <w:r>
                              <w:rPr>
                                <w:sz w:val="20"/>
                              </w:rPr>
                              <w:t>历史成本</w:t>
                            </w:r>
                          </w:p>
                        </w:tc>
                        <w:tc>
                          <w:tcPr>
                            <w:tcW w:w="2200" w:type="dxa"/>
                          </w:tcPr>
                          <w:p>
                            <w:pPr>
                              <w:pStyle w:val="14"/>
                              <w:spacing w:before="61" w:line="237" w:lineRule="exact"/>
                              <w:ind w:left="177" w:right="170"/>
                              <w:jc w:val="center"/>
                              <w:rPr>
                                <w:sz w:val="20"/>
                              </w:rPr>
                            </w:pPr>
                            <w:r>
                              <w:rPr>
                                <w:sz w:val="20"/>
                              </w:rPr>
                              <w:t>历史成本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47" w:type="dxa"/>
                          </w:tcPr>
                          <w:p>
                            <w:pPr>
                              <w:pStyle w:val="14"/>
                              <w:spacing w:before="69" w:line="237" w:lineRule="exact"/>
                              <w:ind w:left="150" w:right="146"/>
                              <w:jc w:val="center"/>
                              <w:rPr>
                                <w:sz w:val="20"/>
                              </w:rPr>
                            </w:pPr>
                            <w:r>
                              <w:rPr>
                                <w:sz w:val="20"/>
                              </w:rPr>
                              <w:t>现值</w:t>
                            </w:r>
                          </w:p>
                        </w:tc>
                        <w:tc>
                          <w:tcPr>
                            <w:tcW w:w="2150" w:type="dxa"/>
                          </w:tcPr>
                          <w:p>
                            <w:pPr>
                              <w:pStyle w:val="14"/>
                              <w:spacing w:before="69" w:line="237" w:lineRule="exact"/>
                              <w:ind w:left="150" w:right="144"/>
                              <w:jc w:val="center"/>
                              <w:rPr>
                                <w:sz w:val="20"/>
                              </w:rPr>
                            </w:pPr>
                            <w:r>
                              <w:rPr>
                                <w:sz w:val="20"/>
                              </w:rPr>
                              <w:t>现值</w:t>
                            </w:r>
                          </w:p>
                        </w:tc>
                        <w:tc>
                          <w:tcPr>
                            <w:tcW w:w="2200" w:type="dxa"/>
                          </w:tcPr>
                          <w:p>
                            <w:pPr>
                              <w:pStyle w:val="14"/>
                              <w:spacing w:before="69" w:line="237" w:lineRule="exact"/>
                              <w:ind w:left="175" w:right="170"/>
                              <w:jc w:val="center"/>
                              <w:rPr>
                                <w:sz w:val="20"/>
                              </w:rPr>
                            </w:pPr>
                            <w:r>
                              <w:rPr>
                                <w:sz w:val="20"/>
                              </w:rPr>
                              <w:t>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47" w:type="dxa"/>
                          </w:tcPr>
                          <w:p>
                            <w:pPr>
                              <w:pStyle w:val="14"/>
                              <w:spacing w:before="69" w:line="237" w:lineRule="exact"/>
                              <w:ind w:left="150" w:right="144"/>
                              <w:jc w:val="center"/>
                              <w:rPr>
                                <w:sz w:val="20"/>
                              </w:rPr>
                            </w:pPr>
                            <w:r>
                              <w:rPr>
                                <w:sz w:val="20"/>
                              </w:rPr>
                              <w:t>公允价值</w:t>
                            </w:r>
                          </w:p>
                        </w:tc>
                        <w:tc>
                          <w:tcPr>
                            <w:tcW w:w="2150" w:type="dxa"/>
                          </w:tcPr>
                          <w:p>
                            <w:pPr>
                              <w:pStyle w:val="14"/>
                              <w:spacing w:before="69" w:line="237" w:lineRule="exact"/>
                              <w:ind w:left="152" w:right="144"/>
                              <w:jc w:val="center"/>
                              <w:rPr>
                                <w:sz w:val="20"/>
                              </w:rPr>
                            </w:pPr>
                            <w:r>
                              <w:rPr>
                                <w:sz w:val="20"/>
                              </w:rPr>
                              <w:t>公允价值</w:t>
                            </w:r>
                          </w:p>
                        </w:tc>
                        <w:tc>
                          <w:tcPr>
                            <w:tcW w:w="2200" w:type="dxa"/>
                          </w:tcPr>
                          <w:p>
                            <w:pPr>
                              <w:pStyle w:val="14"/>
                              <w:spacing w:before="69" w:line="237" w:lineRule="exact"/>
                              <w:ind w:left="177" w:right="170"/>
                              <w:jc w:val="center"/>
                              <w:rPr>
                                <w:sz w:val="20"/>
                              </w:rPr>
                            </w:pPr>
                            <w:r>
                              <w:rPr>
                                <w:sz w:val="20"/>
                              </w:rPr>
                              <w:t>公允价值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347" w:type="dxa"/>
                          </w:tcPr>
                          <w:p>
                            <w:pPr>
                              <w:pStyle w:val="14"/>
                              <w:spacing w:before="69" w:line="237" w:lineRule="exact"/>
                              <w:ind w:left="150" w:right="144"/>
                              <w:jc w:val="center"/>
                              <w:rPr>
                                <w:sz w:val="20"/>
                              </w:rPr>
                            </w:pPr>
                            <w:r>
                              <w:rPr>
                                <w:sz w:val="20"/>
                              </w:rPr>
                              <w:t>重置成本</w:t>
                            </w:r>
                          </w:p>
                        </w:tc>
                        <w:tc>
                          <w:tcPr>
                            <w:tcW w:w="2150" w:type="dxa"/>
                          </w:tcPr>
                          <w:p>
                            <w:pPr>
                              <w:pStyle w:val="14"/>
                              <w:spacing w:before="69" w:line="237" w:lineRule="exact"/>
                              <w:ind w:left="152" w:right="144"/>
                              <w:jc w:val="center"/>
                              <w:rPr>
                                <w:sz w:val="20"/>
                              </w:rPr>
                            </w:pPr>
                            <w:r>
                              <w:rPr>
                                <w:sz w:val="20"/>
                              </w:rPr>
                              <w:t>重置成本</w:t>
                            </w:r>
                          </w:p>
                        </w:tc>
                        <w:tc>
                          <w:tcPr>
                            <w:tcW w:w="2200" w:type="dxa"/>
                          </w:tcPr>
                          <w:p>
                            <w:pPr>
                              <w:pStyle w:val="14"/>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347" w:type="dxa"/>
                          </w:tcPr>
                          <w:p>
                            <w:pPr>
                              <w:pStyle w:val="14"/>
                              <w:spacing w:before="71" w:line="238" w:lineRule="exact"/>
                              <w:ind w:left="150" w:right="146"/>
                              <w:jc w:val="center"/>
                              <w:rPr>
                                <w:sz w:val="20"/>
                              </w:rPr>
                            </w:pPr>
                            <w:r>
                              <w:rPr>
                                <w:sz w:val="20"/>
                              </w:rPr>
                              <w:t>可变现净值</w:t>
                            </w:r>
                          </w:p>
                        </w:tc>
                        <w:tc>
                          <w:tcPr>
                            <w:tcW w:w="2150" w:type="dxa"/>
                          </w:tcPr>
                          <w:p>
                            <w:pPr>
                              <w:pStyle w:val="14"/>
                              <w:spacing w:before="71" w:line="238" w:lineRule="exact"/>
                              <w:ind w:left="152" w:right="144"/>
                              <w:jc w:val="center"/>
                              <w:rPr>
                                <w:sz w:val="20"/>
                              </w:rPr>
                            </w:pPr>
                            <w:r>
                              <w:rPr>
                                <w:sz w:val="20"/>
                              </w:rPr>
                              <w:t>名义金额</w:t>
                            </w:r>
                          </w:p>
                        </w:tc>
                        <w:tc>
                          <w:tcPr>
                            <w:tcW w:w="2200" w:type="dxa"/>
                          </w:tcPr>
                          <w:p>
                            <w:pPr>
                              <w:pStyle w:val="14"/>
                              <w:rPr>
                                <w:rFonts w:ascii="Times New Roman"/>
                                <w:sz w:val="18"/>
                              </w:rPr>
                            </w:pPr>
                          </w:p>
                        </w:tc>
                      </w:tr>
                    </w:tbl>
                    <w:p>
                      <w:pPr>
                        <w:pStyle w:val="6"/>
                        <w:spacing w:before="0"/>
                        <w:ind w:left="0"/>
                      </w:pPr>
                    </w:p>
                  </w:txbxContent>
                </v:textbox>
              </v:shape>
            </w:pict>
          </mc:Fallback>
        </mc:AlternateContent>
      </w:r>
      <w:r>
        <w:rPr>
          <w:sz w:val="20"/>
        </w:rPr>
        <w:t>负债的计量属性</w:t>
      </w:r>
    </w:p>
    <w:p>
      <w:pPr>
        <w:pStyle w:val="6"/>
        <w:spacing w:line="302" w:lineRule="auto"/>
        <w:ind w:left="322" w:right="6263" w:firstLine="400"/>
      </w:pPr>
      <w:r>
        <w:t>政府负债的计量属性主要有历史成本、现值和公允价值。</w:t>
      </w:r>
    </w:p>
    <w:p>
      <w:pPr>
        <w:pStyle w:val="6"/>
        <w:spacing w:before="5" w:line="304" w:lineRule="auto"/>
        <w:ind w:left="322" w:right="6263" w:firstLine="400"/>
        <w:jc w:val="both"/>
      </w:pPr>
      <w:r>
        <w:t>政府会计主体对负债进行计量，一般应当采用历史成本。采用现值、公允价值计量的，应当保证所确定的负债金额能够持续、可靠计量。</w:t>
      </w:r>
    </w:p>
    <w:p>
      <w:pPr>
        <w:pStyle w:val="13"/>
        <w:numPr>
          <w:ilvl w:val="0"/>
          <w:numId w:val="131"/>
        </w:numPr>
        <w:tabs>
          <w:tab w:val="left" w:pos="925"/>
        </w:tabs>
        <w:spacing w:before="3" w:after="0" w:line="240" w:lineRule="auto"/>
        <w:ind w:left="924" w:right="0" w:hanging="202"/>
        <w:jc w:val="left"/>
        <w:rPr>
          <w:sz w:val="20"/>
        </w:rPr>
      </w:pPr>
      <w:r>
        <w:rPr>
          <w:color w:val="FF0000"/>
          <w:sz w:val="20"/>
          <w:u w:val="double" w:color="FF0000"/>
        </w:rPr>
        <w:t>净资产</w:t>
      </w:r>
    </w:p>
    <w:p>
      <w:pPr>
        <w:pStyle w:val="6"/>
        <w:spacing w:line="302" w:lineRule="auto"/>
        <w:ind w:left="322" w:right="6263" w:firstLine="400"/>
      </w:pPr>
      <w:r>
        <w:t>净资产是指政府会计主体资产扣除负债后的净额，其金额取决于资产和负债的计量。</w:t>
      </w:r>
    </w:p>
    <w:p>
      <w:pPr>
        <w:pStyle w:val="13"/>
        <w:numPr>
          <w:ilvl w:val="0"/>
          <w:numId w:val="131"/>
        </w:numPr>
        <w:tabs>
          <w:tab w:val="left" w:pos="925"/>
        </w:tabs>
        <w:spacing w:before="4" w:after="0" w:line="240" w:lineRule="auto"/>
        <w:ind w:left="924" w:right="0" w:hanging="202"/>
        <w:jc w:val="left"/>
        <w:rPr>
          <w:sz w:val="20"/>
        </w:rPr>
      </w:pPr>
      <w:r>
        <w:rPr>
          <w:color w:val="FF0000"/>
          <w:sz w:val="20"/>
          <w:u w:val="double" w:color="FF0000"/>
        </w:rPr>
        <w:t>收入</w:t>
      </w:r>
    </w:p>
    <w:p>
      <w:pPr>
        <w:pStyle w:val="6"/>
        <w:spacing w:before="71" w:line="304" w:lineRule="auto"/>
        <w:ind w:right="1263"/>
      </w:pPr>
      <w:r>
        <w:rPr>
          <w:w w:val="95"/>
        </w:rPr>
        <w:t xml:space="preserve">收入是指报告期内导致政府会计主体净资产增加的、含有服务潜力或者经济利益的经济资源的流入。   </w:t>
      </w:r>
      <w:r>
        <w:t>收入的确认应当同时满足以下条件：</w:t>
      </w:r>
    </w:p>
    <w:p>
      <w:pPr>
        <w:pStyle w:val="6"/>
        <w:spacing w:before="2" w:line="304" w:lineRule="auto"/>
        <w:ind w:left="322" w:right="647" w:firstLine="400"/>
      </w:pPr>
      <w:r>
        <w:rPr>
          <w:w w:val="95"/>
        </w:rPr>
        <w:t xml:space="preserve">①与收入相关的含有服务潜力或者经济利益的经济资源很可能流入政府会计主体；②含有服务潜力或者经济   </w:t>
      </w:r>
      <w:r>
        <w:t>利益的经济资源流入会导致政府会计主体资产增加或者负债减少；③流入金额能够可靠地计量。</w:t>
      </w:r>
    </w:p>
    <w:p>
      <w:pPr>
        <w:pStyle w:val="13"/>
        <w:numPr>
          <w:ilvl w:val="0"/>
          <w:numId w:val="131"/>
        </w:numPr>
        <w:tabs>
          <w:tab w:val="left" w:pos="925"/>
        </w:tabs>
        <w:spacing w:before="0" w:after="0" w:line="256" w:lineRule="exact"/>
        <w:ind w:left="924" w:right="0" w:hanging="202"/>
        <w:jc w:val="left"/>
        <w:rPr>
          <w:sz w:val="20"/>
        </w:rPr>
      </w:pPr>
      <w:r>
        <w:rPr>
          <w:color w:val="FF0000"/>
          <w:sz w:val="20"/>
          <w:u w:val="double" w:color="FF0000"/>
        </w:rPr>
        <w:t>费用</w:t>
      </w:r>
    </w:p>
    <w:p>
      <w:pPr>
        <w:pStyle w:val="6"/>
        <w:spacing w:line="304" w:lineRule="auto"/>
        <w:ind w:right="1263"/>
      </w:pPr>
      <w:r>
        <w:rPr>
          <w:w w:val="95"/>
        </w:rPr>
        <w:t xml:space="preserve">费用是指报告期内导致政府会计主体净资产减少的、含有服务潜力或者经济利益的经济资源的流出。   </w:t>
      </w:r>
      <w:r>
        <w:t>费用的确认应当同时满足以下条件：</w:t>
      </w:r>
    </w:p>
    <w:p>
      <w:pPr>
        <w:pStyle w:val="6"/>
        <w:spacing w:before="2" w:line="304" w:lineRule="auto"/>
        <w:ind w:left="322" w:right="647" w:firstLine="400"/>
      </w:pPr>
      <w:r>
        <w:rPr>
          <w:w w:val="95"/>
        </w:rPr>
        <w:t xml:space="preserve">①与费用相关的含有服务潜力或者经济利益的经济资源很可能流出政府会计主体；②含有服务潜力或者经济   </w:t>
      </w:r>
      <w:r>
        <w:t>利益的经济资源流出会导致政府会计主体资产减少或者负债增加；③流出金额能够可靠地计量。</w:t>
      </w:r>
    </w:p>
    <w:p>
      <w:pPr>
        <w:spacing w:before="0" w:line="223" w:lineRule="exact"/>
        <w:ind w:left="742" w:right="0" w:firstLine="0"/>
        <w:jc w:val="left"/>
        <w:rPr>
          <w:b/>
          <w:sz w:val="21"/>
        </w:rPr>
      </w:pPr>
      <w:bookmarkStart w:id="171" w:name="三、政府财务报告和决算报告"/>
      <w:bookmarkEnd w:id="171"/>
      <w:r>
        <w:rPr>
          <w:b/>
          <w:sz w:val="21"/>
          <w:shd w:val="clear" w:color="auto" w:fill="C0C0C0"/>
        </w:rPr>
        <w:t>三、政府财务报告和决算报告</w:t>
      </w:r>
    </w:p>
    <w:p>
      <w:pPr>
        <w:pStyle w:val="5"/>
        <w:spacing w:before="91"/>
      </w:pPr>
      <w:r>
        <w:t>（一）政府财务报告</w:t>
      </w:r>
    </w:p>
    <w:p>
      <w:pPr>
        <w:pStyle w:val="5"/>
        <w:spacing w:before="68" w:line="304" w:lineRule="auto"/>
        <w:ind w:left="322" w:right="833" w:firstLine="400"/>
      </w:pPr>
      <w:r>
        <mc:AlternateContent>
          <mc:Choice Requires="wps">
            <w:drawing>
              <wp:anchor distT="0" distB="0" distL="114300" distR="114300" simplePos="0" relativeHeight="482522112" behindDoc="1" locked="0" layoutInCell="1" allowOverlap="1">
                <wp:simplePos x="0" y="0"/>
                <wp:positionH relativeFrom="page">
                  <wp:posOffset>687705</wp:posOffset>
                </wp:positionH>
                <wp:positionV relativeFrom="paragraph">
                  <wp:posOffset>388620</wp:posOffset>
                </wp:positionV>
                <wp:extent cx="502920" cy="5715"/>
                <wp:effectExtent l="0" t="0" r="0" b="0"/>
                <wp:wrapNone/>
                <wp:docPr id="342" name="任意多边形 301"/>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1" o:spid="_x0000_s1026" o:spt="100" style="position:absolute;left:0pt;margin-left:54.15pt;margin-top:30.6pt;height:0.45pt;width:39.6pt;mso-position-horizontal-relative:page;z-index:-20794368;mso-width-relative:page;mso-height-relative:page;" filled="f" stroked="t" coordsize="792,9" o:gfxdata="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vyXZr1gAAAAkBAAAPAAAAAAAAAAEAIAAAACIA&#10;AABkcnMvZG93bnJldi54bWxQSwECFAAUAAAACACHTuJAmf73Pe8CAACbCgAADgAAAAAAAAABACAA&#10;AAAl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val="0"/>
          <w:w w:val="95"/>
        </w:rPr>
        <w:t>政府财务报告是</w:t>
      </w:r>
      <w:r>
        <w:rPr>
          <w:color w:val="00AFEF"/>
          <w:w w:val="95"/>
          <w:u w:val="single" w:color="00AFEF"/>
        </w:rPr>
        <w:t xml:space="preserve">反映政府会计主体某一特定日期的财务状况和某一会计期间的运行情况和现金流量等信息   </w:t>
      </w:r>
      <w:r>
        <w:rPr>
          <w:color w:val="00AFEF"/>
        </w:rPr>
        <w:t>的文件。</w:t>
      </w:r>
    </w:p>
    <w:p>
      <w:pPr>
        <w:pStyle w:val="13"/>
        <w:numPr>
          <w:ilvl w:val="0"/>
          <w:numId w:val="134"/>
        </w:numPr>
        <w:tabs>
          <w:tab w:val="left" w:pos="925"/>
        </w:tabs>
        <w:spacing w:before="2" w:after="0" w:line="304" w:lineRule="auto"/>
        <w:ind w:left="322" w:right="722" w:firstLine="400"/>
        <w:jc w:val="left"/>
        <w:rPr>
          <w:sz w:val="20"/>
        </w:rPr>
      </w:pPr>
      <w:r>
        <w:rPr>
          <w:spacing w:val="-3"/>
          <w:w w:val="95"/>
          <w:sz w:val="20"/>
        </w:rPr>
        <w:t xml:space="preserve">政府财务报告使用者包括各级人民代表大会常务委员会、债权人、各级政府及有关部门、政府会计主体自   </w:t>
      </w:r>
      <w:r>
        <w:rPr>
          <w:spacing w:val="-3"/>
          <w:sz w:val="20"/>
        </w:rPr>
        <w:t>身和其他利益相关者。</w:t>
      </w:r>
    </w:p>
    <w:p>
      <w:pPr>
        <w:pStyle w:val="13"/>
        <w:numPr>
          <w:ilvl w:val="0"/>
          <w:numId w:val="134"/>
        </w:numPr>
        <w:tabs>
          <w:tab w:val="left" w:pos="925"/>
        </w:tabs>
        <w:spacing w:before="2" w:after="0" w:line="304" w:lineRule="auto"/>
        <w:ind w:left="322" w:right="720" w:firstLine="400"/>
        <w:jc w:val="both"/>
        <w:rPr>
          <w:sz w:val="20"/>
        </w:rPr>
      </w:pPr>
      <w:r>
        <w:rPr>
          <w:spacing w:val="-6"/>
          <w:w w:val="95"/>
          <w:sz w:val="20"/>
        </w:rPr>
        <w:t xml:space="preserve">从内容上讲，政府财务报告应当包括财务报表和其他应当在财务报告中披露的相关信息和资料；财务报表   </w:t>
      </w:r>
      <w:r>
        <w:rPr>
          <w:spacing w:val="-10"/>
          <w:w w:val="95"/>
          <w:sz w:val="20"/>
        </w:rPr>
        <w:t xml:space="preserve">包括会计报表和附注。会计报表一般包括资产负债表、收入费用表和净资产变动表，单位可根据实际情况自行选    </w:t>
      </w:r>
      <w:r>
        <w:rPr>
          <w:spacing w:val="-10"/>
          <w:sz w:val="20"/>
        </w:rPr>
        <w:t>择编制现金流量表。</w:t>
      </w:r>
    </w:p>
    <w:p>
      <w:pPr>
        <w:pStyle w:val="13"/>
        <w:numPr>
          <w:ilvl w:val="0"/>
          <w:numId w:val="134"/>
        </w:numPr>
        <w:tabs>
          <w:tab w:val="left" w:pos="925"/>
        </w:tabs>
        <w:spacing w:before="0" w:after="0" w:line="304" w:lineRule="auto"/>
        <w:ind w:left="723" w:right="2863" w:firstLine="0"/>
        <w:jc w:val="left"/>
        <w:rPr>
          <w:sz w:val="20"/>
        </w:rPr>
      </w:pPr>
      <w:r>
        <w:rPr>
          <w:w w:val="95"/>
          <w:sz w:val="20"/>
        </w:rPr>
        <w:t xml:space="preserve">从编制主体讲，政府财务报告主要包括政府部门财务报告和政府综合财务报告。  </w:t>
      </w:r>
      <w:r>
        <w:rPr>
          <w:sz w:val="20"/>
        </w:rPr>
        <w:t>政府部门编制部门财务报告，反映本部门的财务状况和运行情况；</w:t>
      </w:r>
    </w:p>
    <w:p>
      <w:pPr>
        <w:pStyle w:val="6"/>
        <w:spacing w:before="2"/>
      </w:pPr>
      <w:r>
        <w:t>财政部门编制政府综合财务报告，反映政府整体的财务状况、运行情况和财政中长期可持续性。</w:t>
      </w:r>
    </w:p>
    <w:p>
      <w:pPr>
        <w:pStyle w:val="13"/>
        <w:numPr>
          <w:ilvl w:val="0"/>
          <w:numId w:val="134"/>
        </w:numPr>
        <w:tabs>
          <w:tab w:val="left" w:pos="925"/>
        </w:tabs>
        <w:spacing w:before="70" w:after="0" w:line="304" w:lineRule="auto"/>
        <w:ind w:left="322" w:right="662" w:firstLine="400"/>
        <w:jc w:val="left"/>
        <w:rPr>
          <w:sz w:val="20"/>
        </w:rPr>
      </w:pPr>
      <w:r>
        <w:rPr>
          <w:w w:val="95"/>
          <w:sz w:val="20"/>
        </w:rPr>
        <w:t xml:space="preserve">从编制程序讲，各单位应在政府会计准则体系和政府财务报告制度框架体系内，按时编制以资产负债表、   </w:t>
      </w:r>
      <w:r>
        <w:rPr>
          <w:sz w:val="20"/>
        </w:rPr>
        <w:t>收入费用表等财务报表为主要内容的财务报告。</w:t>
      </w:r>
    </w:p>
    <w:p>
      <w:pPr>
        <w:pStyle w:val="6"/>
        <w:spacing w:before="0" w:line="304" w:lineRule="auto"/>
        <w:ind w:left="322" w:right="647" w:firstLine="400"/>
      </w:pPr>
      <w:r>
        <w:rPr>
          <w:w w:val="95"/>
        </w:rPr>
        <w:t xml:space="preserve">各部门应合并本部门所属单位的财务报表，编制部门财务报告。各级政府财政部门应合并各部门和其他纳入   </w:t>
      </w:r>
      <w:r>
        <w:t>合并范围主体的财务报表，编制以资产负债表、收入费用表等财务报表为主要内容的本级政府综合财务报告。</w:t>
      </w:r>
    </w:p>
    <w:p>
      <w:pPr>
        <w:spacing w:after="0" w:line="304" w:lineRule="auto"/>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647" w:firstLine="400"/>
      </w:pPr>
      <w:r>
        <w:rPr>
          <w:w w:val="95"/>
        </w:rPr>
        <w:t xml:space="preserve">县级以上政府财政部门要合并汇总本级政府综合财务报告和下级政府综合财务报告，编制本行政区政府综合   </w:t>
      </w:r>
      <w:r>
        <w:t>财务报告。</w:t>
      </w:r>
    </w:p>
    <w:p>
      <w:pPr>
        <w:pStyle w:val="5"/>
        <w:spacing w:before="2"/>
      </w:pPr>
      <w:r>
        <w:t>（二）政府决算报告</w:t>
      </w:r>
    </w:p>
    <w:p>
      <w:pPr>
        <w:pStyle w:val="5"/>
        <w:spacing w:line="304" w:lineRule="auto"/>
        <w:ind w:left="322" w:right="722" w:firstLine="400"/>
      </w:pPr>
      <w:r>
        <w:rPr>
          <w:b w:val="0"/>
          <w:w w:val="95"/>
        </w:rPr>
        <w:t>政府决算报告是</w:t>
      </w:r>
      <w:r>
        <w:rPr>
          <w:color w:val="00AFEF"/>
          <w:spacing w:val="-4"/>
          <w:w w:val="95"/>
          <w:u w:val="single" w:color="00AFEF"/>
        </w:rPr>
        <w:t xml:space="preserve">综合反映政府会计主体年度预算收支执行结果的文件。政府决算报告应当包括决算报表和其   </w:t>
      </w:r>
      <w:r>
        <w:rPr>
          <w:color w:val="00AFEF"/>
          <w:spacing w:val="-4"/>
          <w:u w:val="single" w:color="00AFEF"/>
        </w:rPr>
        <w:t>他应当在决算报告中反映的相关信息和资料。</w:t>
      </w:r>
    </w:p>
    <w:p>
      <w:pPr>
        <w:pStyle w:val="6"/>
        <w:spacing w:before="0" w:line="304" w:lineRule="auto"/>
        <w:ind w:left="322" w:right="621" w:firstLine="400"/>
      </w:pPr>
      <w:r>
        <w:rPr>
          <w:spacing w:val="-5"/>
          <w:w w:val="95"/>
        </w:rPr>
        <w:t xml:space="preserve">政府决算报告的使用者包括各级人民代表大会及其常务委员会、各级政府及其有关部门、政府会计主体自身、    </w:t>
      </w:r>
      <w:r>
        <w:rPr>
          <w:spacing w:val="-5"/>
        </w:rPr>
        <w:t>社会公众和其他利益相关者。</w:t>
      </w:r>
    </w:p>
    <w:p>
      <w:pPr>
        <w:pStyle w:val="6"/>
        <w:spacing w:before="1"/>
      </w:pPr>
      <w:r>
        <w:t>政府决算报告与政府综合财务报告的区别：如表所示</w:t>
      </w:r>
    </w:p>
    <w:p>
      <w:pPr>
        <w:pStyle w:val="6"/>
        <w:spacing w:before="2"/>
        <w:ind w:left="0"/>
        <w:rPr>
          <w:sz w:val="16"/>
        </w:rPr>
      </w:pPr>
    </w:p>
    <w:tbl>
      <w:tblPr>
        <w:tblStyle w:val="10"/>
        <w:tblW w:w="0" w:type="auto"/>
        <w:tblInd w:w="10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67"/>
        <w:gridCol w:w="2400"/>
        <w:gridCol w:w="25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67" w:type="dxa"/>
          </w:tcPr>
          <w:p>
            <w:pPr>
              <w:pStyle w:val="14"/>
              <w:rPr>
                <w:rFonts w:ascii="Times New Roman"/>
                <w:sz w:val="18"/>
              </w:rPr>
            </w:pPr>
          </w:p>
        </w:tc>
        <w:tc>
          <w:tcPr>
            <w:tcW w:w="2400" w:type="dxa"/>
          </w:tcPr>
          <w:p>
            <w:pPr>
              <w:pStyle w:val="14"/>
              <w:spacing w:before="48"/>
              <w:ind w:left="178" w:right="169"/>
              <w:jc w:val="center"/>
              <w:rPr>
                <w:sz w:val="18"/>
              </w:rPr>
            </w:pPr>
            <w:r>
              <w:rPr>
                <w:sz w:val="18"/>
              </w:rPr>
              <w:t>政府决算报告</w:t>
            </w:r>
          </w:p>
        </w:tc>
        <w:tc>
          <w:tcPr>
            <w:tcW w:w="2515" w:type="dxa"/>
          </w:tcPr>
          <w:p>
            <w:pPr>
              <w:pStyle w:val="14"/>
              <w:spacing w:before="48"/>
              <w:ind w:left="246" w:right="237"/>
              <w:jc w:val="center"/>
              <w:rPr>
                <w:sz w:val="18"/>
              </w:rPr>
            </w:pPr>
            <w:r>
              <w:rPr>
                <w:sz w:val="18"/>
              </w:rPr>
              <w:t>政府综合财务报告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67" w:type="dxa"/>
          </w:tcPr>
          <w:p>
            <w:pPr>
              <w:pStyle w:val="14"/>
              <w:spacing w:before="47"/>
              <w:ind w:left="107"/>
              <w:rPr>
                <w:sz w:val="18"/>
              </w:rPr>
            </w:pPr>
            <w:r>
              <w:rPr>
                <w:sz w:val="18"/>
              </w:rPr>
              <w:t>编制主体</w:t>
            </w:r>
          </w:p>
        </w:tc>
        <w:tc>
          <w:tcPr>
            <w:tcW w:w="4915" w:type="dxa"/>
            <w:gridSpan w:val="2"/>
          </w:tcPr>
          <w:p>
            <w:pPr>
              <w:pStyle w:val="14"/>
              <w:spacing w:before="47"/>
              <w:ind w:left="1017"/>
              <w:rPr>
                <w:sz w:val="18"/>
              </w:rPr>
            </w:pPr>
            <w:r>
              <w:rPr>
                <w:sz w:val="18"/>
              </w:rPr>
              <w:t>各级政府财政部门、各部门、各单位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2" w:hRule="atLeast"/>
        </w:trPr>
        <w:tc>
          <w:tcPr>
            <w:tcW w:w="1267" w:type="dxa"/>
          </w:tcPr>
          <w:p>
            <w:pPr>
              <w:pStyle w:val="14"/>
              <w:rPr>
                <w:sz w:val="18"/>
              </w:rPr>
            </w:pPr>
          </w:p>
          <w:p>
            <w:pPr>
              <w:pStyle w:val="14"/>
              <w:spacing w:before="135"/>
              <w:ind w:left="107"/>
              <w:rPr>
                <w:sz w:val="18"/>
              </w:rPr>
            </w:pPr>
            <w:r>
              <w:rPr>
                <w:sz w:val="18"/>
              </w:rPr>
              <w:t>反映的对象</w:t>
            </w:r>
          </w:p>
        </w:tc>
        <w:tc>
          <w:tcPr>
            <w:tcW w:w="2400" w:type="dxa"/>
          </w:tcPr>
          <w:p>
            <w:pPr>
              <w:pStyle w:val="14"/>
              <w:spacing w:before="4"/>
              <w:rPr>
                <w:sz w:val="16"/>
              </w:rPr>
            </w:pPr>
          </w:p>
          <w:p>
            <w:pPr>
              <w:pStyle w:val="14"/>
              <w:spacing w:before="1" w:line="324" w:lineRule="auto"/>
              <w:ind w:left="107" w:right="96"/>
              <w:rPr>
                <w:sz w:val="18"/>
              </w:rPr>
            </w:pPr>
            <w:r>
              <w:rPr>
                <w:sz w:val="18"/>
              </w:rPr>
              <w:t>一级政府年度预算收支执行情况的结果</w:t>
            </w:r>
          </w:p>
        </w:tc>
        <w:tc>
          <w:tcPr>
            <w:tcW w:w="2515" w:type="dxa"/>
          </w:tcPr>
          <w:p>
            <w:pPr>
              <w:pStyle w:val="14"/>
              <w:spacing w:before="4"/>
              <w:rPr>
                <w:sz w:val="16"/>
              </w:rPr>
            </w:pPr>
          </w:p>
          <w:p>
            <w:pPr>
              <w:pStyle w:val="14"/>
              <w:spacing w:before="1" w:line="324" w:lineRule="auto"/>
              <w:ind w:left="107" w:right="37"/>
              <w:rPr>
                <w:sz w:val="18"/>
              </w:rPr>
            </w:pPr>
            <w:r>
              <w:rPr>
                <w:sz w:val="18"/>
              </w:rPr>
              <w:t>一级政府整体财务状况、运行情况和财政中长期可持续性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67" w:type="dxa"/>
          </w:tcPr>
          <w:p>
            <w:pPr>
              <w:pStyle w:val="14"/>
              <w:spacing w:before="49"/>
              <w:ind w:left="107"/>
              <w:rPr>
                <w:sz w:val="18"/>
              </w:rPr>
            </w:pPr>
            <w:r>
              <w:rPr>
                <w:sz w:val="18"/>
              </w:rPr>
              <w:t>编制基础</w:t>
            </w:r>
          </w:p>
        </w:tc>
        <w:tc>
          <w:tcPr>
            <w:tcW w:w="2400" w:type="dxa"/>
          </w:tcPr>
          <w:p>
            <w:pPr>
              <w:pStyle w:val="14"/>
              <w:spacing w:before="49"/>
              <w:ind w:left="178" w:right="171"/>
              <w:jc w:val="center"/>
              <w:rPr>
                <w:sz w:val="18"/>
              </w:rPr>
            </w:pPr>
            <w:r>
              <w:rPr>
                <w:sz w:val="18"/>
              </w:rPr>
              <w:t>收付实现制</w:t>
            </w:r>
          </w:p>
        </w:tc>
        <w:tc>
          <w:tcPr>
            <w:tcW w:w="2515" w:type="dxa"/>
          </w:tcPr>
          <w:p>
            <w:pPr>
              <w:pStyle w:val="14"/>
              <w:spacing w:before="49"/>
              <w:ind w:left="246" w:right="239"/>
              <w:jc w:val="center"/>
              <w:rPr>
                <w:sz w:val="18"/>
              </w:rPr>
            </w:pPr>
            <w:r>
              <w:rPr>
                <w:sz w:val="18"/>
              </w:rPr>
              <w:t>权责发生制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 w:hRule="atLeast"/>
        </w:trPr>
        <w:tc>
          <w:tcPr>
            <w:tcW w:w="1267" w:type="dxa"/>
          </w:tcPr>
          <w:p>
            <w:pPr>
              <w:pStyle w:val="14"/>
              <w:spacing w:before="48"/>
              <w:ind w:left="107"/>
              <w:rPr>
                <w:sz w:val="18"/>
              </w:rPr>
            </w:pPr>
            <w:r>
              <w:rPr>
                <w:sz w:val="18"/>
              </w:rPr>
              <w:t>数据来源</w:t>
            </w:r>
          </w:p>
        </w:tc>
        <w:tc>
          <w:tcPr>
            <w:tcW w:w="2400" w:type="dxa"/>
          </w:tcPr>
          <w:p>
            <w:pPr>
              <w:pStyle w:val="14"/>
              <w:spacing w:before="48"/>
              <w:ind w:left="178" w:right="171"/>
              <w:jc w:val="center"/>
              <w:rPr>
                <w:sz w:val="18"/>
              </w:rPr>
            </w:pPr>
            <w:r>
              <w:rPr>
                <w:sz w:val="18"/>
              </w:rPr>
              <w:t>预算会计核算生成的数据</w:t>
            </w:r>
          </w:p>
        </w:tc>
        <w:tc>
          <w:tcPr>
            <w:tcW w:w="2515" w:type="dxa"/>
          </w:tcPr>
          <w:p>
            <w:pPr>
              <w:pStyle w:val="14"/>
              <w:spacing w:before="48"/>
              <w:ind w:left="246" w:right="239"/>
              <w:jc w:val="center"/>
              <w:rPr>
                <w:sz w:val="18"/>
              </w:rPr>
            </w:pPr>
            <w:r>
              <w:rPr>
                <w:sz w:val="18"/>
              </w:rPr>
              <w:t>财务会计核算生成的数据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267" w:type="dxa"/>
          </w:tcPr>
          <w:p>
            <w:pPr>
              <w:pStyle w:val="14"/>
              <w:spacing w:before="47"/>
              <w:ind w:left="107"/>
              <w:rPr>
                <w:sz w:val="18"/>
              </w:rPr>
            </w:pPr>
            <w:r>
              <w:rPr>
                <w:sz w:val="18"/>
              </w:rPr>
              <w:t>编制方法</w:t>
            </w:r>
          </w:p>
        </w:tc>
        <w:tc>
          <w:tcPr>
            <w:tcW w:w="2400" w:type="dxa"/>
          </w:tcPr>
          <w:p>
            <w:pPr>
              <w:pStyle w:val="14"/>
              <w:spacing w:before="47"/>
              <w:ind w:left="178" w:right="169"/>
              <w:jc w:val="center"/>
              <w:rPr>
                <w:sz w:val="18"/>
              </w:rPr>
            </w:pPr>
            <w:r>
              <w:rPr>
                <w:sz w:val="18"/>
              </w:rPr>
              <w:t>汇总</w:t>
            </w:r>
          </w:p>
        </w:tc>
        <w:tc>
          <w:tcPr>
            <w:tcW w:w="2515" w:type="dxa"/>
          </w:tcPr>
          <w:p>
            <w:pPr>
              <w:pStyle w:val="14"/>
              <w:spacing w:before="47"/>
              <w:ind w:left="246" w:right="237"/>
              <w:jc w:val="center"/>
              <w:rPr>
                <w:sz w:val="18"/>
              </w:rPr>
            </w:pPr>
            <w:r>
              <w:rPr>
                <w:sz w:val="18"/>
              </w:rPr>
              <w:t>合并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4" w:hRule="atLeast"/>
        </w:trPr>
        <w:tc>
          <w:tcPr>
            <w:tcW w:w="1267" w:type="dxa"/>
          </w:tcPr>
          <w:p>
            <w:pPr>
              <w:pStyle w:val="14"/>
              <w:spacing w:before="6"/>
              <w:rPr>
                <w:sz w:val="16"/>
              </w:rPr>
            </w:pPr>
          </w:p>
          <w:p>
            <w:pPr>
              <w:pStyle w:val="14"/>
              <w:ind w:left="107"/>
              <w:rPr>
                <w:sz w:val="18"/>
              </w:rPr>
            </w:pPr>
            <w:r>
              <w:rPr>
                <w:sz w:val="18"/>
              </w:rPr>
              <w:t>报送要求</w:t>
            </w:r>
          </w:p>
        </w:tc>
        <w:tc>
          <w:tcPr>
            <w:tcW w:w="2400" w:type="dxa"/>
          </w:tcPr>
          <w:p>
            <w:pPr>
              <w:pStyle w:val="14"/>
              <w:spacing w:before="55"/>
              <w:ind w:left="107"/>
              <w:rPr>
                <w:sz w:val="18"/>
              </w:rPr>
            </w:pPr>
            <w:r>
              <w:rPr>
                <w:sz w:val="18"/>
              </w:rPr>
              <w:t>本级人民代表大会常务委员</w:t>
            </w:r>
          </w:p>
          <w:p>
            <w:pPr>
              <w:pStyle w:val="14"/>
              <w:spacing w:before="82"/>
              <w:ind w:left="107"/>
              <w:rPr>
                <w:sz w:val="18"/>
              </w:rPr>
            </w:pPr>
            <w:r>
              <w:rPr>
                <w:sz w:val="18"/>
              </w:rPr>
              <w:t>会审查和批准</w:t>
            </w:r>
          </w:p>
        </w:tc>
        <w:tc>
          <w:tcPr>
            <w:tcW w:w="2515" w:type="dxa"/>
          </w:tcPr>
          <w:p>
            <w:pPr>
              <w:pStyle w:val="14"/>
              <w:spacing w:before="55"/>
              <w:ind w:left="107"/>
              <w:rPr>
                <w:sz w:val="18"/>
              </w:rPr>
            </w:pPr>
            <w:r>
              <w:rPr>
                <w:sz w:val="18"/>
              </w:rPr>
              <w:t>本级人民代表大会常务委员</w:t>
            </w:r>
          </w:p>
          <w:p>
            <w:pPr>
              <w:pStyle w:val="14"/>
              <w:spacing w:before="82"/>
              <w:ind w:left="107"/>
              <w:rPr>
                <w:sz w:val="18"/>
              </w:rPr>
            </w:pPr>
            <w:r>
              <w:rPr>
                <w:sz w:val="18"/>
              </w:rPr>
              <w:t>会备案</w:t>
            </w:r>
          </w:p>
        </w:tc>
      </w:tr>
    </w:tbl>
    <w:p>
      <w:pPr>
        <w:pStyle w:val="6"/>
        <w:spacing w:before="0"/>
        <w:ind w:left="0"/>
      </w:pPr>
    </w:p>
    <w:p>
      <w:pPr>
        <w:pStyle w:val="6"/>
        <w:spacing w:before="2"/>
        <w:ind w:left="0"/>
        <w:rPr>
          <w:sz w:val="22"/>
        </w:rPr>
      </w:pPr>
    </w:p>
    <w:p>
      <w:pPr>
        <w:spacing w:before="0"/>
        <w:ind w:left="742" w:right="0" w:firstLine="0"/>
        <w:jc w:val="left"/>
        <w:rPr>
          <w:b/>
          <w:sz w:val="21"/>
        </w:rPr>
      </w:pPr>
      <w:bookmarkStart w:id="172" w:name="四、政府会计核算模式"/>
      <w:bookmarkEnd w:id="172"/>
      <w:r>
        <w:rPr>
          <w:b/>
          <w:sz w:val="21"/>
          <w:shd w:val="clear" w:color="auto" w:fill="C0C0C0"/>
        </w:rPr>
        <w:t>四、政府会计核算模式</w:t>
      </w:r>
    </w:p>
    <w:p>
      <w:pPr>
        <w:pStyle w:val="5"/>
        <w:spacing w:before="91" w:line="304" w:lineRule="auto"/>
        <w:ind w:right="6849"/>
      </w:pPr>
      <w:r>
        <w:t>（一）预算会计与财务会计适度分离1.双功能</w:t>
      </w:r>
    </w:p>
    <w:p>
      <w:pPr>
        <w:pStyle w:val="6"/>
        <w:spacing w:before="2"/>
      </w:pPr>
      <w:r>
        <w:t>政府会计由</w:t>
      </w:r>
      <w:r>
        <w:rPr>
          <w:color w:val="FF0000"/>
          <w:u w:val="double" w:color="FF0000"/>
        </w:rPr>
        <w:t>预算会计和财务会计</w:t>
      </w:r>
      <w:r>
        <w:t>构成。</w:t>
      </w:r>
    </w:p>
    <w:p>
      <w:pPr>
        <w:pStyle w:val="6"/>
        <w:spacing w:before="68" w:line="304" w:lineRule="auto"/>
        <w:ind w:left="322" w:right="664" w:firstLine="400"/>
      </w:pPr>
      <w:r>
        <w:t>①预算会计通过预算收入、预算支出与预算结余三个要素，对政府会计主体预算执行过程中发生的全部预算收入和全部预算支出进行会计核算，主要反映和监督预算收支执行情况。</w:t>
      </w:r>
    </w:p>
    <w:p>
      <w:pPr>
        <w:pStyle w:val="6"/>
        <w:spacing w:before="2" w:line="304" w:lineRule="auto"/>
        <w:ind w:left="322" w:right="722" w:firstLine="400"/>
      </w:pPr>
      <w:r>
        <w:rPr>
          <w:spacing w:val="-5"/>
          <w:w w:val="95"/>
        </w:rPr>
        <w:t xml:space="preserve">②财务会计通过资产、负债、净资产、收入和费用五个要素，对政府会计主体发生的各项经济业务或者事项   </w:t>
      </w:r>
      <w:r>
        <w:rPr>
          <w:spacing w:val="-5"/>
        </w:rPr>
        <w:t>进行会计核算，主要反映和监督政府会计主体财务状况、运行情况和现金流量等。</w:t>
      </w:r>
    </w:p>
    <w:p>
      <w:pPr>
        <w:pStyle w:val="5"/>
        <w:spacing w:before="2"/>
      </w:pPr>
      <w:r>
        <w:rPr>
          <w:w w:val="95"/>
        </w:rPr>
        <w:t>2.双基础</w:t>
      </w:r>
    </w:p>
    <w:p>
      <w:pPr>
        <w:spacing w:before="70" w:line="302" w:lineRule="auto"/>
        <w:ind w:left="723" w:right="2457" w:firstLine="0"/>
        <w:jc w:val="left"/>
        <w:rPr>
          <w:b/>
          <w:sz w:val="20"/>
        </w:rPr>
      </w:pPr>
      <w:r>
        <mc:AlternateContent>
          <mc:Choice Requires="wps">
            <w:drawing>
              <wp:anchor distT="0" distB="0" distL="114300" distR="114300" simplePos="0" relativeHeight="482523136" behindDoc="1" locked="0" layoutInCell="1" allowOverlap="1">
                <wp:simplePos x="0" y="0"/>
                <wp:positionH relativeFrom="page">
                  <wp:posOffset>941705</wp:posOffset>
                </wp:positionH>
                <wp:positionV relativeFrom="paragraph">
                  <wp:posOffset>181610</wp:posOffset>
                </wp:positionV>
                <wp:extent cx="502920" cy="5715"/>
                <wp:effectExtent l="0" t="0" r="0" b="0"/>
                <wp:wrapNone/>
                <wp:docPr id="343" name="任意多边形 302"/>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2" o:spid="_x0000_s1026" o:spt="100" style="position:absolute;left:0pt;margin-left:74.15pt;margin-top:14.3pt;height:0.45pt;width:39.6pt;mso-position-horizontal-relative:page;z-index:-20793344;mso-width-relative:page;mso-height-relative:page;" filled="f" stroked="t" coordsize="792,9" o:gfxdata="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TH4GldcAAAAJAQAADwAAAAAAAAABACAAAAAi&#10;AAAAZHJzL2Rvd25yZXYueG1sUEsBAhQAFAAAAAgAh07iQB2rOL3vAgAAmwoAAA4AAAAAAAAAAQAg&#10;AAAAJg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mc:AlternateContent>
          <mc:Choice Requires="wps">
            <w:drawing>
              <wp:anchor distT="0" distB="0" distL="114300" distR="114300" simplePos="0" relativeHeight="482523136" behindDoc="1" locked="0" layoutInCell="1" allowOverlap="1">
                <wp:simplePos x="0" y="0"/>
                <wp:positionH relativeFrom="page">
                  <wp:posOffset>4244975</wp:posOffset>
                </wp:positionH>
                <wp:positionV relativeFrom="paragraph">
                  <wp:posOffset>181610</wp:posOffset>
                </wp:positionV>
                <wp:extent cx="502920" cy="5715"/>
                <wp:effectExtent l="0" t="0" r="0" b="0"/>
                <wp:wrapNone/>
                <wp:docPr id="344" name="任意多边形 303"/>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3" o:spid="_x0000_s1026" o:spt="100" style="position:absolute;left:0pt;margin-left:334.25pt;margin-top:14.3pt;height:0.45pt;width:39.6pt;mso-position-horizontal-relative:page;z-index:-20793344;mso-width-relative:page;mso-height-relative:page;" filled="f" stroked="t" coordsize="792,9" o:gfxdata="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b2fh0tgAAAAJAQAADwAAAAAAAAABACAAAAAi&#10;AAAAZHJzL2Rvd25yZXYueG1sUEsBAhQAFAAAAAgAh07iQB9f6ibuAgAAmwoAAA4AAAAAAAAAAQAg&#10;AAAAJwEAAGRycy9lMm9Eb2MueG1sUEsFBgAAAAAGAAYAWQEAAIcGA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color w:val="00AFEF"/>
          <w:w w:val="95"/>
          <w:sz w:val="20"/>
        </w:rPr>
        <w:t>预算会计</w:t>
      </w:r>
      <w:r>
        <w:rPr>
          <w:w w:val="95"/>
          <w:sz w:val="20"/>
        </w:rPr>
        <w:t>实行收付实现制，国务院另有规定的，从其规定；</w:t>
      </w:r>
      <w:r>
        <w:rPr>
          <w:b/>
          <w:color w:val="00AFEF"/>
          <w:w w:val="95"/>
          <w:sz w:val="20"/>
        </w:rPr>
        <w:t>财务会计</w:t>
      </w:r>
      <w:r>
        <w:rPr>
          <w:w w:val="95"/>
          <w:sz w:val="20"/>
        </w:rPr>
        <w:t xml:space="preserve">实行权责发生制。  </w:t>
      </w:r>
      <w:r>
        <w:rPr>
          <w:b/>
          <w:sz w:val="20"/>
        </w:rPr>
        <w:t>3.双报告</w:t>
      </w:r>
    </w:p>
    <w:p>
      <w:pPr>
        <w:pStyle w:val="6"/>
        <w:spacing w:before="4"/>
      </w:pPr>
      <w:r>
        <w:t>政府会计主体应当</w:t>
      </w:r>
      <w:r>
        <w:rPr>
          <w:color w:val="FF0000"/>
          <w:u w:val="double" w:color="FF0000"/>
        </w:rPr>
        <w:t>编制决算报告和财务报告。</w:t>
      </w:r>
    </w:p>
    <w:p>
      <w:pPr>
        <w:pStyle w:val="6"/>
        <w:spacing w:before="71"/>
      </w:pPr>
      <w:r>
        <w:rPr>
          <w:w w:val="95"/>
        </w:rPr>
        <w:t>①政府决算报告的编制主要以收付实现制为基础，以预算会计核算生成的数据为准。</w:t>
      </w:r>
    </w:p>
    <w:p>
      <w:pPr>
        <w:pStyle w:val="6"/>
      </w:pPr>
      <w:r>
        <w:rPr>
          <w:w w:val="95"/>
        </w:rPr>
        <w:t>②政府财务报告的编制主要以权责发生制为基础，以财务会计核算生成的数据为准。</w:t>
      </w:r>
    </w:p>
    <w:p>
      <w:pPr>
        <w:pStyle w:val="5"/>
      </w:pPr>
      <w:r>
        <w:t>（二）预算会计与财务会计适度相互衔接</w:t>
      </w:r>
    </w:p>
    <w:p>
      <w:pPr>
        <w:pStyle w:val="6"/>
        <w:spacing w:line="304" w:lineRule="auto"/>
        <w:ind w:left="322" w:right="722" w:firstLine="400"/>
        <w:jc w:val="both"/>
      </w:pPr>
      <w:r>
        <w:rPr>
          <w:spacing w:val="-6"/>
          <w:w w:val="95"/>
        </w:rPr>
        <w:t xml:space="preserve">适度分离，并不是要求政府会计主体分别建立预算会计和财务会计两套账，对同一笔经济业务或事项进行会   </w:t>
      </w:r>
      <w:r>
        <w:rPr>
          <w:spacing w:val="-8"/>
          <w:w w:val="95"/>
        </w:rPr>
        <w:t xml:space="preserve">计核算，而是要求政府预算会计要素和财务会计要素相互协调，决算报告和财务报告相互补充，共同反映政府会    </w:t>
      </w:r>
      <w:r>
        <w:rPr>
          <w:spacing w:val="-8"/>
        </w:rPr>
        <w:t>计主体的预算执行信息和财务信息。</w:t>
      </w:r>
    </w:p>
    <w:p>
      <w:pPr>
        <w:spacing w:after="0" w:line="304" w:lineRule="auto"/>
        <w:jc w:val="both"/>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647" w:firstLine="400"/>
      </w:pPr>
      <w:r>
        <w:rPr>
          <w:w w:val="95"/>
        </w:rPr>
        <w:t xml:space="preserve">如对于纳入部门预算管理的现金收支业务，在采用财务会计核算的同时应当进行预算会计核算；对于其他业   </w:t>
      </w:r>
      <w:r>
        <w:t>务，仅需进行财务会计核算。</w:t>
      </w:r>
    </w:p>
    <w:p>
      <w:pPr>
        <w:pStyle w:val="6"/>
        <w:spacing w:before="1"/>
        <w:ind w:left="0"/>
        <w:rPr>
          <w:sz w:val="26"/>
        </w:rPr>
      </w:pPr>
    </w:p>
    <w:p>
      <w:pPr>
        <w:pStyle w:val="3"/>
        <w:tabs>
          <w:tab w:val="left" w:pos="839"/>
        </w:tabs>
        <w:spacing w:before="44"/>
        <w:ind w:left="0" w:right="402"/>
        <w:jc w:val="center"/>
        <w:rPr>
          <w:rFonts w:hint="eastAsia" w:ascii="微软雅黑" w:eastAsia="微软雅黑"/>
        </w:rPr>
      </w:pPr>
      <w:bookmarkStart w:id="173" w:name="_bookmark40"/>
      <w:bookmarkEnd w:id="173"/>
      <w:bookmarkStart w:id="174" w:name="第二节　政府单位会计核算"/>
      <w:bookmarkEnd w:id="174"/>
      <w:r>
        <w:rPr>
          <w:rFonts w:hint="eastAsia" w:ascii="微软雅黑" w:eastAsia="微软雅黑"/>
          <w:shd w:val="clear" w:color="auto" w:fill="FFFF00"/>
        </w:rPr>
        <w:t>第二节</w:t>
      </w:r>
      <w:r>
        <w:rPr>
          <w:rFonts w:hint="eastAsia" w:ascii="微软雅黑" w:eastAsia="微软雅黑"/>
          <w:shd w:val="clear" w:color="auto" w:fill="FFFF00"/>
        </w:rPr>
        <w:tab/>
      </w:r>
      <w:r>
        <w:rPr>
          <w:rFonts w:hint="eastAsia" w:ascii="微软雅黑" w:eastAsia="微软雅黑"/>
          <w:shd w:val="clear" w:color="auto" w:fill="FFFF00"/>
        </w:rPr>
        <w:t>政府单位会计核算</w:t>
      </w:r>
    </w:p>
    <w:p>
      <w:pPr>
        <w:pStyle w:val="3"/>
        <w:spacing w:before="139"/>
      </w:pPr>
      <w:bookmarkStart w:id="175" w:name="一、单位会计核算概述"/>
      <w:bookmarkEnd w:id="175"/>
      <w:r>
        <w:rPr>
          <w:shd w:val="clear" w:color="auto" w:fill="C0C0C0"/>
        </w:rPr>
        <w:t>一、单位会计核算概述</w:t>
      </w:r>
    </w:p>
    <w:p>
      <w:pPr>
        <w:pStyle w:val="13"/>
        <w:numPr>
          <w:ilvl w:val="0"/>
          <w:numId w:val="135"/>
        </w:numPr>
        <w:tabs>
          <w:tab w:val="left" w:pos="925"/>
        </w:tabs>
        <w:spacing w:before="91" w:after="0" w:line="304" w:lineRule="auto"/>
        <w:ind w:left="322" w:right="722" w:firstLine="400"/>
        <w:jc w:val="left"/>
        <w:rPr>
          <w:sz w:val="20"/>
        </w:rPr>
      </w:pPr>
      <w:r>
        <w:rPr>
          <w:spacing w:val="-3"/>
          <w:w w:val="95"/>
          <w:sz w:val="20"/>
        </w:rPr>
        <w:t xml:space="preserve">单位财务会计的原理和方法与企业会计基本一致，但与企业会计不同的是，单位会计核算应当具备财务会   </w:t>
      </w:r>
      <w:r>
        <w:rPr>
          <w:spacing w:val="-3"/>
          <w:sz w:val="20"/>
        </w:rPr>
        <w:t>计与预算会计双重功能。</w:t>
      </w:r>
    </w:p>
    <w:p>
      <w:pPr>
        <w:pStyle w:val="13"/>
        <w:numPr>
          <w:ilvl w:val="0"/>
          <w:numId w:val="135"/>
        </w:numPr>
        <w:tabs>
          <w:tab w:val="left" w:pos="925"/>
        </w:tabs>
        <w:spacing w:before="0" w:after="0" w:line="304" w:lineRule="auto"/>
        <w:ind w:left="322" w:right="720" w:firstLine="400"/>
        <w:jc w:val="both"/>
        <w:rPr>
          <w:sz w:val="20"/>
        </w:rPr>
      </w:pPr>
      <w:r>
        <w:rPr>
          <w:w w:val="95"/>
          <w:sz w:val="20"/>
        </w:rPr>
        <w:t>单位财务会计通过</w:t>
      </w:r>
      <w:r>
        <w:rPr>
          <w:color w:val="FF0000"/>
          <w:spacing w:val="-6"/>
          <w:w w:val="95"/>
          <w:sz w:val="20"/>
          <w:u w:val="double" w:color="FF0000"/>
        </w:rPr>
        <w:t>资产、负债、净资产、收入、费用</w:t>
      </w:r>
      <w:r>
        <w:rPr>
          <w:spacing w:val="-3"/>
          <w:w w:val="95"/>
          <w:sz w:val="20"/>
        </w:rPr>
        <w:t xml:space="preserve">五个要素，全面反映单位财务状况、运行情况和现金   </w:t>
      </w:r>
      <w:r>
        <w:rPr>
          <w:spacing w:val="-8"/>
          <w:w w:val="95"/>
          <w:sz w:val="20"/>
        </w:rPr>
        <w:t xml:space="preserve">流量情况；反映单位财务状况的等式为资产-负债=净资产；反映运行情况的等式为收入-费用=本期盈余，本期盈    </w:t>
      </w:r>
      <w:r>
        <w:rPr>
          <w:spacing w:val="-8"/>
          <w:sz w:val="20"/>
        </w:rPr>
        <w:t>余经分配后最终转入净资产；财务会计实行权责发生制。</w:t>
      </w:r>
    </w:p>
    <w:p>
      <w:pPr>
        <w:pStyle w:val="13"/>
        <w:numPr>
          <w:ilvl w:val="0"/>
          <w:numId w:val="135"/>
        </w:numPr>
        <w:tabs>
          <w:tab w:val="left" w:pos="925"/>
        </w:tabs>
        <w:spacing w:before="2" w:after="0" w:line="304" w:lineRule="auto"/>
        <w:ind w:left="322" w:right="722" w:firstLine="400"/>
        <w:jc w:val="left"/>
        <w:rPr>
          <w:sz w:val="20"/>
        </w:rPr>
      </w:pPr>
      <w:r>
        <w:rPr>
          <w:spacing w:val="-4"/>
          <w:w w:val="95"/>
          <w:sz w:val="20"/>
        </w:rPr>
        <w:t xml:space="preserve">单位预算会计通过预算收入、预算支出和预算结余三个要素，全面反映单位预算收入执行情况；预算会计   </w:t>
      </w:r>
      <w:r>
        <w:rPr>
          <w:spacing w:val="-4"/>
          <w:sz w:val="20"/>
        </w:rPr>
        <w:t>恒等式为预算收入-预算支出=预算结余；单位预算会计采用收付实现制。</w:t>
      </w:r>
    </w:p>
    <w:p>
      <w:pPr>
        <w:pStyle w:val="13"/>
        <w:numPr>
          <w:ilvl w:val="0"/>
          <w:numId w:val="135"/>
        </w:numPr>
        <w:tabs>
          <w:tab w:val="left" w:pos="925"/>
        </w:tabs>
        <w:spacing w:before="2" w:after="0" w:line="302" w:lineRule="auto"/>
        <w:ind w:left="322" w:right="720" w:firstLine="400"/>
        <w:jc w:val="left"/>
        <w:rPr>
          <w:sz w:val="20"/>
        </w:rPr>
      </w:pPr>
      <w:r>
        <w:rPr>
          <w:spacing w:val="-3"/>
          <w:w w:val="95"/>
          <w:sz w:val="20"/>
        </w:rPr>
        <w:t xml:space="preserve">单位对于纳入部门预算管理的现金收支业务，在采用财务会计核算的同时应当进行预算会计核算；对于其   </w:t>
      </w:r>
      <w:r>
        <w:rPr>
          <w:spacing w:val="-3"/>
          <w:sz w:val="20"/>
        </w:rPr>
        <w:t>他业务，仅需进行财务会计核算。</w:t>
      </w:r>
    </w:p>
    <w:p>
      <w:pPr>
        <w:pStyle w:val="13"/>
        <w:numPr>
          <w:ilvl w:val="0"/>
          <w:numId w:val="135"/>
        </w:numPr>
        <w:tabs>
          <w:tab w:val="left" w:pos="925"/>
        </w:tabs>
        <w:spacing w:before="5" w:after="0" w:line="304" w:lineRule="auto"/>
        <w:ind w:left="322" w:right="722" w:firstLine="400"/>
        <w:jc w:val="left"/>
        <w:rPr>
          <w:sz w:val="20"/>
        </w:rPr>
      </w:pPr>
      <w:r>
        <w:rPr>
          <w:spacing w:val="-2"/>
          <w:w w:val="95"/>
          <w:sz w:val="20"/>
        </w:rPr>
        <w:t xml:space="preserve">单位财务会计核算中关于应交增值税的会计处理与企业会计基本相同，但是在预算会计处理中，预算收入   </w:t>
      </w:r>
      <w:r>
        <w:rPr>
          <w:spacing w:val="-2"/>
          <w:sz w:val="20"/>
        </w:rPr>
        <w:t>和预算支出包含了销项稅额和进项税额，实际缴纳增值税时计入预算支岀。</w:t>
      </w:r>
    </w:p>
    <w:p>
      <w:pPr>
        <w:spacing w:before="0" w:line="223" w:lineRule="exact"/>
        <w:ind w:left="742" w:right="0" w:firstLine="0"/>
        <w:jc w:val="left"/>
        <w:rPr>
          <w:b/>
          <w:sz w:val="21"/>
        </w:rPr>
      </w:pPr>
      <w:bookmarkStart w:id="176" w:name="二、国库集中支付业务"/>
      <w:bookmarkEnd w:id="176"/>
      <w:r>
        <w:rPr>
          <w:b/>
          <w:sz w:val="21"/>
          <w:shd w:val="clear" w:color="auto" w:fill="C0C0C0"/>
        </w:rPr>
        <w:t>二、国库集中支付业务</w:t>
      </w:r>
    </w:p>
    <w:p>
      <w:pPr>
        <w:pStyle w:val="5"/>
        <w:spacing w:before="91" w:line="304" w:lineRule="auto"/>
        <w:ind w:left="322" w:right="722" w:firstLine="400"/>
        <w:rPr>
          <w:b w:val="0"/>
        </w:rPr>
      </w:pPr>
      <w:r>
        <mc:AlternateContent>
          <mc:Choice Requires="wps">
            <w:drawing>
              <wp:anchor distT="0" distB="0" distL="114300" distR="114300" simplePos="0" relativeHeight="482524160" behindDoc="1" locked="0" layoutInCell="1" allowOverlap="1">
                <wp:simplePos x="0" y="0"/>
                <wp:positionH relativeFrom="page">
                  <wp:posOffset>6362065</wp:posOffset>
                </wp:positionH>
                <wp:positionV relativeFrom="paragraph">
                  <wp:posOffset>195580</wp:posOffset>
                </wp:positionV>
                <wp:extent cx="502920" cy="5715"/>
                <wp:effectExtent l="0" t="0" r="0" b="0"/>
                <wp:wrapNone/>
                <wp:docPr id="345" name="任意多边形 304"/>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4" o:spid="_x0000_s1026" o:spt="100" style="position:absolute;left:0pt;margin-left:500.95pt;margin-top:15.4pt;height:0.45pt;width:39.6pt;mso-position-horizontal-relative:page;z-index:-20792320;mso-width-relative:page;mso-height-relative:page;" filled="f" stroked="t" coordsize="792,9" o:gfxdata="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B50hr7XAAAACwEAAA8AAAAAAAAAAQAgAAAA&#10;IgAAAGRycy9kb3ducmV2LnhtbFBLAQIUABQAAAAIAIdO4kCVIovx8AIAAJsKAAAOAAAAAAAAAAEA&#10;IAAAACYBAABkcnMvZTJvRG9jLnhtbFBLBQYAAAAABgAGAFkBAACIBg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rPr>
          <w:b w:val="0"/>
          <w:w w:val="95"/>
        </w:rPr>
        <w:t>国库集中收付是指以</w:t>
      </w:r>
      <w:r>
        <w:rPr>
          <w:color w:val="00AFEF"/>
          <w:spacing w:val="-4"/>
          <w:w w:val="95"/>
          <w:u w:val="single" w:color="00AFEF"/>
        </w:rPr>
        <w:t>国库单一账户体系为基础，将所有财政性资金都纳入国库单一账户体系管理</w:t>
      </w:r>
      <w:r>
        <w:rPr>
          <w:b w:val="0"/>
          <w:spacing w:val="-43"/>
          <w:w w:val="95"/>
        </w:rPr>
        <w:t>，</w:t>
      </w:r>
      <w:r>
        <w:rPr>
          <w:color w:val="00AFEF"/>
          <w:w w:val="95"/>
        </w:rPr>
        <w:t xml:space="preserve">收入直接   </w:t>
      </w:r>
      <w:r>
        <w:rPr>
          <w:color w:val="00AFEF"/>
          <w:u w:val="single" w:color="00AFEF"/>
        </w:rPr>
        <w:t>缴入国库和财政专户</w:t>
      </w:r>
      <w:r>
        <w:rPr>
          <w:b w:val="0"/>
        </w:rPr>
        <w:t>，</w:t>
      </w:r>
      <w:r>
        <w:rPr>
          <w:color w:val="00AFEF"/>
          <w:u w:val="single" w:color="00AFEF"/>
        </w:rPr>
        <w:t>支出通过国库单一账户体系支付到商品和劳务供应者或用款单位的一项国库管理制度</w:t>
      </w:r>
      <w:r>
        <w:rPr>
          <w:b w:val="0"/>
        </w:rPr>
        <w:t>。</w:t>
      </w:r>
    </w:p>
    <w:p>
      <w:pPr>
        <w:pStyle w:val="6"/>
        <w:spacing w:before="2"/>
      </w:pPr>
      <w:r>
        <w:t>实行国库集中交付的单位，财政资金的支付方式包括财政直接支付和财政授权支付。</w:t>
      </w:r>
    </w:p>
    <w:p>
      <w:pPr>
        <w:pStyle w:val="5"/>
        <w:spacing w:before="68"/>
      </w:pPr>
      <w:r>
        <w:rPr>
          <w:w w:val="95"/>
        </w:rPr>
        <w:t>（一）财政直接支付</w:t>
      </w:r>
    </w:p>
    <w:p>
      <w:pPr>
        <w:pStyle w:val="6"/>
        <w:spacing w:before="11"/>
        <w:ind w:left="0"/>
        <w:rPr>
          <w:b/>
          <w:sz w:val="15"/>
        </w:rPr>
      </w:pPr>
      <w:r>
        <w:drawing>
          <wp:anchor distT="0" distB="0" distL="0" distR="0" simplePos="0" relativeHeight="1024" behindDoc="0" locked="0" layoutInCell="1" allowOverlap="1">
            <wp:simplePos x="0" y="0"/>
            <wp:positionH relativeFrom="page">
              <wp:posOffset>1790700</wp:posOffset>
            </wp:positionH>
            <wp:positionV relativeFrom="paragraph">
              <wp:posOffset>153670</wp:posOffset>
            </wp:positionV>
            <wp:extent cx="2616835" cy="1233170"/>
            <wp:effectExtent l="0" t="0" r="0" b="0"/>
            <wp:wrapTopAndBottom/>
            <wp:docPr id="11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8.png"/>
                    <pic:cNvPicPr>
                      <a:picLocks noChangeAspect="1"/>
                    </pic:cNvPicPr>
                  </pic:nvPicPr>
                  <pic:blipFill>
                    <a:blip r:embed="rId66" cstate="print"/>
                    <a:stretch>
                      <a:fillRect/>
                    </a:stretch>
                  </pic:blipFill>
                  <pic:spPr>
                    <a:xfrm>
                      <a:off x="0" y="0"/>
                      <a:ext cx="2616766" cy="1233297"/>
                    </a:xfrm>
                    <a:prstGeom prst="rect">
                      <a:avLst/>
                    </a:prstGeom>
                  </pic:spPr>
                </pic:pic>
              </a:graphicData>
            </a:graphic>
          </wp:anchor>
        </w:drawing>
      </w:r>
    </w:p>
    <w:p>
      <w:pPr>
        <w:pStyle w:val="6"/>
        <w:spacing w:before="0"/>
        <w:ind w:left="0"/>
        <w:rPr>
          <w:b/>
        </w:rPr>
      </w:pPr>
    </w:p>
    <w:p>
      <w:pPr>
        <w:pStyle w:val="6"/>
        <w:spacing w:before="4"/>
        <w:ind w:left="0"/>
        <w:rPr>
          <w:b/>
          <w:sz w:val="16"/>
        </w:rPr>
      </w:pPr>
    </w:p>
    <w:p>
      <w:pPr>
        <w:pStyle w:val="5"/>
        <w:spacing w:before="0"/>
      </w:pPr>
      <w:r>
        <w:rPr>
          <w:w w:val="95"/>
        </w:rPr>
        <w:t>（二）授权支付方式</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10"/>
        <w:gridCol w:w="2986"/>
        <w:gridCol w:w="33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3810" w:type="dxa"/>
          </w:tcPr>
          <w:p>
            <w:pPr>
              <w:pStyle w:val="14"/>
              <w:rPr>
                <w:rFonts w:ascii="Times New Roman"/>
                <w:sz w:val="18"/>
              </w:rPr>
            </w:pPr>
          </w:p>
        </w:tc>
        <w:tc>
          <w:tcPr>
            <w:tcW w:w="2986" w:type="dxa"/>
          </w:tcPr>
          <w:p>
            <w:pPr>
              <w:pStyle w:val="14"/>
              <w:spacing w:before="69" w:line="237" w:lineRule="exact"/>
              <w:ind w:left="1071" w:right="1064"/>
              <w:jc w:val="center"/>
              <w:rPr>
                <w:sz w:val="20"/>
              </w:rPr>
            </w:pPr>
            <w:r>
              <w:rPr>
                <w:sz w:val="20"/>
              </w:rPr>
              <w:t>财务会计</w:t>
            </w:r>
          </w:p>
        </w:tc>
        <w:tc>
          <w:tcPr>
            <w:tcW w:w="3398" w:type="dxa"/>
          </w:tcPr>
          <w:p>
            <w:pPr>
              <w:pStyle w:val="14"/>
              <w:spacing w:before="69" w:line="237" w:lineRule="exact"/>
              <w:ind w:left="1277" w:right="1270"/>
              <w:jc w:val="center"/>
              <w:rPr>
                <w:sz w:val="20"/>
              </w:rPr>
            </w:pPr>
            <w:r>
              <w:rPr>
                <w:sz w:val="20"/>
              </w:rPr>
              <w:t>预算会计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810" w:type="dxa"/>
          </w:tcPr>
          <w:p>
            <w:pPr>
              <w:pStyle w:val="14"/>
              <w:spacing w:before="8" w:line="326" w:lineRule="exact"/>
              <w:ind w:left="107" w:right="55"/>
              <w:rPr>
                <w:sz w:val="20"/>
              </w:rPr>
            </w:pPr>
            <w:r>
              <w:rPr>
                <w:sz w:val="20"/>
              </w:rPr>
              <w:t>1.收到授权支付到账通知书后，根据通知书所列数额</w:t>
            </w:r>
          </w:p>
        </w:tc>
        <w:tc>
          <w:tcPr>
            <w:tcW w:w="2986" w:type="dxa"/>
          </w:tcPr>
          <w:p>
            <w:pPr>
              <w:pStyle w:val="14"/>
              <w:spacing w:before="8" w:line="326" w:lineRule="exact"/>
              <w:ind w:left="506" w:right="667" w:hanging="399"/>
              <w:rPr>
                <w:sz w:val="20"/>
              </w:rPr>
            </w:pPr>
            <w:r>
              <w:rPr>
                <w:sz w:val="20"/>
              </w:rPr>
              <w:t>借：零余额账户用款额度贷：财政拨款收入</w:t>
            </w:r>
          </w:p>
        </w:tc>
        <w:tc>
          <w:tcPr>
            <w:tcW w:w="3398" w:type="dxa"/>
          </w:tcPr>
          <w:p>
            <w:pPr>
              <w:pStyle w:val="14"/>
              <w:spacing w:before="8" w:line="326" w:lineRule="exact"/>
              <w:ind w:left="508" w:right="48" w:hanging="401"/>
              <w:rPr>
                <w:sz w:val="20"/>
              </w:rPr>
            </w:pPr>
            <w:r>
              <w:rPr>
                <w:sz w:val="20"/>
              </w:rPr>
              <w:t>借：资金结存—零余额账户用款额度贷：财政拨款预算收入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3" w:hRule="atLeast"/>
        </w:trPr>
        <w:tc>
          <w:tcPr>
            <w:tcW w:w="3810" w:type="dxa"/>
          </w:tcPr>
          <w:p>
            <w:pPr>
              <w:pStyle w:val="14"/>
              <w:rPr>
                <w:b/>
                <w:sz w:val="20"/>
              </w:rPr>
            </w:pPr>
          </w:p>
          <w:p>
            <w:pPr>
              <w:pStyle w:val="14"/>
              <w:spacing w:before="10"/>
              <w:rPr>
                <w:b/>
                <w:sz w:val="22"/>
              </w:rPr>
            </w:pPr>
          </w:p>
          <w:p>
            <w:pPr>
              <w:pStyle w:val="14"/>
              <w:spacing w:before="1"/>
              <w:ind w:left="107"/>
              <w:rPr>
                <w:sz w:val="20"/>
              </w:rPr>
            </w:pPr>
            <w:r>
              <w:rPr>
                <w:sz w:val="20"/>
              </w:rPr>
              <w:t>2.支用额度时</w:t>
            </w:r>
          </w:p>
        </w:tc>
        <w:tc>
          <w:tcPr>
            <w:tcW w:w="2986" w:type="dxa"/>
          </w:tcPr>
          <w:p>
            <w:pPr>
              <w:pStyle w:val="14"/>
              <w:spacing w:before="62" w:line="304" w:lineRule="auto"/>
              <w:ind w:left="108" w:right="96"/>
              <w:jc w:val="both"/>
              <w:rPr>
                <w:sz w:val="20"/>
              </w:rPr>
            </w:pPr>
            <w:r>
              <w:rPr>
                <w:spacing w:val="-6"/>
                <w:sz w:val="20"/>
              </w:rPr>
              <w:t>借：库存物品</w:t>
            </w:r>
            <w:r>
              <w:rPr>
                <w:sz w:val="20"/>
              </w:rPr>
              <w:t>/固定资产/</w:t>
            </w:r>
            <w:r>
              <w:rPr>
                <w:spacing w:val="-5"/>
                <w:sz w:val="20"/>
              </w:rPr>
              <w:t>应付职</w:t>
            </w:r>
            <w:r>
              <w:rPr>
                <w:spacing w:val="13"/>
                <w:sz w:val="20"/>
              </w:rPr>
              <w:t>工薪酬/业务活动费用/</w:t>
            </w:r>
            <w:r>
              <w:rPr>
                <w:spacing w:val="5"/>
                <w:sz w:val="20"/>
              </w:rPr>
              <w:t>单位管</w:t>
            </w:r>
            <w:r>
              <w:rPr>
                <w:sz w:val="20"/>
              </w:rPr>
              <w:t>理费用</w:t>
            </w:r>
          </w:p>
          <w:p>
            <w:pPr>
              <w:pStyle w:val="14"/>
              <w:spacing w:line="235" w:lineRule="exact"/>
              <w:ind w:left="506"/>
              <w:rPr>
                <w:sz w:val="20"/>
              </w:rPr>
            </w:pPr>
            <w:r>
              <w:rPr>
                <w:sz w:val="20"/>
              </w:rPr>
              <w:t>贷：零余额账户用款额度</w:t>
            </w:r>
          </w:p>
        </w:tc>
        <w:tc>
          <w:tcPr>
            <w:tcW w:w="3398" w:type="dxa"/>
          </w:tcPr>
          <w:p>
            <w:pPr>
              <w:pStyle w:val="14"/>
              <w:spacing w:before="7"/>
              <w:rPr>
                <w:b/>
                <w:sz w:val="17"/>
              </w:rPr>
            </w:pPr>
          </w:p>
          <w:p>
            <w:pPr>
              <w:pStyle w:val="14"/>
              <w:ind w:left="107"/>
              <w:rPr>
                <w:sz w:val="20"/>
              </w:rPr>
            </w:pPr>
            <w:r>
              <w:rPr>
                <w:sz w:val="20"/>
              </w:rPr>
              <w:t>借：事业支出/行政支出</w:t>
            </w:r>
          </w:p>
          <w:p>
            <w:pPr>
              <w:pStyle w:val="14"/>
              <w:spacing w:before="68"/>
              <w:ind w:left="508"/>
              <w:rPr>
                <w:sz w:val="20"/>
              </w:rPr>
            </w:pPr>
            <w:r>
              <w:rPr>
                <w:sz w:val="20"/>
              </w:rPr>
              <w:t>贷：资金结存—零余额账户用款</w:t>
            </w:r>
          </w:p>
          <w:p>
            <w:pPr>
              <w:pStyle w:val="14"/>
              <w:spacing w:before="70"/>
              <w:ind w:left="107"/>
              <w:rPr>
                <w:sz w:val="20"/>
              </w:rPr>
            </w:pPr>
            <w:r>
              <w:rPr>
                <w:sz w:val="20"/>
              </w:rPr>
              <w:t>额度</w:t>
            </w:r>
          </w:p>
        </w:tc>
      </w:tr>
    </w:tbl>
    <w:p>
      <w:pPr>
        <w:spacing w:after="0"/>
        <w:rPr>
          <w:sz w:val="20"/>
        </w:rPr>
        <w:sectPr>
          <w:pgSz w:w="11910" w:h="16160"/>
          <w:pgMar w:top="1680" w:right="360" w:bottom="860" w:left="760" w:header="0" w:footer="548" w:gutter="0"/>
        </w:sectPr>
      </w:pPr>
    </w:p>
    <w:p>
      <w:pPr>
        <w:pStyle w:val="6"/>
        <w:spacing w:before="1"/>
        <w:ind w:left="0"/>
        <w:rPr>
          <w:b/>
          <w:sz w:val="14"/>
        </w:rPr>
      </w:pP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10"/>
        <w:gridCol w:w="2986"/>
        <w:gridCol w:w="33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3810" w:type="dxa"/>
          </w:tcPr>
          <w:p>
            <w:pPr>
              <w:pStyle w:val="14"/>
              <w:rPr>
                <w:b/>
                <w:sz w:val="18"/>
              </w:rPr>
            </w:pPr>
          </w:p>
          <w:p>
            <w:pPr>
              <w:pStyle w:val="14"/>
              <w:spacing w:line="304" w:lineRule="auto"/>
              <w:ind w:left="107" w:right="55"/>
              <w:rPr>
                <w:sz w:val="20"/>
              </w:rPr>
            </w:pPr>
            <w:r>
              <w:rPr>
                <w:sz w:val="20"/>
              </w:rPr>
              <w:t>3.年终，事业单位依据代理银行提供的对账单注销额度时</w:t>
            </w:r>
          </w:p>
        </w:tc>
        <w:tc>
          <w:tcPr>
            <w:tcW w:w="2986" w:type="dxa"/>
          </w:tcPr>
          <w:p>
            <w:pPr>
              <w:pStyle w:val="14"/>
              <w:rPr>
                <w:b/>
                <w:sz w:val="18"/>
              </w:rPr>
            </w:pPr>
          </w:p>
          <w:p>
            <w:pPr>
              <w:pStyle w:val="14"/>
              <w:ind w:left="108"/>
              <w:rPr>
                <w:sz w:val="20"/>
              </w:rPr>
            </w:pPr>
            <w:r>
              <w:rPr>
                <w:sz w:val="20"/>
              </w:rPr>
              <w:t>借：财政应返还额度</w:t>
            </w:r>
          </w:p>
          <w:p>
            <w:pPr>
              <w:pStyle w:val="14"/>
              <w:spacing w:before="71"/>
              <w:ind w:left="506"/>
              <w:rPr>
                <w:sz w:val="20"/>
              </w:rPr>
            </w:pPr>
            <w:r>
              <w:rPr>
                <w:sz w:val="20"/>
              </w:rPr>
              <w:t>贷：零余额账户用款额度</w:t>
            </w:r>
          </w:p>
        </w:tc>
        <w:tc>
          <w:tcPr>
            <w:tcW w:w="3398" w:type="dxa"/>
          </w:tcPr>
          <w:p>
            <w:pPr>
              <w:pStyle w:val="14"/>
              <w:spacing w:before="68"/>
              <w:ind w:left="107"/>
              <w:rPr>
                <w:sz w:val="20"/>
              </w:rPr>
            </w:pPr>
            <w:r>
              <w:rPr>
                <w:sz w:val="20"/>
              </w:rPr>
              <w:t>借：资金结存—财政应返还额度</w:t>
            </w:r>
          </w:p>
          <w:p>
            <w:pPr>
              <w:pStyle w:val="14"/>
              <w:spacing w:before="70"/>
              <w:ind w:left="508"/>
              <w:rPr>
                <w:sz w:val="20"/>
              </w:rPr>
            </w:pPr>
            <w:r>
              <w:rPr>
                <w:sz w:val="20"/>
              </w:rPr>
              <w:t>贷：资金结存—零余额账户用款</w:t>
            </w:r>
          </w:p>
          <w:p>
            <w:pPr>
              <w:pStyle w:val="14"/>
              <w:spacing w:before="70" w:line="237" w:lineRule="exact"/>
              <w:ind w:left="107"/>
              <w:rPr>
                <w:sz w:val="20"/>
              </w:rPr>
            </w:pPr>
            <w:r>
              <w:rPr>
                <w:sz w:val="20"/>
              </w:rPr>
              <w:t>额度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3810" w:type="dxa"/>
          </w:tcPr>
          <w:p>
            <w:pPr>
              <w:pStyle w:val="14"/>
              <w:spacing w:before="8" w:line="326" w:lineRule="exact"/>
              <w:ind w:left="107" w:right="55"/>
              <w:rPr>
                <w:sz w:val="20"/>
              </w:rPr>
            </w:pPr>
            <w:r>
              <w:rPr>
                <w:sz w:val="20"/>
              </w:rPr>
              <w:t>4.下年初恢复额度时，事业单位依据代理银行提供的额度恢复到账通知书</w:t>
            </w:r>
          </w:p>
        </w:tc>
        <w:tc>
          <w:tcPr>
            <w:tcW w:w="2986" w:type="dxa"/>
          </w:tcPr>
          <w:p>
            <w:pPr>
              <w:pStyle w:val="14"/>
              <w:spacing w:before="8" w:line="326" w:lineRule="exact"/>
              <w:ind w:left="506" w:right="667" w:hanging="399"/>
              <w:rPr>
                <w:sz w:val="20"/>
              </w:rPr>
            </w:pPr>
            <w:r>
              <w:rPr>
                <w:sz w:val="20"/>
              </w:rPr>
              <w:t>借：零余额账户用款额度贷：财政应返还额度</w:t>
            </w:r>
          </w:p>
        </w:tc>
        <w:tc>
          <w:tcPr>
            <w:tcW w:w="3398" w:type="dxa"/>
          </w:tcPr>
          <w:p>
            <w:pPr>
              <w:pStyle w:val="14"/>
              <w:spacing w:before="8" w:line="326" w:lineRule="exact"/>
              <w:ind w:left="508" w:right="48" w:hanging="401"/>
              <w:rPr>
                <w:sz w:val="20"/>
              </w:rPr>
            </w:pPr>
            <w:r>
              <w:rPr>
                <w:sz w:val="20"/>
              </w:rPr>
              <w:t>借：资金结存—零余额账户用款额度</w:t>
            </w:r>
            <w:r>
              <w:rPr>
                <w:w w:val="95"/>
                <w:sz w:val="20"/>
              </w:rPr>
              <w:t>贷：资金结存—财政应返还额度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9" w:hRule="atLeast"/>
        </w:trPr>
        <w:tc>
          <w:tcPr>
            <w:tcW w:w="3810" w:type="dxa"/>
          </w:tcPr>
          <w:p>
            <w:pPr>
              <w:pStyle w:val="14"/>
              <w:spacing w:line="326" w:lineRule="exact"/>
              <w:ind w:left="107" w:right="95"/>
              <w:jc w:val="both"/>
              <w:rPr>
                <w:sz w:val="20"/>
              </w:rPr>
            </w:pPr>
            <w:r>
              <w:rPr>
                <w:w w:val="95"/>
                <w:sz w:val="20"/>
              </w:rPr>
              <w:t>5.如果事业单位本年度财政授权支付预算指标数大于零余额账户用款额度下达</w:t>
            </w:r>
            <w:r>
              <w:rPr>
                <w:sz w:val="20"/>
              </w:rPr>
              <w:t>数，根据两者的差额（未下达的额度）</w:t>
            </w:r>
          </w:p>
        </w:tc>
        <w:tc>
          <w:tcPr>
            <w:tcW w:w="2986" w:type="dxa"/>
          </w:tcPr>
          <w:p>
            <w:pPr>
              <w:pStyle w:val="14"/>
              <w:spacing w:before="6"/>
              <w:rPr>
                <w:b/>
                <w:sz w:val="17"/>
              </w:rPr>
            </w:pPr>
          </w:p>
          <w:p>
            <w:pPr>
              <w:pStyle w:val="14"/>
              <w:spacing w:line="304" w:lineRule="auto"/>
              <w:ind w:left="506" w:right="869" w:hanging="399"/>
              <w:rPr>
                <w:sz w:val="20"/>
              </w:rPr>
            </w:pPr>
            <w:r>
              <w:rPr>
                <w:sz w:val="20"/>
              </w:rPr>
              <w:t xml:space="preserve">借：财政应返还额度 </w:t>
            </w:r>
            <w:r>
              <w:rPr>
                <w:spacing w:val="-2"/>
                <w:sz w:val="20"/>
              </w:rPr>
              <w:t>贷：财政拨款收入</w:t>
            </w:r>
          </w:p>
        </w:tc>
        <w:tc>
          <w:tcPr>
            <w:tcW w:w="3398" w:type="dxa"/>
          </w:tcPr>
          <w:p>
            <w:pPr>
              <w:pStyle w:val="14"/>
              <w:spacing w:before="6"/>
              <w:rPr>
                <w:b/>
                <w:sz w:val="17"/>
              </w:rPr>
            </w:pPr>
          </w:p>
          <w:p>
            <w:pPr>
              <w:pStyle w:val="14"/>
              <w:spacing w:line="304" w:lineRule="auto"/>
              <w:ind w:left="508" w:right="479" w:hanging="401"/>
              <w:rPr>
                <w:sz w:val="20"/>
              </w:rPr>
            </w:pPr>
            <w:r>
              <w:rPr>
                <w:sz w:val="20"/>
              </w:rPr>
              <w:t>借：资金结存—财政应返还额度贷：财政拨款预算收入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3810" w:type="dxa"/>
          </w:tcPr>
          <w:p>
            <w:pPr>
              <w:pStyle w:val="14"/>
              <w:spacing w:before="3" w:line="324" w:lineRule="exact"/>
              <w:ind w:left="107" w:right="95"/>
              <w:rPr>
                <w:sz w:val="20"/>
              </w:rPr>
            </w:pPr>
            <w:r>
              <w:rPr>
                <w:w w:val="95"/>
                <w:sz w:val="20"/>
              </w:rPr>
              <w:t>6.下年度收到财政部门批复的上年未下</w:t>
            </w:r>
            <w:r>
              <w:rPr>
                <w:sz w:val="20"/>
              </w:rPr>
              <w:t>达零余额账户用款额度</w:t>
            </w:r>
          </w:p>
        </w:tc>
        <w:tc>
          <w:tcPr>
            <w:tcW w:w="2986" w:type="dxa"/>
          </w:tcPr>
          <w:p>
            <w:pPr>
              <w:pStyle w:val="14"/>
              <w:spacing w:before="3" w:line="324" w:lineRule="exact"/>
              <w:ind w:left="506" w:right="667" w:hanging="399"/>
              <w:rPr>
                <w:sz w:val="20"/>
              </w:rPr>
            </w:pPr>
            <w:r>
              <w:rPr>
                <w:sz w:val="20"/>
              </w:rPr>
              <w:t>借：零余额账户用款额度贷：财政应返还额度</w:t>
            </w:r>
          </w:p>
        </w:tc>
        <w:tc>
          <w:tcPr>
            <w:tcW w:w="3398" w:type="dxa"/>
          </w:tcPr>
          <w:p>
            <w:pPr>
              <w:pStyle w:val="14"/>
              <w:spacing w:before="3" w:line="324" w:lineRule="exact"/>
              <w:ind w:left="508" w:right="48" w:hanging="401"/>
              <w:rPr>
                <w:sz w:val="20"/>
              </w:rPr>
            </w:pPr>
            <w:r>
              <w:rPr>
                <w:sz w:val="20"/>
              </w:rPr>
              <w:t>借：资金结存—零余额账户用款额度</w:t>
            </w:r>
            <w:r>
              <w:rPr>
                <w:w w:val="95"/>
                <w:sz w:val="20"/>
              </w:rPr>
              <w:t>贷：资金结存—财政应返还额度</w:t>
            </w:r>
          </w:p>
        </w:tc>
      </w:tr>
    </w:tbl>
    <w:p>
      <w:pPr>
        <w:pStyle w:val="6"/>
        <w:spacing w:before="8"/>
        <w:ind w:left="0"/>
        <w:rPr>
          <w:b/>
        </w:rPr>
      </w:pPr>
    </w:p>
    <w:p>
      <w:pPr>
        <w:spacing w:before="70"/>
        <w:ind w:left="742" w:right="0" w:firstLine="0"/>
        <w:jc w:val="left"/>
        <w:rPr>
          <w:b/>
          <w:sz w:val="21"/>
        </w:rPr>
      </w:pPr>
      <w:bookmarkStart w:id="177" w:name="三、非财政拨款收支业务"/>
      <w:bookmarkEnd w:id="177"/>
      <w:r>
        <w:rPr>
          <w:b/>
          <w:sz w:val="21"/>
          <w:shd w:val="clear" w:color="auto" w:fill="C0C0C0"/>
        </w:rPr>
        <w:t>三、非财政拨款收支业务</w:t>
      </w:r>
    </w:p>
    <w:p>
      <w:pPr>
        <w:spacing w:before="89"/>
        <w:ind w:left="723" w:right="0" w:firstLine="0"/>
        <w:jc w:val="left"/>
        <w:rPr>
          <w:sz w:val="20"/>
        </w:rPr>
      </w:pPr>
      <w:r>
        <w:rPr>
          <w:sz w:val="20"/>
        </w:rPr>
        <w:t>单位的收支业务</w:t>
      </w:r>
      <w:r>
        <w:rPr>
          <w:b/>
          <w:color w:val="00AFEF"/>
          <w:sz w:val="20"/>
          <w:u w:val="single" w:color="00AFEF"/>
        </w:rPr>
        <w:t>除国库集中收付业务外</w:t>
      </w:r>
      <w:r>
        <w:rPr>
          <w:sz w:val="20"/>
        </w:rPr>
        <w:t>，还包括事业活动、经营活动等形成的非财政拨款收支。</w:t>
      </w:r>
    </w:p>
    <w:p>
      <w:pPr>
        <w:pStyle w:val="5"/>
      </w:pPr>
      <w:r>
        <w:t>（一）事业（预算）收入</w:t>
      </w:r>
    </w:p>
    <w:p>
      <w:pPr>
        <w:pStyle w:val="6"/>
        <w:spacing w:line="304" w:lineRule="auto"/>
        <w:ind w:left="322" w:right="647" w:firstLine="400"/>
      </w:pPr>
      <w:r>
        <w:rPr>
          <w:w w:val="95"/>
        </w:rPr>
        <w:t xml:space="preserve">事业收入是指事业单位开展专业业务活动及其辅助活动实现的收入，不包括从同级政府财政部门取得的各类   </w:t>
      </w:r>
      <w:r>
        <w:t>财政拨款。</w:t>
      </w:r>
    </w:p>
    <w:p>
      <w:pPr>
        <w:pStyle w:val="5"/>
        <w:spacing w:before="2" w:line="304" w:lineRule="auto"/>
        <w:ind w:right="7250"/>
      </w:pPr>
      <w:r>
        <w:t>（二）捐赠（预算）收入和支出1.捐赠（预算）收入</w:t>
      </w:r>
    </w:p>
    <w:p>
      <w:pPr>
        <w:pStyle w:val="6"/>
        <w:spacing w:before="0" w:line="304" w:lineRule="auto"/>
        <w:ind w:right="1661"/>
      </w:pPr>
      <w:r>
        <mc:AlternateContent>
          <mc:Choice Requires="wps">
            <w:drawing>
              <wp:anchor distT="0" distB="0" distL="114300" distR="114300" simplePos="0" relativeHeight="15890432" behindDoc="0" locked="0" layoutInCell="1" allowOverlap="1">
                <wp:simplePos x="0" y="0"/>
                <wp:positionH relativeFrom="page">
                  <wp:posOffset>615950</wp:posOffset>
                </wp:positionH>
                <wp:positionV relativeFrom="paragraph">
                  <wp:posOffset>370205</wp:posOffset>
                </wp:positionV>
                <wp:extent cx="6238875" cy="1681480"/>
                <wp:effectExtent l="0" t="0" r="0" b="0"/>
                <wp:wrapNone/>
                <wp:docPr id="173" name="文本框 305"/>
                <wp:cNvGraphicFramePr/>
                <a:graphic xmlns:a="http://schemas.openxmlformats.org/drawingml/2006/main">
                  <a:graphicData uri="http://schemas.microsoft.com/office/word/2010/wordprocessingShape">
                    <wps:wsp>
                      <wps:cNvSpPr txBox="1"/>
                      <wps:spPr>
                        <a:xfrm>
                          <a:off x="0" y="0"/>
                          <a:ext cx="6238875" cy="1681480"/>
                        </a:xfrm>
                        <a:prstGeom prst="rect">
                          <a:avLst/>
                        </a:prstGeom>
                        <a:noFill/>
                        <a:ln>
                          <a:noFill/>
                        </a:ln>
                      </wps:spPr>
                      <wps:txbx>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5"/>
                              <w:gridCol w:w="3487"/>
                              <w:gridCol w:w="45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735" w:type="dxa"/>
                                </w:tcPr>
                                <w:p>
                                  <w:pPr>
                                    <w:pStyle w:val="14"/>
                                    <w:rPr>
                                      <w:rFonts w:ascii="Times New Roman"/>
                                      <w:sz w:val="18"/>
                                    </w:rPr>
                                  </w:pPr>
                                </w:p>
                              </w:tc>
                              <w:tc>
                                <w:tcPr>
                                  <w:tcW w:w="3487" w:type="dxa"/>
                                </w:tcPr>
                                <w:p>
                                  <w:pPr>
                                    <w:pStyle w:val="14"/>
                                    <w:spacing w:before="7" w:line="326" w:lineRule="exact"/>
                                    <w:ind w:left="107" w:right="168"/>
                                    <w:rPr>
                                      <w:sz w:val="20"/>
                                    </w:rPr>
                                  </w:pPr>
                                  <w:r>
                                    <w:rPr>
                                      <w:sz w:val="20"/>
                                    </w:rPr>
                                    <w:t>①接受捐赠的货币资金（按照实际收到的金额）</w:t>
                                  </w:r>
                                </w:p>
                              </w:tc>
                              <w:tc>
                                <w:tcPr>
                                  <w:tcW w:w="4588" w:type="dxa"/>
                                </w:tcPr>
                                <w:p>
                                  <w:pPr>
                                    <w:pStyle w:val="14"/>
                                    <w:spacing w:before="68"/>
                                    <w:ind w:left="107"/>
                                    <w:rPr>
                                      <w:sz w:val="20"/>
                                    </w:rPr>
                                  </w:pPr>
                                  <w:r>
                                    <w:rPr>
                                      <w:sz w:val="20"/>
                                    </w:rPr>
                                    <w:t>②接受捐赠的非现金资产（按照确定的成本）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1735" w:type="dxa"/>
                                </w:tcPr>
                                <w:p>
                                  <w:pPr>
                                    <w:pStyle w:val="14"/>
                                    <w:rPr>
                                      <w:b/>
                                      <w:sz w:val="20"/>
                                    </w:rPr>
                                  </w:pPr>
                                </w:p>
                                <w:p>
                                  <w:pPr>
                                    <w:pStyle w:val="14"/>
                                    <w:spacing w:before="132"/>
                                    <w:ind w:left="446" w:right="438"/>
                                    <w:jc w:val="center"/>
                                    <w:rPr>
                                      <w:sz w:val="20"/>
                                    </w:rPr>
                                  </w:pPr>
                                  <w:r>
                                    <w:rPr>
                                      <w:sz w:val="20"/>
                                    </w:rPr>
                                    <w:t>财务会计</w:t>
                                  </w:r>
                                </w:p>
                              </w:tc>
                              <w:tc>
                                <w:tcPr>
                                  <w:tcW w:w="3487" w:type="dxa"/>
                                </w:tcPr>
                                <w:p>
                                  <w:pPr>
                                    <w:pStyle w:val="14"/>
                                    <w:spacing w:before="62" w:line="304" w:lineRule="auto"/>
                                    <w:ind w:left="107" w:right="1068"/>
                                    <w:rPr>
                                      <w:sz w:val="20"/>
                                    </w:rPr>
                                  </w:pPr>
                                  <w:r>
                                    <w:rPr>
                                      <w:sz w:val="20"/>
                                    </w:rPr>
                                    <w:t>借：银行存款/库存现金等贷：捐赠收入</w:t>
                                  </w:r>
                                </w:p>
                              </w:tc>
                              <w:tc>
                                <w:tcPr>
                                  <w:tcW w:w="4588" w:type="dxa"/>
                                </w:tcPr>
                                <w:p>
                                  <w:pPr>
                                    <w:pStyle w:val="14"/>
                                    <w:spacing w:before="62"/>
                                    <w:ind w:left="107"/>
                                    <w:rPr>
                                      <w:sz w:val="20"/>
                                    </w:rPr>
                                  </w:pPr>
                                  <w:r>
                                    <w:rPr>
                                      <w:sz w:val="20"/>
                                    </w:rPr>
                                    <w:t>借：库存物品/固定资产等</w:t>
                                  </w:r>
                                </w:p>
                                <w:p>
                                  <w:pPr>
                                    <w:pStyle w:val="14"/>
                                    <w:spacing w:before="6" w:line="320" w:lineRule="atLeast"/>
                                    <w:ind w:left="906" w:right="467" w:hanging="399"/>
                                    <w:rPr>
                                      <w:sz w:val="20"/>
                                    </w:rPr>
                                  </w:pPr>
                                  <w:r>
                                    <w:rPr>
                                      <w:sz w:val="20"/>
                                    </w:rPr>
                                    <w:t>贷：银行存款（发生的税费、运输费等） 捐赠收入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735" w:type="dxa"/>
                                </w:tcPr>
                                <w:p>
                                  <w:pPr>
                                    <w:pStyle w:val="14"/>
                                    <w:rPr>
                                      <w:b/>
                                      <w:sz w:val="20"/>
                                    </w:rPr>
                                  </w:pPr>
                                </w:p>
                                <w:p>
                                  <w:pPr>
                                    <w:pStyle w:val="14"/>
                                    <w:spacing w:before="140"/>
                                    <w:ind w:left="446" w:right="438"/>
                                    <w:jc w:val="center"/>
                                    <w:rPr>
                                      <w:sz w:val="20"/>
                                    </w:rPr>
                                  </w:pPr>
                                  <w:r>
                                    <w:rPr>
                                      <w:sz w:val="20"/>
                                    </w:rPr>
                                    <w:t>预算会计</w:t>
                                  </w:r>
                                </w:p>
                              </w:tc>
                              <w:tc>
                                <w:tcPr>
                                  <w:tcW w:w="3487" w:type="dxa"/>
                                </w:tcPr>
                                <w:p>
                                  <w:pPr>
                                    <w:pStyle w:val="14"/>
                                    <w:spacing w:before="69"/>
                                    <w:ind w:left="107"/>
                                    <w:rPr>
                                      <w:sz w:val="20"/>
                                    </w:rPr>
                                  </w:pPr>
                                  <w:r>
                                    <w:rPr>
                                      <w:sz w:val="20"/>
                                    </w:rPr>
                                    <w:t>借：资金结存—货币资金</w:t>
                                  </w:r>
                                </w:p>
                                <w:p>
                                  <w:pPr>
                                    <w:pStyle w:val="14"/>
                                    <w:spacing w:before="71"/>
                                    <w:ind w:left="107"/>
                                    <w:rPr>
                                      <w:sz w:val="20"/>
                                    </w:rPr>
                                  </w:pPr>
                                  <w:r>
                                    <w:rPr>
                                      <w:sz w:val="20"/>
                                    </w:rPr>
                                    <w:t>贷：其他预算收入—捐赠预算收入</w:t>
                                  </w:r>
                                </w:p>
                              </w:tc>
                              <w:tc>
                                <w:tcPr>
                                  <w:tcW w:w="4588" w:type="dxa"/>
                                </w:tcPr>
                                <w:p>
                                  <w:pPr>
                                    <w:pStyle w:val="14"/>
                                    <w:spacing w:before="69" w:line="304" w:lineRule="auto"/>
                                    <w:ind w:left="107" w:right="1667" w:firstLine="400"/>
                                    <w:rPr>
                                      <w:sz w:val="20"/>
                                    </w:rPr>
                                  </w:pPr>
                                  <w:r>
                                    <w:rPr>
                                      <w:sz w:val="20"/>
                                    </w:rPr>
                                    <w:t>按照发生的税费、运输费等借：其他支出</w:t>
                                  </w:r>
                                </w:p>
                                <w:p>
                                  <w:pPr>
                                    <w:pStyle w:val="14"/>
                                    <w:spacing w:line="237" w:lineRule="exact"/>
                                    <w:ind w:left="508"/>
                                    <w:rPr>
                                      <w:sz w:val="20"/>
                                    </w:rPr>
                                  </w:pPr>
                                  <w:r>
                                    <w:rPr>
                                      <w:sz w:val="20"/>
                                    </w:rPr>
                                    <w:t>贷：资金结存—货币资金</w:t>
                                  </w:r>
                                </w:p>
                              </w:tc>
                            </w:tr>
                          </w:tbl>
                          <w:p>
                            <w:pPr>
                              <w:pStyle w:val="6"/>
                              <w:spacing w:before="0"/>
                              <w:ind w:left="0"/>
                            </w:pPr>
                          </w:p>
                        </w:txbxContent>
                      </wps:txbx>
                      <wps:bodyPr lIns="0" tIns="0" rIns="0" bIns="0" upright="1"/>
                    </wps:wsp>
                  </a:graphicData>
                </a:graphic>
              </wp:anchor>
            </w:drawing>
          </mc:Choice>
          <mc:Fallback>
            <w:pict>
              <v:shape id="文本框 305" o:spid="_x0000_s1026" o:spt="202" type="#_x0000_t202" style="position:absolute;left:0pt;margin-left:48.5pt;margin-top:29.15pt;height:132.4pt;width:491.25pt;mso-position-horizontal-relative:page;z-index:15890432;mso-width-relative:page;mso-height-relative:page;" filled="f" stroked="f" coordsize="21600,21600" o:gfxdata="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oiiHXZAAAACgEAAA8A&#10;AAAAAAAAAQAgAAAAIgAAAGRycy9kb3ducmV2LnhtbFBLAQIUABQAAAAIAIdO4kCud/8EpAEAACkD&#10;AAAOAAAAAAAAAAEAIAAAACgBAABkcnMvZTJvRG9jLnhtbFBLBQYAAAAABgAGAFkBAAA+BQAAAAA=&#10;">
                <v:fill on="f" focussize="0,0"/>
                <v:stroke on="f"/>
                <v:imagedata o:title=""/>
                <o:lock v:ext="edit" aspectratio="f"/>
                <v:textbox inset="0mm,0mm,0mm,0mm">
                  <w:txbxContent>
                    <w:tbl>
                      <w:tblPr>
                        <w:tblStyle w:val="1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5"/>
                        <w:gridCol w:w="3487"/>
                        <w:gridCol w:w="45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735" w:type="dxa"/>
                          </w:tcPr>
                          <w:p>
                            <w:pPr>
                              <w:pStyle w:val="14"/>
                              <w:rPr>
                                <w:rFonts w:ascii="Times New Roman"/>
                                <w:sz w:val="18"/>
                              </w:rPr>
                            </w:pPr>
                          </w:p>
                        </w:tc>
                        <w:tc>
                          <w:tcPr>
                            <w:tcW w:w="3487" w:type="dxa"/>
                          </w:tcPr>
                          <w:p>
                            <w:pPr>
                              <w:pStyle w:val="14"/>
                              <w:spacing w:before="7" w:line="326" w:lineRule="exact"/>
                              <w:ind w:left="107" w:right="168"/>
                              <w:rPr>
                                <w:sz w:val="20"/>
                              </w:rPr>
                            </w:pPr>
                            <w:r>
                              <w:rPr>
                                <w:sz w:val="20"/>
                              </w:rPr>
                              <w:t>①接受捐赠的货币资金（按照实际收到的金额）</w:t>
                            </w:r>
                          </w:p>
                        </w:tc>
                        <w:tc>
                          <w:tcPr>
                            <w:tcW w:w="4588" w:type="dxa"/>
                          </w:tcPr>
                          <w:p>
                            <w:pPr>
                              <w:pStyle w:val="14"/>
                              <w:spacing w:before="68"/>
                              <w:ind w:left="107"/>
                              <w:rPr>
                                <w:sz w:val="20"/>
                              </w:rPr>
                            </w:pPr>
                            <w:r>
                              <w:rPr>
                                <w:sz w:val="20"/>
                              </w:rPr>
                              <w:t>②接受捐赠的非现金资产（按照确定的成本）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0" w:hRule="atLeast"/>
                        </w:trPr>
                        <w:tc>
                          <w:tcPr>
                            <w:tcW w:w="1735" w:type="dxa"/>
                          </w:tcPr>
                          <w:p>
                            <w:pPr>
                              <w:pStyle w:val="14"/>
                              <w:rPr>
                                <w:b/>
                                <w:sz w:val="20"/>
                              </w:rPr>
                            </w:pPr>
                          </w:p>
                          <w:p>
                            <w:pPr>
                              <w:pStyle w:val="14"/>
                              <w:spacing w:before="132"/>
                              <w:ind w:left="446" w:right="438"/>
                              <w:jc w:val="center"/>
                              <w:rPr>
                                <w:sz w:val="20"/>
                              </w:rPr>
                            </w:pPr>
                            <w:r>
                              <w:rPr>
                                <w:sz w:val="20"/>
                              </w:rPr>
                              <w:t>财务会计</w:t>
                            </w:r>
                          </w:p>
                        </w:tc>
                        <w:tc>
                          <w:tcPr>
                            <w:tcW w:w="3487" w:type="dxa"/>
                          </w:tcPr>
                          <w:p>
                            <w:pPr>
                              <w:pStyle w:val="14"/>
                              <w:spacing w:before="62" w:line="304" w:lineRule="auto"/>
                              <w:ind w:left="107" w:right="1068"/>
                              <w:rPr>
                                <w:sz w:val="20"/>
                              </w:rPr>
                            </w:pPr>
                            <w:r>
                              <w:rPr>
                                <w:sz w:val="20"/>
                              </w:rPr>
                              <w:t>借：银行存款/库存现金等贷：捐赠收入</w:t>
                            </w:r>
                          </w:p>
                        </w:tc>
                        <w:tc>
                          <w:tcPr>
                            <w:tcW w:w="4588" w:type="dxa"/>
                          </w:tcPr>
                          <w:p>
                            <w:pPr>
                              <w:pStyle w:val="14"/>
                              <w:spacing w:before="62"/>
                              <w:ind w:left="107"/>
                              <w:rPr>
                                <w:sz w:val="20"/>
                              </w:rPr>
                            </w:pPr>
                            <w:r>
                              <w:rPr>
                                <w:sz w:val="20"/>
                              </w:rPr>
                              <w:t>借：库存物品/固定资产等</w:t>
                            </w:r>
                          </w:p>
                          <w:p>
                            <w:pPr>
                              <w:pStyle w:val="14"/>
                              <w:spacing w:before="6" w:line="320" w:lineRule="atLeast"/>
                              <w:ind w:left="906" w:right="467" w:hanging="399"/>
                              <w:rPr>
                                <w:sz w:val="20"/>
                              </w:rPr>
                            </w:pPr>
                            <w:r>
                              <w:rPr>
                                <w:sz w:val="20"/>
                              </w:rPr>
                              <w:t>贷：银行存款（发生的税费、运输费等） 捐赠收入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7" w:hRule="atLeast"/>
                        </w:trPr>
                        <w:tc>
                          <w:tcPr>
                            <w:tcW w:w="1735" w:type="dxa"/>
                          </w:tcPr>
                          <w:p>
                            <w:pPr>
                              <w:pStyle w:val="14"/>
                              <w:rPr>
                                <w:b/>
                                <w:sz w:val="20"/>
                              </w:rPr>
                            </w:pPr>
                          </w:p>
                          <w:p>
                            <w:pPr>
                              <w:pStyle w:val="14"/>
                              <w:spacing w:before="140"/>
                              <w:ind w:left="446" w:right="438"/>
                              <w:jc w:val="center"/>
                              <w:rPr>
                                <w:sz w:val="20"/>
                              </w:rPr>
                            </w:pPr>
                            <w:r>
                              <w:rPr>
                                <w:sz w:val="20"/>
                              </w:rPr>
                              <w:t>预算会计</w:t>
                            </w:r>
                          </w:p>
                        </w:tc>
                        <w:tc>
                          <w:tcPr>
                            <w:tcW w:w="3487" w:type="dxa"/>
                          </w:tcPr>
                          <w:p>
                            <w:pPr>
                              <w:pStyle w:val="14"/>
                              <w:spacing w:before="69"/>
                              <w:ind w:left="107"/>
                              <w:rPr>
                                <w:sz w:val="20"/>
                              </w:rPr>
                            </w:pPr>
                            <w:r>
                              <w:rPr>
                                <w:sz w:val="20"/>
                              </w:rPr>
                              <w:t>借：资金结存—货币资金</w:t>
                            </w:r>
                          </w:p>
                          <w:p>
                            <w:pPr>
                              <w:pStyle w:val="14"/>
                              <w:spacing w:before="71"/>
                              <w:ind w:left="107"/>
                              <w:rPr>
                                <w:sz w:val="20"/>
                              </w:rPr>
                            </w:pPr>
                            <w:r>
                              <w:rPr>
                                <w:sz w:val="20"/>
                              </w:rPr>
                              <w:t>贷：其他预算收入—捐赠预算收入</w:t>
                            </w:r>
                          </w:p>
                        </w:tc>
                        <w:tc>
                          <w:tcPr>
                            <w:tcW w:w="4588" w:type="dxa"/>
                          </w:tcPr>
                          <w:p>
                            <w:pPr>
                              <w:pStyle w:val="14"/>
                              <w:spacing w:before="69" w:line="304" w:lineRule="auto"/>
                              <w:ind w:left="107" w:right="1667" w:firstLine="400"/>
                              <w:rPr>
                                <w:sz w:val="20"/>
                              </w:rPr>
                            </w:pPr>
                            <w:r>
                              <w:rPr>
                                <w:sz w:val="20"/>
                              </w:rPr>
                              <w:t>按照发生的税费、运输费等借：其他支出</w:t>
                            </w:r>
                          </w:p>
                          <w:p>
                            <w:pPr>
                              <w:pStyle w:val="14"/>
                              <w:spacing w:line="237" w:lineRule="exact"/>
                              <w:ind w:left="508"/>
                              <w:rPr>
                                <w:sz w:val="20"/>
                              </w:rPr>
                            </w:pPr>
                            <w:r>
                              <w:rPr>
                                <w:sz w:val="20"/>
                              </w:rPr>
                              <w:t>贷：资金结存—货币资金</w:t>
                            </w:r>
                          </w:p>
                        </w:tc>
                      </w:tr>
                    </w:tbl>
                    <w:p>
                      <w:pPr>
                        <w:pStyle w:val="6"/>
                        <w:spacing w:before="0"/>
                        <w:ind w:left="0"/>
                      </w:pPr>
                    </w:p>
                  </w:txbxContent>
                </v:textbox>
              </v:shape>
            </w:pict>
          </mc:Fallback>
        </mc:AlternateContent>
      </w:r>
      <w:r>
        <w:rPr>
          <w:w w:val="95"/>
        </w:rPr>
        <w:t xml:space="preserve">捐赠收入指单位接受其他单位或者个人捐赠取得的收入，包括现金捐赠收入和非现金捐赠收入。   </w:t>
      </w:r>
      <w:r>
        <w:t>捐赠预算收入指单位接受捐赠的现金资产。</w:t>
      </w: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9"/>
        <w:ind w:left="0"/>
        <w:rPr>
          <w:sz w:val="26"/>
        </w:rPr>
      </w:pPr>
    </w:p>
    <w:p>
      <w:pPr>
        <w:pStyle w:val="5"/>
        <w:spacing w:before="0" w:after="2"/>
      </w:pPr>
      <w:r>
        <w:t>2.捐赠（支出）费用</w:t>
      </w:r>
    </w:p>
    <w:tbl>
      <w:tblPr>
        <w:tblStyle w:val="10"/>
        <w:tblW w:w="0" w:type="auto"/>
        <w:tblInd w:w="2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10"/>
        <w:gridCol w:w="3412"/>
        <w:gridCol w:w="46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710" w:type="dxa"/>
          </w:tcPr>
          <w:p>
            <w:pPr>
              <w:pStyle w:val="14"/>
              <w:rPr>
                <w:rFonts w:ascii="Times New Roman"/>
                <w:sz w:val="18"/>
              </w:rPr>
            </w:pPr>
          </w:p>
        </w:tc>
        <w:tc>
          <w:tcPr>
            <w:tcW w:w="3412" w:type="dxa"/>
          </w:tcPr>
          <w:p>
            <w:pPr>
              <w:pStyle w:val="14"/>
              <w:spacing w:before="68" w:line="238" w:lineRule="exact"/>
              <w:ind w:left="506"/>
              <w:rPr>
                <w:sz w:val="20"/>
              </w:rPr>
            </w:pPr>
            <w:r>
              <w:rPr>
                <w:sz w:val="20"/>
              </w:rPr>
              <w:t>①对外捐赠现金资产</w:t>
            </w:r>
          </w:p>
        </w:tc>
        <w:tc>
          <w:tcPr>
            <w:tcW w:w="4663" w:type="dxa"/>
          </w:tcPr>
          <w:p>
            <w:pPr>
              <w:pStyle w:val="14"/>
              <w:spacing w:before="68" w:line="238" w:lineRule="exact"/>
              <w:ind w:left="507"/>
              <w:rPr>
                <w:sz w:val="20"/>
              </w:rPr>
            </w:pPr>
            <w:r>
              <w:rPr>
                <w:sz w:val="20"/>
              </w:rPr>
              <w:t>②对外捐赠非现金资产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4" w:hRule="atLeast"/>
        </w:trPr>
        <w:tc>
          <w:tcPr>
            <w:tcW w:w="1710" w:type="dxa"/>
          </w:tcPr>
          <w:p>
            <w:pPr>
              <w:pStyle w:val="14"/>
              <w:rPr>
                <w:b/>
                <w:sz w:val="20"/>
              </w:rPr>
            </w:pPr>
          </w:p>
          <w:p>
            <w:pPr>
              <w:pStyle w:val="14"/>
              <w:spacing w:before="6"/>
              <w:rPr>
                <w:b/>
                <w:sz w:val="23"/>
              </w:rPr>
            </w:pPr>
          </w:p>
          <w:p>
            <w:pPr>
              <w:pStyle w:val="14"/>
              <w:spacing w:before="1"/>
              <w:ind w:left="434" w:right="425"/>
              <w:jc w:val="center"/>
              <w:rPr>
                <w:sz w:val="20"/>
              </w:rPr>
            </w:pPr>
            <w:r>
              <w:rPr>
                <w:sz w:val="20"/>
              </w:rPr>
              <w:t>财务会计</w:t>
            </w:r>
          </w:p>
        </w:tc>
        <w:tc>
          <w:tcPr>
            <w:tcW w:w="3412" w:type="dxa"/>
          </w:tcPr>
          <w:p>
            <w:pPr>
              <w:pStyle w:val="14"/>
              <w:spacing w:before="68"/>
              <w:ind w:left="506"/>
              <w:rPr>
                <w:sz w:val="20"/>
              </w:rPr>
            </w:pPr>
            <w:r>
              <w:rPr>
                <w:sz w:val="20"/>
              </w:rPr>
              <w:t>借：其他费用</w:t>
            </w:r>
          </w:p>
          <w:p>
            <w:pPr>
              <w:pStyle w:val="14"/>
              <w:spacing w:before="70"/>
              <w:ind w:left="506"/>
              <w:rPr>
                <w:sz w:val="20"/>
              </w:rPr>
            </w:pPr>
            <w:r>
              <w:rPr>
                <w:sz w:val="20"/>
              </w:rPr>
              <w:t>贷：银行存款/库存现金等</w:t>
            </w:r>
          </w:p>
        </w:tc>
        <w:tc>
          <w:tcPr>
            <w:tcW w:w="4663" w:type="dxa"/>
          </w:tcPr>
          <w:p>
            <w:pPr>
              <w:pStyle w:val="14"/>
              <w:spacing w:before="68"/>
              <w:ind w:left="106"/>
              <w:rPr>
                <w:sz w:val="20"/>
              </w:rPr>
            </w:pPr>
            <w:r>
              <w:rPr>
                <w:sz w:val="20"/>
              </w:rPr>
              <w:t>借：资产处置费用</w:t>
            </w:r>
          </w:p>
          <w:p>
            <w:pPr>
              <w:pStyle w:val="14"/>
              <w:spacing w:before="70"/>
              <w:ind w:left="507"/>
              <w:rPr>
                <w:sz w:val="20"/>
              </w:rPr>
            </w:pPr>
            <w:r>
              <w:rPr>
                <w:sz w:val="20"/>
              </w:rPr>
              <w:t>固定资产累计折旧</w:t>
            </w:r>
          </w:p>
          <w:p>
            <w:pPr>
              <w:pStyle w:val="14"/>
              <w:spacing w:before="70"/>
              <w:ind w:left="507"/>
              <w:rPr>
                <w:sz w:val="20"/>
              </w:rPr>
            </w:pPr>
            <w:r>
              <w:rPr>
                <w:sz w:val="20"/>
              </w:rPr>
              <w:t>贷：固定资产/库存物品（账面余额）</w:t>
            </w:r>
          </w:p>
          <w:p>
            <w:pPr>
              <w:pStyle w:val="14"/>
              <w:spacing w:before="70" w:line="237" w:lineRule="exact"/>
              <w:ind w:left="908"/>
              <w:rPr>
                <w:sz w:val="20"/>
              </w:rPr>
            </w:pPr>
            <w:r>
              <w:rPr>
                <w:sz w:val="20"/>
              </w:rPr>
              <w:t>银行存款等（归属于捐出方的相关费用）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2" w:hRule="atLeast"/>
        </w:trPr>
        <w:tc>
          <w:tcPr>
            <w:tcW w:w="1710" w:type="dxa"/>
          </w:tcPr>
          <w:p>
            <w:pPr>
              <w:pStyle w:val="14"/>
              <w:spacing w:before="1"/>
              <w:rPr>
                <w:b/>
                <w:sz w:val="18"/>
              </w:rPr>
            </w:pPr>
          </w:p>
          <w:p>
            <w:pPr>
              <w:pStyle w:val="14"/>
              <w:spacing w:before="1"/>
              <w:ind w:left="434" w:right="425"/>
              <w:jc w:val="center"/>
              <w:rPr>
                <w:sz w:val="20"/>
              </w:rPr>
            </w:pPr>
            <w:r>
              <w:rPr>
                <w:sz w:val="20"/>
              </w:rPr>
              <w:t>预算会计</w:t>
            </w:r>
          </w:p>
        </w:tc>
        <w:tc>
          <w:tcPr>
            <w:tcW w:w="3412" w:type="dxa"/>
          </w:tcPr>
          <w:p>
            <w:pPr>
              <w:pStyle w:val="14"/>
              <w:spacing w:before="69"/>
              <w:ind w:left="506"/>
              <w:rPr>
                <w:sz w:val="20"/>
              </w:rPr>
            </w:pPr>
            <w:r>
              <w:rPr>
                <w:sz w:val="20"/>
              </w:rPr>
              <w:t>借：其他支出</w:t>
            </w:r>
          </w:p>
          <w:p>
            <w:pPr>
              <w:pStyle w:val="14"/>
              <w:spacing w:before="70" w:line="236" w:lineRule="exact"/>
              <w:ind w:left="506"/>
              <w:rPr>
                <w:sz w:val="20"/>
              </w:rPr>
            </w:pPr>
            <w:r>
              <w:rPr>
                <w:sz w:val="20"/>
              </w:rPr>
              <w:t>贷：资金结存—货币资金</w:t>
            </w:r>
          </w:p>
        </w:tc>
        <w:tc>
          <w:tcPr>
            <w:tcW w:w="4663" w:type="dxa"/>
          </w:tcPr>
          <w:p>
            <w:pPr>
              <w:pStyle w:val="14"/>
              <w:spacing w:before="8" w:line="326" w:lineRule="exact"/>
              <w:ind w:left="507" w:right="745" w:hanging="401"/>
              <w:rPr>
                <w:sz w:val="20"/>
              </w:rPr>
            </w:pPr>
            <w:r>
              <w:rPr>
                <w:sz w:val="20"/>
              </w:rPr>
              <w:t>借：其他支出（归属于捐出方的相关费用） 贷：资金结存</w:t>
            </w:r>
          </w:p>
        </w:tc>
      </w:tr>
    </w:tbl>
    <w:p>
      <w:pPr>
        <w:pStyle w:val="6"/>
        <w:spacing w:before="0"/>
        <w:ind w:left="0"/>
        <w:rPr>
          <w:b/>
          <w:sz w:val="26"/>
        </w:rPr>
      </w:pPr>
    </w:p>
    <w:p>
      <w:pPr>
        <w:spacing w:before="0"/>
        <w:ind w:left="742" w:right="0" w:firstLine="0"/>
        <w:jc w:val="left"/>
        <w:rPr>
          <w:b/>
          <w:sz w:val="21"/>
        </w:rPr>
      </w:pPr>
      <w:bookmarkStart w:id="178" w:name="四、预算结转结余及分配业务"/>
      <w:bookmarkEnd w:id="178"/>
      <w:r>
        <w:rPr>
          <w:b/>
          <w:sz w:val="21"/>
          <w:shd w:val="clear" w:color="auto" w:fill="C0C0C0"/>
        </w:rPr>
        <w:t>四、预算结转结余及分配业务</w:t>
      </w:r>
    </w:p>
    <w:p>
      <w:pPr>
        <w:spacing w:after="0"/>
        <w:jc w:val="left"/>
        <w:rPr>
          <w:sz w:val="21"/>
        </w:rPr>
        <w:sectPr>
          <w:pgSz w:w="11910" w:h="16160"/>
          <w:pgMar w:top="1680" w:right="360" w:bottom="860" w:left="760" w:header="0" w:footer="548" w:gutter="0"/>
        </w:sectPr>
      </w:pPr>
    </w:p>
    <w:p>
      <w:pPr>
        <w:pStyle w:val="6"/>
        <w:spacing w:before="11"/>
        <w:ind w:left="0"/>
        <w:rPr>
          <w:b/>
          <w:sz w:val="13"/>
        </w:rPr>
      </w:pPr>
    </w:p>
    <w:p>
      <w:pPr>
        <w:pStyle w:val="6"/>
        <w:spacing w:before="71" w:line="304" w:lineRule="auto"/>
        <w:ind w:right="662"/>
        <w:rPr>
          <w:b/>
        </w:rPr>
      </w:pPr>
      <w:r>
        <w:rPr>
          <w:w w:val="95"/>
        </w:rPr>
        <w:t xml:space="preserve">单位应严格区分财政拨款结转结余和非财政拨款结转结余。财政拨款结转结余不参与事业单位的结余分配。   </w:t>
      </w:r>
      <w:r>
        <w:rPr>
          <w:b/>
        </w:rPr>
        <w:t>1.财政拨款结转</w:t>
      </w:r>
    </w:p>
    <w:p>
      <w:pPr>
        <w:pStyle w:val="6"/>
        <w:spacing w:before="2" w:line="304" w:lineRule="auto"/>
        <w:ind w:left="322" w:right="721" w:firstLine="400"/>
        <w:jc w:val="both"/>
      </w:pPr>
      <w:r>
        <w:rPr>
          <w:spacing w:val="-3"/>
          <w:w w:val="95"/>
        </w:rPr>
        <w:t>单位取得同级财政部门拨款结转资金的调整、结转和滚存的情况。财政拨款结转—年初余额调整</w:t>
      </w:r>
      <w:r>
        <w:rPr>
          <w:w w:val="95"/>
        </w:rPr>
        <w:t>/归集调入/   归集调出/归集上缴/单位内部调剂/本年收支结转/</w:t>
      </w:r>
      <w:r>
        <w:rPr>
          <w:spacing w:val="-7"/>
          <w:w w:val="95"/>
        </w:rPr>
        <w:t xml:space="preserve">累计结转。年末结转后，除了“累计结转”明细科目外，其他    </w:t>
      </w:r>
      <w:r>
        <w:t>明细科目无余额。</w:t>
      </w:r>
    </w:p>
    <w:p>
      <w:pPr>
        <w:pStyle w:val="5"/>
        <w:spacing w:before="0"/>
      </w:pPr>
      <w:r>
        <w:t>2.财政拨款结余：</w:t>
      </w:r>
    </w:p>
    <w:p>
      <w:pPr>
        <w:pStyle w:val="6"/>
        <w:spacing w:before="71" w:line="304" w:lineRule="auto"/>
        <w:ind w:left="322" w:right="758" w:firstLine="400"/>
        <w:jc w:val="both"/>
      </w:pPr>
      <w:r>
        <mc:AlternateContent>
          <mc:Choice Requires="wps">
            <w:drawing>
              <wp:anchor distT="0" distB="0" distL="114300" distR="114300" simplePos="0" relativeHeight="482525184" behindDoc="1" locked="0" layoutInCell="1" allowOverlap="1">
                <wp:simplePos x="0" y="0"/>
                <wp:positionH relativeFrom="page">
                  <wp:posOffset>4306570</wp:posOffset>
                </wp:positionH>
                <wp:positionV relativeFrom="paragraph">
                  <wp:posOffset>390525</wp:posOffset>
                </wp:positionV>
                <wp:extent cx="502920" cy="5715"/>
                <wp:effectExtent l="0" t="0" r="0" b="0"/>
                <wp:wrapNone/>
                <wp:docPr id="346" name="任意多边形 306"/>
                <wp:cNvGraphicFramePr/>
                <a:graphic xmlns:a="http://schemas.openxmlformats.org/drawingml/2006/main">
                  <a:graphicData uri="http://schemas.microsoft.com/office/word/2010/wordprocessingShape">
                    <wps:wsp>
                      <wps:cNvSpPr/>
                      <wps:spPr>
                        <a:xfrm>
                          <a:off x="0" y="0"/>
                          <a:ext cx="502920" cy="5715"/>
                        </a:xfrm>
                        <a:custGeom>
                          <a:avLst/>
                          <a:gdLst/>
                          <a:ahLst/>
                          <a:cxnLst/>
                          <a:pathLst>
                            <a:path w="792"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lnTo>
                                <a:pt x="414" y="9"/>
                              </a:lnTo>
                              <a:lnTo>
                                <a:pt x="432" y="0"/>
                              </a:lnTo>
                              <a:lnTo>
                                <a:pt x="450" y="9"/>
                              </a:lnTo>
                              <a:lnTo>
                                <a:pt x="468" y="0"/>
                              </a:lnTo>
                              <a:lnTo>
                                <a:pt x="486" y="9"/>
                              </a:lnTo>
                              <a:lnTo>
                                <a:pt x="504" y="0"/>
                              </a:lnTo>
                              <a:lnTo>
                                <a:pt x="522" y="9"/>
                              </a:lnTo>
                              <a:lnTo>
                                <a:pt x="540" y="0"/>
                              </a:lnTo>
                              <a:lnTo>
                                <a:pt x="558" y="9"/>
                              </a:lnTo>
                              <a:lnTo>
                                <a:pt x="576" y="0"/>
                              </a:lnTo>
                              <a:lnTo>
                                <a:pt x="594" y="9"/>
                              </a:lnTo>
                              <a:lnTo>
                                <a:pt x="612" y="0"/>
                              </a:lnTo>
                              <a:lnTo>
                                <a:pt x="630" y="9"/>
                              </a:lnTo>
                              <a:lnTo>
                                <a:pt x="648" y="0"/>
                              </a:lnTo>
                              <a:lnTo>
                                <a:pt x="666" y="9"/>
                              </a:lnTo>
                              <a:lnTo>
                                <a:pt x="684" y="0"/>
                              </a:lnTo>
                              <a:lnTo>
                                <a:pt x="702" y="9"/>
                              </a:lnTo>
                              <a:lnTo>
                                <a:pt x="720" y="0"/>
                              </a:lnTo>
                              <a:lnTo>
                                <a:pt x="738" y="9"/>
                              </a:lnTo>
                              <a:lnTo>
                                <a:pt x="756" y="0"/>
                              </a:lnTo>
                              <a:lnTo>
                                <a:pt x="774" y="9"/>
                              </a:lnTo>
                              <a:lnTo>
                                <a:pt x="792"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6" o:spid="_x0000_s1026" o:spt="100" style="position:absolute;left:0pt;margin-left:339.1pt;margin-top:30.75pt;height:0.45pt;width:39.6pt;mso-position-horizontal-relative:page;z-index:-20791296;mso-width-relative:page;mso-height-relative:page;" filled="f" stroked="t" coordsize="792,9" o:gfxdata="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6ggw/1wAAAAkBAAAPAAAAAAAAAAEAIAAAACIA&#10;AABkcnMvZG93bnJldi54bWxQSwECFAAUAAAACACHTuJAcu+BL+4CAACbCgAADgAAAAAAAAABACAA&#10;AAAmAQAAZHJzL2Uyb0RvYy54bWxQSwUGAAAAAAYABgBZAQAAhgYAAAAA&#10;" path="m0,0l18,9,36,0,54,9,72,0,90,9,108,0,126,9,144,0,162,9,180,0,198,9,216,0,234,9,252,0,270,9,288,0,306,9,324,0,342,9,360,0,378,9,396,0,414,9,432,0,450,9,468,0,486,9,504,0,522,9,540,0,558,9,576,0,594,9,612,0,630,9,648,0,666,9,684,0,702,9,720,0,738,9,756,0,774,9,792,0e">
                <v:fill on="f" focussize="0,0"/>
                <v:stroke weight="0.28496062992126pt" color="#00AFEF" joinstyle="round"/>
                <v:imagedata o:title=""/>
                <o:lock v:ext="edit" aspectratio="f"/>
              </v:shape>
            </w:pict>
          </mc:Fallback>
        </mc:AlternateContent>
      </w:r>
      <w:r>
        <w:t>单位取得同级财政拨款项目支出结余资金的调整、结转和滚存情况。财政拨款结余—年初余额调整/归集上</w:t>
      </w:r>
      <w:r>
        <w:rPr>
          <w:w w:val="95"/>
        </w:rPr>
        <w:t>缴/单位内部调剂/结转转入/累计结余。年末结转后。该科目除“</w:t>
      </w:r>
      <w:r>
        <w:rPr>
          <w:b/>
          <w:color w:val="00AFEF"/>
          <w:w w:val="95"/>
        </w:rPr>
        <w:t>累计结余</w:t>
      </w:r>
      <w:r>
        <w:rPr>
          <w:w w:val="95"/>
        </w:rPr>
        <w:t xml:space="preserve">”明细科目外，其他明细科目应无余    </w:t>
      </w:r>
      <w:r>
        <w:t>额。</w:t>
      </w:r>
    </w:p>
    <w:p>
      <w:pPr>
        <w:pStyle w:val="5"/>
        <w:spacing w:before="2" w:line="304" w:lineRule="auto"/>
        <w:ind w:right="7653"/>
      </w:pPr>
      <w:r>
        <w:t>（二）非财政拨款结转结余1.非财政拨款结转：</w:t>
      </w:r>
    </w:p>
    <w:p>
      <w:pPr>
        <w:pStyle w:val="6"/>
        <w:spacing w:before="0" w:line="304" w:lineRule="auto"/>
        <w:ind w:left="322" w:right="662" w:firstLine="400"/>
      </w:pPr>
      <w:r>
        <w:rPr>
          <w:w w:val="95"/>
        </w:rPr>
        <w:t xml:space="preserve">单位除财政拨款收支、经营收支以外的各非同级财政拨款专项资金收入与其他相关支出相抵后剩余滚存的、   </w:t>
      </w:r>
      <w:r>
        <w:t>须按规定用途使用的结转资金。</w:t>
      </w:r>
    </w:p>
    <w:p>
      <w:pPr>
        <w:pStyle w:val="5"/>
        <w:numPr>
          <w:ilvl w:val="0"/>
          <w:numId w:val="136"/>
        </w:numPr>
        <w:tabs>
          <w:tab w:val="left" w:pos="925"/>
        </w:tabs>
        <w:spacing w:before="2" w:after="0" w:line="240" w:lineRule="auto"/>
        <w:ind w:left="924" w:right="0" w:hanging="202"/>
        <w:jc w:val="left"/>
        <w:rPr>
          <w:b w:val="0"/>
        </w:rPr>
      </w:pPr>
      <w:r>
        <w:t>非财政拨款结余</w:t>
      </w:r>
      <w:r>
        <w:rPr>
          <w:b w:val="0"/>
        </w:rPr>
        <w:t>：</w:t>
      </w:r>
    </w:p>
    <w:p>
      <w:pPr>
        <w:pStyle w:val="6"/>
      </w:pPr>
      <w:r>
        <w:t>单位历年滚存的非限定用途的非同级财政拨款结余资金，主要为非财政拨款结余扣除结余分配后滚存的金</w:t>
      </w:r>
    </w:p>
    <w:p>
      <w:pPr>
        <w:pStyle w:val="6"/>
        <w:ind w:left="322"/>
      </w:pPr>
      <w:r>
        <w:t>额。</w:t>
      </w:r>
    </w:p>
    <w:p>
      <w:pPr>
        <w:pStyle w:val="5"/>
        <w:numPr>
          <w:ilvl w:val="0"/>
          <w:numId w:val="136"/>
        </w:numPr>
        <w:tabs>
          <w:tab w:val="left" w:pos="925"/>
        </w:tabs>
        <w:spacing w:before="70" w:after="0" w:line="240" w:lineRule="auto"/>
        <w:ind w:left="924" w:right="0" w:hanging="202"/>
        <w:jc w:val="left"/>
      </w:pPr>
      <w:r>
        <w:t>专用结余：</w:t>
      </w:r>
    </w:p>
    <w:p>
      <w:pPr>
        <w:pStyle w:val="6"/>
        <w:spacing w:before="68"/>
      </w:pPr>
      <w:r>
        <w:t>事业单位按照规定从非财政拨款结余中提取的具有专门用途的资金。期末贷方余额反映事业单位从非同级财</w:t>
      </w:r>
    </w:p>
    <w:p>
      <w:pPr>
        <w:spacing w:before="70" w:line="304" w:lineRule="auto"/>
        <w:ind w:left="723" w:right="6263" w:hanging="401"/>
        <w:jc w:val="left"/>
        <w:rPr>
          <w:b/>
          <w:sz w:val="20"/>
        </w:rPr>
      </w:pPr>
      <w:r>
        <w:rPr>
          <w:spacing w:val="-1"/>
          <w:sz w:val="20"/>
        </w:rPr>
        <w:t>政拨款结余中提取的专用基金的累计滚存数额。</w:t>
      </w:r>
      <w:r>
        <w:rPr>
          <w:b/>
          <w:sz w:val="20"/>
        </w:rPr>
        <w:t>4.经营结余：</w:t>
      </w:r>
    </w:p>
    <w:p>
      <w:pPr>
        <w:pStyle w:val="6"/>
        <w:spacing w:before="2" w:line="304" w:lineRule="auto"/>
        <w:ind w:right="3062"/>
        <w:rPr>
          <w:b/>
        </w:rPr>
      </w:pPr>
      <w:r>
        <w:rPr>
          <w:w w:val="95"/>
        </w:rPr>
        <w:t xml:space="preserve">事业单位在本年度经营活动中收支相抵后余额弥补以前年度经营亏损后的余额。  </w:t>
      </w:r>
      <w:r>
        <w:rPr>
          <w:b/>
        </w:rPr>
        <w:t>5.其他结余：</w:t>
      </w:r>
    </w:p>
    <w:p>
      <w:pPr>
        <w:spacing w:before="2" w:line="302" w:lineRule="auto"/>
        <w:ind w:left="723" w:right="1661" w:firstLine="0"/>
        <w:jc w:val="left"/>
        <w:rPr>
          <w:b/>
          <w:sz w:val="20"/>
        </w:rPr>
      </w:pPr>
      <w:r>
        <w:rPr>
          <w:w w:val="95"/>
          <w:sz w:val="20"/>
        </w:rPr>
        <w:t xml:space="preserve">单位本年底除财政拨款收支、非同级财政专项资金收支和经营收支以外各项收支相抵后的余额。   </w:t>
      </w:r>
      <w:r>
        <w:rPr>
          <w:b/>
          <w:sz w:val="20"/>
        </w:rPr>
        <w:t>6.非财政拨款结余分配：</w:t>
      </w:r>
    </w:p>
    <w:p>
      <w:pPr>
        <w:spacing w:before="5" w:line="304" w:lineRule="auto"/>
        <w:ind w:left="723" w:right="5062" w:firstLine="0"/>
        <w:jc w:val="left"/>
        <w:rPr>
          <w:b/>
          <w:sz w:val="20"/>
        </w:rPr>
      </w:pPr>
      <w:r>
        <w:rPr>
          <w:sz w:val="20"/>
        </w:rPr>
        <w:t>核算事业单位本年度非财政拨款结余分配的情况和结果。</w:t>
      </w:r>
      <w:r>
        <w:rPr>
          <w:b/>
          <w:sz w:val="20"/>
          <w:shd w:val="clear" w:color="auto" w:fill="C0C0C0"/>
        </w:rPr>
        <w:t>五、净资产业务</w:t>
      </w:r>
    </w:p>
    <w:p>
      <w:pPr>
        <w:pStyle w:val="6"/>
        <w:spacing w:before="2"/>
      </w:pPr>
      <w:r>
        <w:t>单位财务会计净资产的来源主要包括累计实现的盈余和无偿调拨的净资产。</w:t>
      </w:r>
    </w:p>
    <w:p>
      <w:pPr>
        <w:pStyle w:val="6"/>
        <w:spacing w:line="304" w:lineRule="auto"/>
        <w:ind w:left="322" w:right="762" w:firstLine="400"/>
      </w:pPr>
      <w:r>
        <w:rPr>
          <w:spacing w:val="-11"/>
          <w:w w:val="99"/>
        </w:rPr>
        <w:t xml:space="preserve">在日常核算中，单位应当在财务会计中设置“累计盈余”“专用基金”“无偿调拨净资产”“权益法调整”和 </w:t>
      </w:r>
      <w:r>
        <w:rPr>
          <w:spacing w:val="-14"/>
          <w:w w:val="99"/>
        </w:rPr>
        <w:t>“本期盈余”“本期盈余分配”“以前年度盈余调整”等科目。</w:t>
      </w:r>
    </w:p>
    <w:p>
      <w:pPr>
        <w:pStyle w:val="5"/>
        <w:spacing w:before="0" w:line="256" w:lineRule="exact"/>
      </w:pPr>
      <w:r>
        <w:t>（一）本期盈余及本年盈余分配</w:t>
      </w:r>
    </w:p>
    <w:p>
      <w:pPr>
        <w:pStyle w:val="13"/>
        <w:numPr>
          <w:ilvl w:val="0"/>
          <w:numId w:val="137"/>
        </w:numPr>
        <w:tabs>
          <w:tab w:val="left" w:pos="925"/>
        </w:tabs>
        <w:spacing w:before="70" w:after="0" w:line="304" w:lineRule="auto"/>
        <w:ind w:left="322" w:right="722" w:firstLine="400"/>
        <w:jc w:val="both"/>
        <w:rPr>
          <w:sz w:val="20"/>
        </w:rPr>
      </w:pPr>
      <w:r>
        <w:rPr>
          <w:spacing w:val="-10"/>
          <w:w w:val="99"/>
          <w:sz w:val="20"/>
        </w:rPr>
        <w:t>本期盈余：“本期盈余”科目核算单位本期各项收入、费用相抵后的余额。期末，单位应当将各类收入科</w:t>
      </w:r>
      <w:r>
        <w:rPr>
          <w:spacing w:val="-10"/>
          <w:w w:val="95"/>
          <w:sz w:val="20"/>
        </w:rPr>
        <w:t xml:space="preserve">目和各类费用科目本期发生额转入“本期盈余”科目。年末，单位应当将“本期盈余”科目余额转入“本年盈余    </w:t>
      </w:r>
      <w:r>
        <w:rPr>
          <w:spacing w:val="-10"/>
          <w:sz w:val="20"/>
        </w:rPr>
        <w:t>分配”科目。</w:t>
      </w:r>
    </w:p>
    <w:p>
      <w:pPr>
        <w:pStyle w:val="13"/>
        <w:numPr>
          <w:ilvl w:val="0"/>
          <w:numId w:val="137"/>
        </w:numPr>
        <w:tabs>
          <w:tab w:val="left" w:pos="925"/>
        </w:tabs>
        <w:spacing w:before="3" w:after="0" w:line="304" w:lineRule="auto"/>
        <w:ind w:left="322" w:right="720" w:firstLine="400"/>
        <w:jc w:val="both"/>
        <w:rPr>
          <w:sz w:val="20"/>
        </w:rPr>
      </w:pPr>
      <w:r>
        <w:rPr>
          <w:spacing w:val="-10"/>
          <w:w w:val="99"/>
          <w:sz w:val="20"/>
        </w:rPr>
        <w:t>本年盈余分配：“本年盈余分配”科目核算单位本年度盈余分配的情况和结果。年末，单位应当将“本期</w:t>
      </w:r>
      <w:r>
        <w:rPr>
          <w:spacing w:val="-8"/>
          <w:w w:val="95"/>
          <w:sz w:val="20"/>
        </w:rPr>
        <w:t xml:space="preserve">盈余”科目余额转入本科目。根据有关规定从本年度非财政拨款结余或经营结余中提取专用基金的，按照预算会    计下计算的提取金额，借记“本年盈余分配”科目，贷记“专用基金”科目。然后，将“本年盈余分配”科目余    </w:t>
      </w:r>
      <w:r>
        <w:rPr>
          <w:spacing w:val="-8"/>
          <w:sz w:val="20"/>
        </w:rPr>
        <w:t>额转入“累计盈余”科目。</w:t>
      </w:r>
    </w:p>
    <w:p>
      <w:pPr>
        <w:pStyle w:val="5"/>
        <w:spacing w:before="1"/>
      </w:pPr>
      <w:r>
        <w:t>（二）专用基金</w:t>
      </w:r>
    </w:p>
    <w:p>
      <w:pPr>
        <w:spacing w:after="0"/>
        <w:sectPr>
          <w:pgSz w:w="11910" w:h="16160"/>
          <w:pgMar w:top="1680" w:right="360" w:bottom="860" w:left="760" w:header="0" w:footer="548" w:gutter="0"/>
        </w:sectPr>
      </w:pPr>
    </w:p>
    <w:p>
      <w:pPr>
        <w:pStyle w:val="6"/>
        <w:spacing w:before="11"/>
        <w:ind w:left="0"/>
        <w:rPr>
          <w:b/>
          <w:sz w:val="13"/>
        </w:rPr>
      </w:pPr>
    </w:p>
    <w:p>
      <w:pPr>
        <w:pStyle w:val="6"/>
        <w:spacing w:before="71" w:line="304" w:lineRule="auto"/>
        <w:ind w:left="322" w:right="722" w:firstLine="400"/>
        <w:jc w:val="both"/>
      </w:pPr>
      <w:r>
        <mc:AlternateContent>
          <mc:Choice Requires="wps">
            <w:drawing>
              <wp:anchor distT="0" distB="0" distL="114300" distR="114300" simplePos="0" relativeHeight="482526208" behindDoc="1" locked="0" layoutInCell="1" allowOverlap="1">
                <wp:simplePos x="0" y="0"/>
                <wp:positionH relativeFrom="page">
                  <wp:posOffset>4306570</wp:posOffset>
                </wp:positionH>
                <wp:positionV relativeFrom="paragraph">
                  <wp:posOffset>597535</wp:posOffset>
                </wp:positionV>
                <wp:extent cx="251460" cy="5715"/>
                <wp:effectExtent l="0" t="0" r="0" b="0"/>
                <wp:wrapNone/>
                <wp:docPr id="347" name="任意多边形 307"/>
                <wp:cNvGraphicFramePr/>
                <a:graphic xmlns:a="http://schemas.openxmlformats.org/drawingml/2006/main">
                  <a:graphicData uri="http://schemas.microsoft.com/office/word/2010/wordprocessingShape">
                    <wps:wsp>
                      <wps:cNvSpPr/>
                      <wps:spPr>
                        <a:xfrm>
                          <a:off x="0" y="0"/>
                          <a:ext cx="251460" cy="5715"/>
                        </a:xfrm>
                        <a:custGeom>
                          <a:avLst/>
                          <a:gdLst/>
                          <a:ahLst/>
                          <a:cxnLst/>
                          <a:pathLst>
                            <a:path w="396" h="9">
                              <a:moveTo>
                                <a:pt x="0" y="0"/>
                              </a:moveTo>
                              <a:lnTo>
                                <a:pt x="18" y="9"/>
                              </a:lnTo>
                              <a:lnTo>
                                <a:pt x="36" y="0"/>
                              </a:lnTo>
                              <a:lnTo>
                                <a:pt x="54" y="9"/>
                              </a:lnTo>
                              <a:lnTo>
                                <a:pt x="72" y="0"/>
                              </a:lnTo>
                              <a:lnTo>
                                <a:pt x="90" y="9"/>
                              </a:lnTo>
                              <a:lnTo>
                                <a:pt x="108" y="0"/>
                              </a:lnTo>
                              <a:lnTo>
                                <a:pt x="126" y="9"/>
                              </a:lnTo>
                              <a:lnTo>
                                <a:pt x="144" y="0"/>
                              </a:lnTo>
                              <a:lnTo>
                                <a:pt x="162" y="9"/>
                              </a:lnTo>
                              <a:lnTo>
                                <a:pt x="180" y="0"/>
                              </a:lnTo>
                              <a:lnTo>
                                <a:pt x="198" y="9"/>
                              </a:lnTo>
                              <a:lnTo>
                                <a:pt x="216" y="0"/>
                              </a:lnTo>
                              <a:lnTo>
                                <a:pt x="234" y="9"/>
                              </a:lnTo>
                              <a:lnTo>
                                <a:pt x="252" y="0"/>
                              </a:lnTo>
                              <a:lnTo>
                                <a:pt x="270" y="9"/>
                              </a:lnTo>
                              <a:lnTo>
                                <a:pt x="288" y="0"/>
                              </a:lnTo>
                              <a:lnTo>
                                <a:pt x="306" y="9"/>
                              </a:lnTo>
                              <a:lnTo>
                                <a:pt x="324" y="0"/>
                              </a:lnTo>
                              <a:lnTo>
                                <a:pt x="342" y="9"/>
                              </a:lnTo>
                              <a:lnTo>
                                <a:pt x="360" y="0"/>
                              </a:lnTo>
                              <a:lnTo>
                                <a:pt x="378" y="9"/>
                              </a:lnTo>
                              <a:lnTo>
                                <a:pt x="396" y="0"/>
                              </a:lnTo>
                            </a:path>
                          </a:pathLst>
                        </a:custGeom>
                        <a:noFill/>
                        <a:ln w="3619" cap="flat" cmpd="sng">
                          <a:solidFill>
                            <a:srgbClr val="00AFEF"/>
                          </a:solidFill>
                          <a:prstDash val="solid"/>
                          <a:headEnd type="none" w="med" len="med"/>
                          <a:tailEnd type="none" w="med" len="med"/>
                        </a:ln>
                      </wps:spPr>
                      <wps:bodyPr upright="1"/>
                    </wps:wsp>
                  </a:graphicData>
                </a:graphic>
              </wp:anchor>
            </w:drawing>
          </mc:Choice>
          <mc:Fallback>
            <w:pict>
              <v:shape id="任意多边形 307" o:spid="_x0000_s1026" o:spt="100" style="position:absolute;left:0pt;margin-left:339.1pt;margin-top:47.05pt;height:0.45pt;width:19.8pt;mso-position-horizontal-relative:page;z-index:-20790272;mso-width-relative:page;mso-height-relative:page;" filled="f" stroked="t" coordsize="396,9" o:gfxdata="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R8brydoAAAAJAQAADwAAAAAAAAABACAAAAAiAAAAZHJzL2Rvd25yZXYueG1sUEsBAhQAFAAAAAgA&#10;h07iQFS7FZOVAgAAVwcAAA4AAAAAAAAAAQAgAAAAKQEAAGRycy9lMm9Eb2MueG1sUEsFBgAAAAAG&#10;AAYAWQEAADAGAAAAAA==&#10;" path="m0,0l18,9,36,0,54,9,72,0,90,9,108,0,126,9,144,0,162,9,180,0,198,9,216,0,234,9,252,0,270,9,288,0,306,9,324,0,342,9,360,0,378,9,396,0e">
                <v:fill on="f" focussize="0,0"/>
                <v:stroke weight="0.28496062992126pt" color="#00AFEF" joinstyle="round"/>
                <v:imagedata o:title=""/>
                <o:lock v:ext="edit" aspectratio="f"/>
              </v:shape>
            </w:pict>
          </mc:Fallback>
        </mc:AlternateContent>
      </w:r>
      <w:r>
        <w:rPr>
          <w:spacing w:val="-6"/>
          <w:w w:val="95"/>
        </w:rPr>
        <w:t xml:space="preserve">“专用基金”科目核算事业单位按照规定提取或设置的具有专门用途的净资产，主要包括职工福利基金、科   </w:t>
      </w:r>
      <w:r>
        <w:rPr>
          <w:spacing w:val="-10"/>
          <w:w w:val="95"/>
        </w:rPr>
        <w:t xml:space="preserve">技成果转换基金等。事业单位从本年度非财政拨款结余或经营结余中提取专用基金的，在财务会计中通过“专用    </w:t>
      </w:r>
      <w:r>
        <w:rPr>
          <w:spacing w:val="-10"/>
        </w:rPr>
        <w:t>基金”科目核算的同时，还应在预算.会计“专用结余”科目进行</w:t>
      </w:r>
      <w:r>
        <w:rPr>
          <w:b/>
          <w:color w:val="00AFEF"/>
          <w:spacing w:val="-10"/>
        </w:rPr>
        <w:t>核算</w:t>
      </w:r>
      <w:r>
        <w:rPr>
          <w:spacing w:val="-10"/>
        </w:rPr>
        <w:t>。</w:t>
      </w:r>
    </w:p>
    <w:p>
      <w:pPr>
        <w:pStyle w:val="5"/>
        <w:spacing w:before="3"/>
      </w:pPr>
      <w:r>
        <w:t>（三）无偿调拨净资产</w:t>
      </w:r>
    </w:p>
    <w:p>
      <w:pPr>
        <w:pStyle w:val="6"/>
        <w:spacing w:line="302" w:lineRule="auto"/>
        <w:ind w:right="1161"/>
      </w:pPr>
      <w:r>
        <w:rPr>
          <w:w w:val="95"/>
        </w:rPr>
        <w:t>无偿调拨非现金资产不涉及资金业务，因此不需要进行预算会计核算（除非以现金支付相关费用等</w:t>
      </w:r>
      <w:r>
        <w:rPr>
          <w:spacing w:val="-99"/>
          <w:w w:val="95"/>
        </w:rPr>
        <w:t>）</w:t>
      </w:r>
      <w:r>
        <w:rPr>
          <w:w w:val="95"/>
        </w:rPr>
        <w:t xml:space="preserve">。   </w:t>
      </w:r>
      <w:r>
        <w:t>年末，单位应将“无偿调拨净资产”科目余额转入“累计盈余”科目。</w:t>
      </w:r>
    </w:p>
    <w:p>
      <w:pPr>
        <w:pStyle w:val="5"/>
        <w:spacing w:before="5"/>
      </w:pPr>
      <w:r>
        <w:t>（四）权益法调整</w:t>
      </w:r>
    </w:p>
    <w:p>
      <w:pPr>
        <w:pStyle w:val="6"/>
        <w:spacing w:line="304" w:lineRule="auto"/>
        <w:ind w:left="322" w:right="722" w:firstLine="400"/>
      </w:pPr>
      <w:r>
        <w:rPr>
          <w:spacing w:val="-6"/>
          <w:w w:val="95"/>
        </w:rPr>
        <w:t xml:space="preserve">“权益法调整”科目核算事业单位持有的长期股权投资采用权益法核算时，按照被投资单位除净损益和利润   </w:t>
      </w:r>
      <w:r>
        <w:rPr>
          <w:spacing w:val="-6"/>
        </w:rPr>
        <w:t>分配以外的所有者权益变动份额调整长期股权投资账面余额而计入净资产的金额。</w:t>
      </w:r>
    </w:p>
    <w:p>
      <w:pPr>
        <w:pStyle w:val="5"/>
        <w:spacing w:before="2"/>
      </w:pPr>
      <w:r>
        <w:t>（五）以前年度盈余调整</w:t>
      </w:r>
    </w:p>
    <w:p>
      <w:pPr>
        <w:pStyle w:val="6"/>
        <w:spacing w:line="304" w:lineRule="auto"/>
        <w:ind w:left="322" w:right="720" w:firstLine="400"/>
        <w:jc w:val="both"/>
      </w:pPr>
      <w:r>
        <w:rPr>
          <w:spacing w:val="-4"/>
          <w:w w:val="95"/>
        </w:rPr>
        <w:t xml:space="preserve">“以前年度盈余调整”科目核算单位本年度发生的调整以前年度盈余的事项，包括本年度发生的重要前期差    </w:t>
      </w:r>
      <w:r>
        <w:rPr>
          <w:spacing w:val="-8"/>
          <w:w w:val="95"/>
        </w:rPr>
        <w:t xml:space="preserve">错更正涉及调整以前年度盈余的事项。单位对相关事项调整后，应当及时将“以前年度盈余调整”科目余额转入    </w:t>
      </w:r>
      <w:r>
        <w:rPr>
          <w:spacing w:val="-8"/>
        </w:rPr>
        <w:t>“累计盈余”科目。</w:t>
      </w:r>
    </w:p>
    <w:p>
      <w:pPr>
        <w:pStyle w:val="5"/>
        <w:spacing w:before="0"/>
      </w:pPr>
      <w:r>
        <w:rPr>
          <w:w w:val="95"/>
        </w:rPr>
        <w:t>（六）累计盈余</w:t>
      </w:r>
    </w:p>
    <w:p>
      <w:pPr>
        <w:pStyle w:val="6"/>
        <w:spacing w:line="304" w:lineRule="auto"/>
        <w:ind w:left="322" w:right="720" w:firstLine="400"/>
      </w:pPr>
      <w:r>
        <w:rPr>
          <w:spacing w:val="-7"/>
        </w:rPr>
        <w:t>“累计盈余”科目核算单位历年实现的盈余扣除盈余分配后滚存的金额，以及因无偿调入调出资产产生的净资产变动额。</w:t>
      </w:r>
    </w:p>
    <w:p>
      <w:pPr>
        <w:pStyle w:val="6"/>
        <w:spacing w:before="2" w:line="302" w:lineRule="auto"/>
        <w:ind w:left="322" w:right="722" w:firstLine="400"/>
      </w:pPr>
      <w:r>
        <w:rPr>
          <w:spacing w:val="-7"/>
          <w:w w:val="95"/>
        </w:rPr>
        <w:t xml:space="preserve">按照规定上缴、缴回、单位间调剂结转结余资金产生的净资产变动额，以及对以前年度盈余的调整金额，也   </w:t>
      </w:r>
      <w:r>
        <w:rPr>
          <w:spacing w:val="-7"/>
        </w:rPr>
        <w:t>通过“累计盈余”科目核算。</w:t>
      </w:r>
    </w:p>
    <w:p>
      <w:pPr>
        <w:spacing w:before="0" w:line="261" w:lineRule="exact"/>
        <w:ind w:left="742" w:right="0" w:firstLine="0"/>
        <w:jc w:val="left"/>
        <w:rPr>
          <w:b/>
          <w:sz w:val="21"/>
        </w:rPr>
      </w:pPr>
      <w:r>
        <w:rPr>
          <w:b/>
          <w:sz w:val="21"/>
          <w:shd w:val="clear" w:color="auto" w:fill="C0C0C0"/>
        </w:rPr>
        <w:t>六、资产业务</w:t>
      </w:r>
    </w:p>
    <w:p>
      <w:pPr>
        <w:pStyle w:val="5"/>
      </w:pPr>
      <w:r>
        <w:t>（一）资产业务的几个共性内容</w:t>
      </w:r>
    </w:p>
    <w:p>
      <w:pPr>
        <w:pStyle w:val="13"/>
        <w:numPr>
          <w:ilvl w:val="0"/>
          <w:numId w:val="138"/>
        </w:numPr>
        <w:tabs>
          <w:tab w:val="left" w:pos="925"/>
        </w:tabs>
        <w:spacing w:before="70" w:after="0" w:line="304" w:lineRule="auto"/>
        <w:ind w:left="322" w:right="722" w:firstLine="400"/>
        <w:jc w:val="left"/>
        <w:rPr>
          <w:sz w:val="20"/>
        </w:rPr>
      </w:pPr>
      <w:r>
        <w:rPr>
          <w:spacing w:val="-7"/>
          <w:w w:val="95"/>
          <w:sz w:val="20"/>
        </w:rPr>
        <w:t xml:space="preserve">资产取得：单位资产取得的方式包括外购、自行加工或自行建造、接受捐赠、无偿调入、置换换入、租赁   </w:t>
      </w:r>
      <w:r>
        <w:rPr>
          <w:spacing w:val="-7"/>
          <w:sz w:val="20"/>
        </w:rPr>
        <w:t>等。资产在取得时按照成本进行初始计量</w:t>
      </w:r>
    </w:p>
    <w:p>
      <w:pPr>
        <w:pStyle w:val="13"/>
        <w:numPr>
          <w:ilvl w:val="0"/>
          <w:numId w:val="139"/>
        </w:numPr>
        <w:tabs>
          <w:tab w:val="left" w:pos="1224"/>
        </w:tabs>
        <w:spacing w:before="2" w:after="0" w:line="302" w:lineRule="auto"/>
        <w:ind w:left="322" w:right="761" w:firstLine="400"/>
        <w:jc w:val="left"/>
        <w:rPr>
          <w:sz w:val="20"/>
        </w:rPr>
      </w:pPr>
      <w:r>
        <w:rPr>
          <w:w w:val="95"/>
          <w:sz w:val="20"/>
        </w:rPr>
        <w:t xml:space="preserve">外购的资产，其成本通常包括购买价款、相关税费(不包括按规定可抵扣的增值税进项税额)，以及使   </w:t>
      </w:r>
      <w:r>
        <w:rPr>
          <w:sz w:val="20"/>
        </w:rPr>
        <w:t>得资产达到目前场所和状态或交付使用前所发生的归属于该项资产的其他费用。</w:t>
      </w:r>
    </w:p>
    <w:p>
      <w:pPr>
        <w:pStyle w:val="13"/>
        <w:numPr>
          <w:ilvl w:val="0"/>
          <w:numId w:val="139"/>
        </w:numPr>
        <w:tabs>
          <w:tab w:val="left" w:pos="1224"/>
        </w:tabs>
        <w:spacing w:before="5" w:after="0" w:line="240" w:lineRule="auto"/>
        <w:ind w:left="1223" w:right="0" w:hanging="501"/>
        <w:jc w:val="left"/>
        <w:rPr>
          <w:sz w:val="20"/>
        </w:rPr>
      </w:pPr>
      <w:r>
        <w:rPr>
          <w:sz w:val="20"/>
        </w:rPr>
        <w:t>自行加工或自行建造的资产，其成本包括该项资产至验收入库或交付使用前所发生的全部必要支出。</w:t>
      </w:r>
    </w:p>
    <w:p>
      <w:pPr>
        <w:pStyle w:val="13"/>
        <w:numPr>
          <w:ilvl w:val="0"/>
          <w:numId w:val="139"/>
        </w:numPr>
        <w:tabs>
          <w:tab w:val="left" w:pos="1224"/>
        </w:tabs>
        <w:spacing w:before="70" w:after="0" w:line="304" w:lineRule="auto"/>
        <w:ind w:left="322" w:right="722" w:firstLine="400"/>
        <w:jc w:val="left"/>
        <w:rPr>
          <w:sz w:val="20"/>
        </w:rPr>
      </w:pPr>
      <w:r>
        <w:rPr>
          <w:sz w:val="20"/>
        </w:rPr>
        <w:t>接受捐赠的非现金资产：①对于存货、固定资产、无形资产而言，其成本按照有关凭据注明的金额加</w:t>
      </w:r>
      <w:r>
        <w:rPr>
          <w:spacing w:val="-5"/>
          <w:w w:val="95"/>
          <w:sz w:val="20"/>
        </w:rPr>
        <w:t xml:space="preserve">上相关税费等确定；②没有相关凭据可供取得，但按规定经过资产评估的，其成本按照评估价值加上相关税费等    </w:t>
      </w:r>
      <w:r>
        <w:rPr>
          <w:spacing w:val="-8"/>
          <w:w w:val="95"/>
          <w:sz w:val="20"/>
        </w:rPr>
        <w:t xml:space="preserve">确定；③没有相关凭据可供取得、也未经资产评估的，其成本比照同类或类似资产的市场价格加上相关税费等确    </w:t>
      </w:r>
      <w:r>
        <w:rPr>
          <w:spacing w:val="-10"/>
          <w:sz w:val="20"/>
        </w:rPr>
        <w:t xml:space="preserve">定；④没有相关凭据且未经资产评估、同类或类似资产的市场价格也无法可靠取得的，按照名义金额(人民币 </w:t>
      </w:r>
      <w:r>
        <w:rPr>
          <w:sz w:val="20"/>
        </w:rPr>
        <w:t>1 元)入账。⑤对于投资和公共基础设施、政府储备物资、保障性住房、文物文化资产等经管资产而言，其初始成</w:t>
      </w:r>
      <w:r>
        <w:rPr>
          <w:spacing w:val="-4"/>
          <w:w w:val="95"/>
          <w:sz w:val="20"/>
        </w:rPr>
        <w:t xml:space="preserve">本只能按照前三个层次进行计量，不能采用名义金额计量。⑥单位对于接受捐赠的资产，其成本能够确定的，应    </w:t>
      </w:r>
      <w:r>
        <w:rPr>
          <w:spacing w:val="-7"/>
          <w:w w:val="95"/>
          <w:sz w:val="20"/>
        </w:rPr>
        <w:t xml:space="preserve">当按照确定的成本减去相关税费后的净额计入捐赠收入。资产成本不能确定的，单独设置备查簿进行登记，相关    </w:t>
      </w:r>
      <w:r>
        <w:rPr>
          <w:spacing w:val="-7"/>
          <w:sz w:val="20"/>
        </w:rPr>
        <w:t>税费等计入当期费用。</w:t>
      </w:r>
    </w:p>
    <w:p>
      <w:pPr>
        <w:pStyle w:val="13"/>
        <w:numPr>
          <w:ilvl w:val="0"/>
          <w:numId w:val="139"/>
        </w:numPr>
        <w:tabs>
          <w:tab w:val="left" w:pos="1224"/>
        </w:tabs>
        <w:spacing w:before="5" w:after="0" w:line="304" w:lineRule="auto"/>
        <w:ind w:left="322" w:right="761" w:firstLine="400"/>
        <w:jc w:val="left"/>
        <w:rPr>
          <w:sz w:val="20"/>
        </w:rPr>
      </w:pPr>
      <w:r>
        <w:rPr>
          <w:w w:val="95"/>
          <w:sz w:val="20"/>
        </w:rPr>
        <w:t xml:space="preserve">无偿调入的资产，其成本按照调出方账面价值加上相关税费等确定，根据确定的成本减去相关税费后   </w:t>
      </w:r>
      <w:r>
        <w:rPr>
          <w:sz w:val="20"/>
        </w:rPr>
        <w:t>的金额计入无偿调拨净资产。</w:t>
      </w:r>
    </w:p>
    <w:p>
      <w:pPr>
        <w:pStyle w:val="13"/>
        <w:numPr>
          <w:ilvl w:val="0"/>
          <w:numId w:val="139"/>
        </w:numPr>
        <w:tabs>
          <w:tab w:val="left" w:pos="1224"/>
        </w:tabs>
        <w:spacing w:before="0" w:after="0" w:line="304" w:lineRule="auto"/>
        <w:ind w:left="322" w:right="761" w:firstLine="400"/>
        <w:jc w:val="left"/>
        <w:rPr>
          <w:sz w:val="20"/>
        </w:rPr>
      </w:pPr>
      <w:r>
        <w:rPr>
          <w:w w:val="95"/>
          <w:sz w:val="20"/>
        </w:rPr>
        <w:t xml:space="preserve">置换取得的资产，其成本按照换出资产的评估价值，加上支付的补价或减去收到的补价，加上为换入   </w:t>
      </w:r>
      <w:r>
        <w:rPr>
          <w:sz w:val="20"/>
        </w:rPr>
        <w:t>资产发生的其他相关支出确定。</w:t>
      </w:r>
    </w:p>
    <w:p>
      <w:pPr>
        <w:pStyle w:val="13"/>
        <w:numPr>
          <w:ilvl w:val="0"/>
          <w:numId w:val="138"/>
        </w:numPr>
        <w:tabs>
          <w:tab w:val="left" w:pos="925"/>
        </w:tabs>
        <w:spacing w:before="2" w:after="0" w:line="240" w:lineRule="auto"/>
        <w:ind w:left="924" w:right="0" w:hanging="202"/>
        <w:jc w:val="left"/>
        <w:rPr>
          <w:sz w:val="20"/>
        </w:rPr>
      </w:pPr>
      <w:r>
        <w:rPr>
          <w:sz w:val="20"/>
        </w:rPr>
        <w:t>资产处置</w:t>
      </w:r>
    </w:p>
    <w:p>
      <w:pPr>
        <w:spacing w:after="0" w:line="240" w:lineRule="auto"/>
        <w:jc w:val="left"/>
        <w:rPr>
          <w:sz w:val="20"/>
        </w:rPr>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20" w:firstLine="400"/>
      </w:pPr>
      <w:r>
        <w:rPr>
          <w:spacing w:val="-7"/>
          <w:w w:val="95"/>
        </w:rPr>
        <w:t xml:space="preserve">①资产处置的形式包括无偿调拨、出售、出让、转让、置换、对外捐赠、报废、毁损以及货币性资产损失核   </w:t>
      </w:r>
      <w:r>
        <w:rPr>
          <w:spacing w:val="-7"/>
        </w:rPr>
        <w:t>销等。</w:t>
      </w:r>
    </w:p>
    <w:p>
      <w:pPr>
        <w:pStyle w:val="6"/>
        <w:spacing w:before="2" w:line="304" w:lineRule="auto"/>
        <w:ind w:left="322" w:right="722" w:firstLine="400"/>
        <w:jc w:val="both"/>
      </w:pPr>
      <w:r>
        <w:rPr>
          <w:spacing w:val="-3"/>
          <w:w w:val="95"/>
        </w:rPr>
        <w:t xml:space="preserve">②单位应当按规定报经批准后对资产进行处置。通常情况下，单位应当将被处置资产账面价值转销计入资产    </w:t>
      </w:r>
      <w:r>
        <w:rPr>
          <w:spacing w:val="-9"/>
          <w:w w:val="95"/>
        </w:rPr>
        <w:t xml:space="preserve">处置费用，并按照“收支两条线”将处置净收益上缴财政。如按规定将资产处置净收益纳入单位预算管理的，应    </w:t>
      </w:r>
      <w:r>
        <w:rPr>
          <w:spacing w:val="-9"/>
        </w:rPr>
        <w:t>将净收益计入当期收入。</w:t>
      </w:r>
    </w:p>
    <w:p>
      <w:pPr>
        <w:pStyle w:val="6"/>
        <w:spacing w:before="0" w:line="304" w:lineRule="auto"/>
        <w:ind w:left="322" w:right="722" w:firstLine="400"/>
      </w:pPr>
      <w:r>
        <w:rPr>
          <w:spacing w:val="-6"/>
          <w:w w:val="95"/>
        </w:rPr>
        <w:t xml:space="preserve">③对于资产盘盈、盘亏、报废或毁损的，应当在报经批转前将相关资产账面价值转入“待处理财产损溢”科   </w:t>
      </w:r>
      <w:r>
        <w:rPr>
          <w:spacing w:val="-6"/>
        </w:rPr>
        <w:t>目，待报经批准后再进行资产处置。</w:t>
      </w:r>
    </w:p>
    <w:p>
      <w:pPr>
        <w:pStyle w:val="6"/>
        <w:spacing w:before="2" w:line="304" w:lineRule="auto"/>
        <w:ind w:right="2462"/>
      </w:pPr>
      <w:r>
        <w:rPr>
          <w:w w:val="95"/>
        </w:rPr>
        <w:t xml:space="preserve">④对于无偿调出的资产，单位应当在转销被处置资产账面价值时冲减无偿调拨净资产。  </w:t>
      </w:r>
      <w:r>
        <w:t>对于置换换出的资产，应当与换入资产一同进行相关会计处理。</w:t>
      </w:r>
    </w:p>
    <w:p>
      <w:pPr>
        <w:pStyle w:val="5"/>
        <w:spacing w:before="2" w:line="304" w:lineRule="auto"/>
        <w:ind w:right="8455"/>
      </w:pPr>
      <w:r>
        <w:t>（二）固定资产 1.</w:t>
      </w:r>
      <w:r>
        <w:rPr>
          <w:spacing w:val="-2"/>
        </w:rPr>
        <w:t>固定资产的分类</w:t>
      </w:r>
    </w:p>
    <w:p>
      <w:pPr>
        <w:pStyle w:val="6"/>
        <w:spacing w:before="0" w:line="304" w:lineRule="auto"/>
        <w:ind w:left="322" w:right="662" w:firstLine="400"/>
        <w:jc w:val="both"/>
      </w:pPr>
      <w:r>
        <w:rPr>
          <w:w w:val="95"/>
        </w:rPr>
        <w:t xml:space="preserve">固定资产一般分为六类：房屋及构筑物；专用设备；通用设备；文物和陈列品；图书、档案；家具、用具、   </w:t>
      </w:r>
      <w:r>
        <w:rPr>
          <w:spacing w:val="-3"/>
        </w:rPr>
        <w:t>装具及动植物。单位价值虽未达到规定标准，</w:t>
      </w:r>
      <w:r>
        <w:rPr>
          <w:color w:val="FF0000"/>
          <w:spacing w:val="-7"/>
          <w:u w:val="double" w:color="FF0000"/>
        </w:rPr>
        <w:t xml:space="preserve">但是使用年限超过 </w:t>
      </w:r>
      <w:r>
        <w:rPr>
          <w:color w:val="FF0000"/>
          <w:u w:val="double" w:color="FF0000"/>
        </w:rPr>
        <w:t>1</w:t>
      </w:r>
      <w:r>
        <w:rPr>
          <w:color w:val="FF0000"/>
          <w:spacing w:val="-33"/>
          <w:u w:val="double" w:color="FF0000"/>
        </w:rPr>
        <w:t xml:space="preserve"> 年</w:t>
      </w:r>
      <w:r>
        <w:rPr>
          <w:color w:val="FF0000"/>
          <w:u w:val="double" w:color="FF0000"/>
        </w:rPr>
        <w:t>（</w:t>
      </w:r>
      <w:r>
        <w:rPr>
          <w:color w:val="FF0000"/>
          <w:spacing w:val="-18"/>
          <w:u w:val="double" w:color="FF0000"/>
        </w:rPr>
        <w:t xml:space="preserve">不含 </w:t>
      </w:r>
      <w:r>
        <w:rPr>
          <w:color w:val="FF0000"/>
          <w:u w:val="double" w:color="FF0000"/>
        </w:rPr>
        <w:t>1</w:t>
      </w:r>
      <w:r>
        <w:rPr>
          <w:color w:val="FF0000"/>
          <w:spacing w:val="-29"/>
          <w:u w:val="double" w:color="FF0000"/>
        </w:rPr>
        <w:t xml:space="preserve"> 年</w:t>
      </w:r>
      <w:r>
        <w:rPr>
          <w:color w:val="FF0000"/>
          <w:spacing w:val="-7"/>
          <w:u w:val="double" w:color="FF0000"/>
        </w:rPr>
        <w:t>）</w:t>
      </w:r>
      <w:r>
        <w:rPr>
          <w:color w:val="FF0000"/>
          <w:spacing w:val="-3"/>
          <w:u w:val="double" w:color="FF0000"/>
        </w:rPr>
        <w:t>的大批同类物资，如图书、家</w:t>
      </w:r>
      <w:r>
        <w:rPr>
          <w:color w:val="FF0000"/>
          <w:spacing w:val="-140"/>
          <w:u w:val="double" w:color="FF0000"/>
        </w:rPr>
        <w:t>具</w:t>
      </w:r>
      <w:r>
        <w:rPr>
          <w:color w:val="FF0000"/>
          <w:u w:val="double" w:color="FF0000"/>
        </w:rPr>
        <w:t>、用具、装具等，应当确认为固定资产。</w:t>
      </w:r>
    </w:p>
    <w:p>
      <w:pPr>
        <w:pStyle w:val="6"/>
        <w:spacing w:before="3"/>
      </w:pPr>
      <w:r>
        <w:t>购入需要安装的固定资产，应当先通过“在建工程”科目核算，安装完毕交付使用时再转入“固定资产”科</w:t>
      </w:r>
    </w:p>
    <w:p>
      <w:pPr>
        <w:pStyle w:val="6"/>
        <w:ind w:left="322"/>
      </w:pPr>
      <w:r>
        <w:rPr>
          <w:w w:val="99"/>
        </w:rPr>
        <w:t>目</w:t>
      </w:r>
    </w:p>
    <w:p>
      <w:pPr>
        <w:pStyle w:val="5"/>
      </w:pPr>
      <w:r>
        <w:t>2.固定资产的折旧</w:t>
      </w:r>
    </w:p>
    <w:p>
      <w:pPr>
        <w:pStyle w:val="13"/>
        <w:numPr>
          <w:ilvl w:val="0"/>
          <w:numId w:val="140"/>
        </w:numPr>
        <w:tabs>
          <w:tab w:val="left" w:pos="1224"/>
        </w:tabs>
        <w:spacing w:before="68" w:after="0" w:line="240" w:lineRule="auto"/>
        <w:ind w:left="1223" w:right="0" w:hanging="501"/>
        <w:jc w:val="left"/>
        <w:rPr>
          <w:sz w:val="20"/>
        </w:rPr>
      </w:pPr>
      <w:r>
        <w:rPr>
          <w:sz w:val="20"/>
        </w:rPr>
        <w:t>单位应当按月对固定资产计提折旧，下列固定资产除外：</w:t>
      </w:r>
    </w:p>
    <w:p>
      <w:pPr>
        <w:pStyle w:val="6"/>
      </w:pPr>
      <w:r>
        <w:t>①文物和陈列品；</w:t>
      </w:r>
    </w:p>
    <w:p>
      <w:pPr>
        <w:pStyle w:val="6"/>
      </w:pPr>
      <w:r>
        <w:t>②动植物；</w:t>
      </w:r>
    </w:p>
    <w:p>
      <w:pPr>
        <w:pStyle w:val="6"/>
      </w:pPr>
      <w:r>
        <w:t>③图书、档案；</w:t>
      </w:r>
    </w:p>
    <w:p>
      <w:pPr>
        <w:pStyle w:val="6"/>
      </w:pPr>
      <w:r>
        <w:t>④单独计价入账的土地；</w:t>
      </w:r>
    </w:p>
    <w:p>
      <w:pPr>
        <w:pStyle w:val="6"/>
      </w:pPr>
      <w:r>
        <w:t>⑤以名义金额计量的固定资产。</w:t>
      </w:r>
    </w:p>
    <w:p>
      <w:pPr>
        <w:pStyle w:val="13"/>
        <w:numPr>
          <w:ilvl w:val="0"/>
          <w:numId w:val="140"/>
        </w:numPr>
        <w:tabs>
          <w:tab w:val="left" w:pos="1224"/>
        </w:tabs>
        <w:spacing w:before="68" w:after="0" w:line="240" w:lineRule="auto"/>
        <w:ind w:left="1223" w:right="0" w:hanging="501"/>
        <w:jc w:val="left"/>
        <w:rPr>
          <w:sz w:val="20"/>
        </w:rPr>
      </w:pPr>
      <w:r>
        <w:rPr>
          <w:w w:val="95"/>
          <w:sz w:val="20"/>
        </w:rPr>
        <w:t>因改建、扩建等原因而延长固定资产使用年限的，应当重新确定固定资产的折旧年限。</w:t>
      </w:r>
    </w:p>
    <w:p>
      <w:pPr>
        <w:pStyle w:val="6"/>
      </w:pPr>
      <w:r>
        <w:rPr>
          <w:spacing w:val="-7"/>
          <w:w w:val="95"/>
        </w:rPr>
        <w:t>单位盘盈、无偿调入、接受捐赠以及置换的固定资产，应当考虑该项资产的新旧程度，按照其尚可使用的年</w:t>
      </w:r>
    </w:p>
    <w:p>
      <w:pPr>
        <w:pStyle w:val="6"/>
        <w:ind w:left="322"/>
      </w:pPr>
      <w:r>
        <w:t>限计提折旧。</w:t>
      </w:r>
    </w:p>
    <w:p>
      <w:pPr>
        <w:pStyle w:val="13"/>
        <w:numPr>
          <w:ilvl w:val="0"/>
          <w:numId w:val="140"/>
        </w:numPr>
        <w:tabs>
          <w:tab w:val="left" w:pos="1224"/>
        </w:tabs>
        <w:spacing w:before="71" w:after="0" w:line="304" w:lineRule="auto"/>
        <w:ind w:left="322" w:right="761" w:firstLine="400"/>
        <w:jc w:val="left"/>
        <w:rPr>
          <w:sz w:val="20"/>
        </w:rPr>
      </w:pPr>
      <w:r>
        <w:rPr>
          <w:w w:val="95"/>
          <w:sz w:val="20"/>
        </w:rPr>
        <w:t xml:space="preserve">固定资产应当按月计提折旧，当月增加的固定资产，当月开始计提折旧；当月减少的固定资产，当月   </w:t>
      </w:r>
      <w:r>
        <w:rPr>
          <w:sz w:val="20"/>
        </w:rPr>
        <w:t>不再计提折旧。</w:t>
      </w:r>
    </w:p>
    <w:p>
      <w:pPr>
        <w:pStyle w:val="6"/>
        <w:spacing w:before="2" w:line="302" w:lineRule="auto"/>
        <w:ind w:left="322" w:right="722" w:firstLine="400"/>
      </w:pPr>
      <w:r>
        <w:rPr>
          <w:spacing w:val="-6"/>
          <w:w w:val="95"/>
        </w:rPr>
        <w:t xml:space="preserve">固定资产提足折旧后，无论能否继续使用，均不再计提折旧；已提足折旧的固定资产，可以继续使用的，应   </w:t>
      </w:r>
      <w:r>
        <w:rPr>
          <w:spacing w:val="-6"/>
        </w:rPr>
        <w:t>当继续使用，规范实物管理。</w:t>
      </w:r>
    </w:p>
    <w:p>
      <w:pPr>
        <w:pStyle w:val="6"/>
        <w:spacing w:before="4"/>
      </w:pPr>
      <w:r>
        <w:t>提前报废的固定资产，也不再补提折旧。</w:t>
      </w:r>
    </w:p>
    <w:p>
      <w:pPr>
        <w:pStyle w:val="5"/>
      </w:pPr>
      <w:r>
        <w:t>（一）应缴财政款</w:t>
      </w:r>
    </w:p>
    <w:p>
      <w:pPr>
        <w:pStyle w:val="6"/>
      </w:pPr>
      <w:r>
        <w:t>应缴财政款是指单位取得或应收的按照规定应当上缴财政的款项，包括应缴国库的款项和应缴财政专户的款</w:t>
      </w:r>
    </w:p>
    <w:p>
      <w:pPr>
        <w:pStyle w:val="6"/>
        <w:spacing w:before="71"/>
        <w:ind w:left="322"/>
      </w:pPr>
      <w:r>
        <w:t>项。</w:t>
      </w:r>
    </w:p>
    <w:p>
      <w:pPr>
        <w:pStyle w:val="6"/>
      </w:pPr>
      <w:r>
        <w:rPr>
          <w:spacing w:val="-4"/>
          <w:w w:val="99"/>
        </w:rPr>
        <w:t>单位按照国家税法等有关规定应当缴纳的各种税费，通过“应交增值税”“其他应交税费”科目核算，不通</w:t>
      </w:r>
    </w:p>
    <w:p>
      <w:pPr>
        <w:pStyle w:val="6"/>
        <w:spacing w:before="68"/>
        <w:ind w:left="0" w:right="7540"/>
        <w:jc w:val="center"/>
      </w:pPr>
      <w:r>
        <w:t>过“应缴财政款”科目核算。</w:t>
      </w:r>
    </w:p>
    <w:p>
      <w:pPr>
        <w:pStyle w:val="5"/>
        <w:ind w:left="0" w:right="7533"/>
        <w:jc w:val="center"/>
      </w:pPr>
      <w:r>
        <w:t>（二）应付职工薪酬</w:t>
      </w:r>
    </w:p>
    <w:p>
      <w:pPr>
        <w:pStyle w:val="6"/>
        <w:ind w:left="455" w:right="397"/>
        <w:jc w:val="center"/>
      </w:pPr>
      <w:r>
        <w:t>应付职工薪酬是指按照有关规定应付给职工（含长期聘用人员）及为职工支付的各种薪酬，包括</w:t>
      </w:r>
      <w:r>
        <w:rPr>
          <w:color w:val="FF0000"/>
          <w:u w:val="double" w:color="FF0000"/>
        </w:rPr>
        <w:t>基本工资、</w:t>
      </w:r>
    </w:p>
    <w:p>
      <w:pPr>
        <w:spacing w:after="0"/>
        <w:jc w:val="center"/>
        <w:sectPr>
          <w:pgSz w:w="11910" w:h="16160"/>
          <w:pgMar w:top="1680" w:right="360" w:bottom="860" w:left="760" w:header="0" w:footer="548" w:gutter="0"/>
        </w:sectPr>
      </w:pPr>
    </w:p>
    <w:p>
      <w:pPr>
        <w:pStyle w:val="6"/>
        <w:spacing w:before="11"/>
        <w:ind w:left="0"/>
        <w:rPr>
          <w:sz w:val="13"/>
        </w:rPr>
      </w:pPr>
    </w:p>
    <w:p>
      <w:pPr>
        <w:pStyle w:val="6"/>
        <w:spacing w:before="71" w:line="304" w:lineRule="auto"/>
        <w:ind w:left="322" w:right="761"/>
      </w:pPr>
      <w:r>
        <w:rPr>
          <w:color w:val="FF0000"/>
          <w:w w:val="95"/>
          <w:u w:val="double" w:color="FF0000"/>
        </w:rPr>
        <w:t>国家统一规定的津贴补贴、规范津贴补贴（绩效工资</w:t>
      </w:r>
      <w:r>
        <w:rPr>
          <w:color w:val="FF0000"/>
          <w:spacing w:val="-99"/>
          <w:w w:val="95"/>
          <w:u w:val="double" w:color="FF0000"/>
        </w:rPr>
        <w:t>）</w:t>
      </w:r>
      <w:r>
        <w:rPr>
          <w:color w:val="FF0000"/>
          <w:w w:val="95"/>
          <w:u w:val="double" w:color="FF0000"/>
        </w:rPr>
        <w:t>、改革性补贴、社会保险费（如职工基本养老保险费、职</w:t>
      </w:r>
      <w:r>
        <w:rPr>
          <w:color w:val="FF0000"/>
          <w:spacing w:val="-199"/>
          <w:w w:val="95"/>
          <w:u w:val="double" w:color="FF0000"/>
        </w:rPr>
        <w:t>业</w:t>
      </w:r>
      <w:r>
        <w:rPr>
          <w:color w:val="FF0000"/>
          <w:spacing w:val="211"/>
          <w:w w:val="95"/>
          <w:u w:val="double" w:color="FF0000"/>
        </w:rPr>
        <w:t xml:space="preserve"> </w:t>
      </w:r>
      <w:r>
        <w:rPr>
          <w:color w:val="FF0000"/>
          <w:u w:val="double" w:color="FF0000"/>
        </w:rPr>
        <w:t>年金、基本医疗保险费等</w:t>
      </w:r>
      <w:r>
        <w:rPr>
          <w:color w:val="FF0000"/>
          <w:spacing w:val="-99"/>
          <w:u w:val="double" w:color="FF0000"/>
        </w:rPr>
        <w:t>）</w:t>
      </w:r>
      <w:r>
        <w:rPr>
          <w:color w:val="FF0000"/>
          <w:u w:val="double" w:color="FF0000"/>
        </w:rPr>
        <w:t>、住房公积金等。</w:t>
      </w:r>
    </w:p>
    <w:p>
      <w:pPr>
        <w:pStyle w:val="6"/>
        <w:spacing w:before="2"/>
        <w:ind w:left="4992"/>
      </w:pPr>
      <w:r>
        <w:rPr>
          <w:color w:val="FF0000"/>
          <w:u w:val="double" w:color="FF0000"/>
        </w:rPr>
        <w:t>本章总结</w:t>
      </w:r>
    </w:p>
    <w:p>
      <w:pPr>
        <w:pStyle w:val="13"/>
        <w:numPr>
          <w:ilvl w:val="0"/>
          <w:numId w:val="141"/>
        </w:numPr>
        <w:tabs>
          <w:tab w:val="left" w:pos="925"/>
        </w:tabs>
        <w:spacing w:before="70" w:after="0" w:line="240" w:lineRule="auto"/>
        <w:ind w:left="924" w:right="0" w:hanging="202"/>
        <w:jc w:val="left"/>
        <w:rPr>
          <w:sz w:val="20"/>
        </w:rPr>
      </w:pPr>
      <w:r>
        <w:rPr>
          <w:sz w:val="20"/>
        </w:rPr>
        <w:t>掌握政府会计标准体系</w:t>
      </w:r>
    </w:p>
    <w:p>
      <w:pPr>
        <w:pStyle w:val="13"/>
        <w:numPr>
          <w:ilvl w:val="0"/>
          <w:numId w:val="141"/>
        </w:numPr>
        <w:tabs>
          <w:tab w:val="left" w:pos="925"/>
        </w:tabs>
        <w:spacing w:before="70" w:after="0" w:line="240" w:lineRule="auto"/>
        <w:ind w:left="924" w:right="0" w:hanging="202"/>
        <w:jc w:val="left"/>
        <w:rPr>
          <w:sz w:val="20"/>
        </w:rPr>
      </w:pPr>
      <w:r>
        <w:rPr>
          <w:sz w:val="20"/>
        </w:rPr>
        <w:t>掌握政府会计要素及其确认和计量标准</w:t>
      </w:r>
    </w:p>
    <w:p>
      <w:pPr>
        <w:pStyle w:val="13"/>
        <w:numPr>
          <w:ilvl w:val="0"/>
          <w:numId w:val="141"/>
        </w:numPr>
        <w:tabs>
          <w:tab w:val="left" w:pos="925"/>
        </w:tabs>
        <w:spacing w:before="68" w:after="0" w:line="240" w:lineRule="auto"/>
        <w:ind w:left="924" w:right="0" w:hanging="202"/>
        <w:jc w:val="left"/>
        <w:rPr>
          <w:sz w:val="20"/>
        </w:rPr>
      </w:pPr>
      <w:r>
        <w:rPr>
          <w:sz w:val="20"/>
        </w:rPr>
        <w:t>掌握政府会计核算模式</w:t>
      </w:r>
    </w:p>
    <w:p>
      <w:pPr>
        <w:pStyle w:val="13"/>
        <w:numPr>
          <w:ilvl w:val="0"/>
          <w:numId w:val="141"/>
        </w:numPr>
        <w:tabs>
          <w:tab w:val="left" w:pos="925"/>
        </w:tabs>
        <w:spacing w:before="70" w:after="0" w:line="240" w:lineRule="auto"/>
        <w:ind w:left="924" w:right="0" w:hanging="202"/>
        <w:jc w:val="left"/>
        <w:rPr>
          <w:sz w:val="20"/>
        </w:rPr>
      </w:pPr>
      <w:r>
        <w:rPr>
          <w:sz w:val="20"/>
        </w:rPr>
        <w:t>掌握政府财务报告和决算报告的内容和构成</w:t>
      </w:r>
    </w:p>
    <w:p>
      <w:pPr>
        <w:pStyle w:val="13"/>
        <w:numPr>
          <w:ilvl w:val="0"/>
          <w:numId w:val="141"/>
        </w:numPr>
        <w:tabs>
          <w:tab w:val="left" w:pos="925"/>
        </w:tabs>
        <w:spacing w:before="70" w:after="0" w:line="240" w:lineRule="auto"/>
        <w:ind w:left="924" w:right="0" w:hanging="202"/>
        <w:jc w:val="left"/>
        <w:rPr>
          <w:sz w:val="20"/>
        </w:rPr>
      </w:pPr>
      <w:r>
        <w:rPr>
          <w:sz w:val="20"/>
        </w:rPr>
        <w:t>掌握单位国库集中支付业务、预算结转结余及分配业务和典型的非财政拨款收支业务的核算</w:t>
      </w:r>
    </w:p>
    <w:p>
      <w:pPr>
        <w:pStyle w:val="13"/>
        <w:numPr>
          <w:ilvl w:val="0"/>
          <w:numId w:val="141"/>
        </w:numPr>
        <w:tabs>
          <w:tab w:val="left" w:pos="925"/>
        </w:tabs>
        <w:spacing w:before="70" w:after="0" w:line="240" w:lineRule="auto"/>
        <w:ind w:left="924" w:right="0" w:hanging="202"/>
        <w:jc w:val="left"/>
        <w:rPr>
          <w:sz w:val="20"/>
        </w:rPr>
      </w:pPr>
      <w:r>
        <w:rPr>
          <w:sz w:val="20"/>
        </w:rPr>
        <w:t>掌握单位净资产业务和典型的资产业务、负债业务的</w:t>
      </w:r>
      <w:bookmarkStart w:id="191" w:name="_GoBack"/>
      <w:bookmarkEnd w:id="191"/>
      <w:r>
        <w:rPr>
          <w:sz w:val="20"/>
        </w:rPr>
        <w:t>核算</w:t>
      </w:r>
      <w:r>
        <w:rPr>
          <w:rFonts w:hint="eastAsia"/>
          <w:sz w:val="20"/>
          <w:lang w:eastAsia="zh-CN"/>
        </w:rPr>
        <w:t>。</w:t>
      </w:r>
    </w:p>
    <w:p>
      <w:pPr>
        <w:spacing w:after="0" w:line="240" w:lineRule="auto"/>
        <w:jc w:val="left"/>
        <w:rPr>
          <w:sz w:val="20"/>
        </w:rPr>
        <w:sectPr>
          <w:pgSz w:w="11910" w:h="16160"/>
          <w:pgMar w:top="1680" w:right="360" w:bottom="860" w:left="760" w:header="0" w:footer="548" w:gutter="0"/>
        </w:sectPr>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0"/>
        <w:ind w:left="0"/>
      </w:pPr>
    </w:p>
    <w:p>
      <w:pPr>
        <w:pStyle w:val="6"/>
        <w:spacing w:before="5"/>
        <w:ind w:left="0"/>
        <w:rPr>
          <w:sz w:val="24"/>
        </w:rPr>
      </w:pPr>
    </w:p>
    <w:p>
      <w:pPr>
        <w:spacing w:before="1"/>
        <w:ind w:left="439" w:right="397" w:firstLine="0"/>
        <w:jc w:val="center"/>
        <w:rPr>
          <w:sz w:val="22"/>
        </w:rPr>
      </w:pPr>
    </w:p>
    <w:sectPr>
      <w:pgSz w:w="11910" w:h="16160"/>
      <w:pgMar w:top="1680" w:right="360" w:bottom="860" w:left="760" w:header="0" w:footer="548"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rPr>
        <w:sz w:val="12"/>
      </w:rPr>
    </w:pPr>
    <w:r>
      <mc:AlternateContent>
        <mc:Choice Requires="wps">
          <w:drawing>
            <wp:anchor distT="0" distB="0" distL="114300" distR="114300" simplePos="0" relativeHeight="482364416" behindDoc="1" locked="0" layoutInCell="1" allowOverlap="1">
              <wp:simplePos x="0" y="0"/>
              <wp:positionH relativeFrom="page">
                <wp:posOffset>3683000</wp:posOffset>
              </wp:positionH>
              <wp:positionV relativeFrom="page">
                <wp:posOffset>9698355</wp:posOffset>
              </wp:positionV>
              <wp:extent cx="192405" cy="139700"/>
              <wp:effectExtent l="0" t="0" r="0" b="0"/>
              <wp:wrapNone/>
              <wp:docPr id="361" name="文本框 1"/>
              <wp:cNvGraphicFramePr/>
              <a:graphic xmlns:a="http://schemas.openxmlformats.org/drawingml/2006/main">
                <a:graphicData uri="http://schemas.microsoft.com/office/word/2010/wordprocessingShape">
                  <wps:wsp>
                    <wps:cNvSpPr txBox="1"/>
                    <wps:spPr>
                      <a:xfrm>
                        <a:off x="0" y="0"/>
                        <a:ext cx="192405" cy="139700"/>
                      </a:xfrm>
                      <a:prstGeom prst="rect">
                        <a:avLst/>
                      </a:prstGeom>
                      <a:noFill/>
                      <a:ln>
                        <a:noFill/>
                      </a:ln>
                    </wps:spPr>
                    <wps:txbx>
                      <w:txbxContent>
                        <w:p>
                          <w:pPr>
                            <w:spacing w:before="0" w:line="203" w:lineRule="exact"/>
                            <w:ind w:left="60" w:right="0" w:firstLine="0"/>
                            <w:jc w:val="left"/>
                            <w:rPr>
                              <w:rFonts w:ascii="Calibri"/>
                              <w:sz w:val="18"/>
                            </w:rPr>
                          </w:pPr>
                          <w:r>
                            <w:fldChar w:fldCharType="begin"/>
                          </w:r>
                          <w:r>
                            <w:rPr>
                              <w:rFonts w:ascii="Calibri"/>
                              <w:sz w:val="18"/>
                            </w:rPr>
                            <w:instrText xml:space="preserve"> PAGE </w:instrText>
                          </w:r>
                          <w:r>
                            <w:fldChar w:fldCharType="separate"/>
                          </w:r>
                          <w:r>
                            <w:t>47</w:t>
                          </w:r>
                          <w:r>
                            <w:fldChar w:fldCharType="end"/>
                          </w:r>
                        </w:p>
                      </w:txbxContent>
                    </wps:txbx>
                    <wps:bodyPr lIns="0" tIns="0" rIns="0" bIns="0" upright="1"/>
                  </wps:wsp>
                </a:graphicData>
              </a:graphic>
            </wp:anchor>
          </w:drawing>
        </mc:Choice>
        <mc:Fallback>
          <w:pict>
            <v:shape id="文本框 1" o:spid="_x0000_s1026" o:spt="202" type="#_x0000_t202" style="position:absolute;left:0pt;margin-left:290pt;margin-top:763.65pt;height:11pt;width:15.15pt;mso-position-horizontal-relative:page;mso-position-vertical-relative:page;z-index:-20952064;mso-width-relative:page;mso-height-relative:page;" filled="f" stroked="f" coordsize="21600,21600" o:gfxdata="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u9IzVdsAAAANAQAADwAA&#10;AAAAAAABACAAAAAiAAAAZHJzL2Rvd25yZXYueG1sUEsBAhQAFAAAAAgAh07iQIwJOPihAQAAJQMA&#10;AA4AAAAAAAAAAQAgAAAAKgEAAGRycy9lMm9Eb2MueG1sUEsFBgAAAAAGAAYAWQEAAD0FAAAAAA==&#10;">
              <v:fill on="f" focussize="0,0"/>
              <v:stroke on="f"/>
              <v:imagedata o:title=""/>
              <o:lock v:ext="edit" aspectratio="f"/>
              <v:textbox inset="0mm,0mm,0mm,0mm">
                <w:txbxContent>
                  <w:p>
                    <w:pPr>
                      <w:spacing w:before="0" w:line="203" w:lineRule="exact"/>
                      <w:ind w:left="60" w:right="0" w:firstLine="0"/>
                      <w:jc w:val="left"/>
                      <w:rPr>
                        <w:rFonts w:ascii="Calibri"/>
                        <w:sz w:val="18"/>
                      </w:rPr>
                    </w:pPr>
                    <w:r>
                      <w:fldChar w:fldCharType="begin"/>
                    </w:r>
                    <w:r>
                      <w:rPr>
                        <w:rFonts w:ascii="Calibri"/>
                        <w:sz w:val="18"/>
                      </w:rPr>
                      <w:instrText xml:space="preserve"> PAGE </w:instrText>
                    </w:r>
                    <w:r>
                      <w:fldChar w:fldCharType="separate"/>
                    </w:r>
                    <w:r>
                      <w:t>47</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rPr>
        <w:sz w:val="8"/>
      </w:rPr>
    </w:pPr>
    <w:r>
      <mc:AlternateContent>
        <mc:Choice Requires="wps">
          <w:drawing>
            <wp:anchor distT="0" distB="0" distL="114300" distR="114300" simplePos="0" relativeHeight="482365440" behindDoc="1" locked="0" layoutInCell="1" allowOverlap="1">
              <wp:simplePos x="0" y="0"/>
              <wp:positionH relativeFrom="page">
                <wp:posOffset>3654425</wp:posOffset>
              </wp:positionH>
              <wp:positionV relativeFrom="page">
                <wp:posOffset>9698355</wp:posOffset>
              </wp:positionV>
              <wp:extent cx="250190" cy="139700"/>
              <wp:effectExtent l="0" t="0" r="0" b="0"/>
              <wp:wrapNone/>
              <wp:docPr id="362" name="文本框 2"/>
              <wp:cNvGraphicFramePr/>
              <a:graphic xmlns:a="http://schemas.openxmlformats.org/drawingml/2006/main">
                <a:graphicData uri="http://schemas.microsoft.com/office/word/2010/wordprocessingShape">
                  <wps:wsp>
                    <wps:cNvSpPr txBox="1"/>
                    <wps:spPr>
                      <a:xfrm>
                        <a:off x="0" y="0"/>
                        <a:ext cx="250190" cy="139700"/>
                      </a:xfrm>
                      <a:prstGeom prst="rect">
                        <a:avLst/>
                      </a:prstGeom>
                      <a:noFill/>
                      <a:ln>
                        <a:noFill/>
                      </a:ln>
                    </wps:spPr>
                    <wps:txbx>
                      <w:txbxContent>
                        <w:p>
                          <w:pPr>
                            <w:spacing w:before="0" w:line="203" w:lineRule="exact"/>
                            <w:ind w:left="60" w:right="0" w:firstLine="0"/>
                            <w:jc w:val="left"/>
                            <w:rPr>
                              <w:rFonts w:ascii="Calibri"/>
                              <w:sz w:val="18"/>
                            </w:rPr>
                          </w:pPr>
                          <w:r>
                            <w:fldChar w:fldCharType="begin"/>
                          </w:r>
                          <w:r>
                            <w:rPr>
                              <w:rFonts w:ascii="Calibri"/>
                              <w:sz w:val="18"/>
                            </w:rPr>
                            <w:instrText xml:space="preserve"> PAGE </w:instrText>
                          </w:r>
                          <w:r>
                            <w:fldChar w:fldCharType="separate"/>
                          </w:r>
                          <w:r>
                            <w:t>100</w:t>
                          </w:r>
                          <w:r>
                            <w:fldChar w:fldCharType="end"/>
                          </w:r>
                        </w:p>
                      </w:txbxContent>
                    </wps:txbx>
                    <wps:bodyPr lIns="0" tIns="0" rIns="0" bIns="0" upright="1"/>
                  </wps:wsp>
                </a:graphicData>
              </a:graphic>
            </wp:anchor>
          </w:drawing>
        </mc:Choice>
        <mc:Fallback>
          <w:pict>
            <v:shape id="文本框 2" o:spid="_x0000_s1026" o:spt="202" type="#_x0000_t202" style="position:absolute;left:0pt;margin-left:287.75pt;margin-top:763.65pt;height:11pt;width:19.7pt;mso-position-horizontal-relative:page;mso-position-vertical-relative:page;z-index:-20951040;mso-width-relative:page;mso-height-relative:page;" filled="f" stroked="f" coordsize="21600,21600" o:gfxdata="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p0ZQjcAAAADQEAAA8A&#10;AAAAAAAAAQAgAAAAIgAAAGRycy9kb3ducmV2LnhtbFBLAQIUABQAAAAIAIdO4kBAE42GoQEAACUD&#10;AAAOAAAAAAAAAAEAIAAAACsBAABkcnMvZTJvRG9jLnhtbFBLBQYAAAAABgAGAFkBAAA+BQAAAAA=&#10;">
              <v:fill on="f" focussize="0,0"/>
              <v:stroke on="f"/>
              <v:imagedata o:title=""/>
              <o:lock v:ext="edit" aspectratio="f"/>
              <v:textbox inset="0mm,0mm,0mm,0mm">
                <w:txbxContent>
                  <w:p>
                    <w:pPr>
                      <w:spacing w:before="0" w:line="203" w:lineRule="exact"/>
                      <w:ind w:left="60" w:right="0" w:firstLine="0"/>
                      <w:jc w:val="left"/>
                      <w:rPr>
                        <w:rFonts w:ascii="Calibri"/>
                        <w:sz w:val="18"/>
                      </w:rPr>
                    </w:pPr>
                    <w:r>
                      <w:fldChar w:fldCharType="begin"/>
                    </w:r>
                    <w:r>
                      <w:rPr>
                        <w:rFonts w:ascii="Calibri"/>
                        <w:sz w:val="18"/>
                      </w:rPr>
                      <w:instrText xml:space="preserve"> PAGE </w:instrText>
                    </w:r>
                    <w:r>
                      <w:fldChar w:fldCharType="separate"/>
                    </w:r>
                    <w:r>
                      <w:t>100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before="0" w:line="14" w:lineRule="auto"/>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multilevel"/>
    <w:tmpl w:val="804E4E29"/>
    <w:lvl w:ilvl="0" w:tentative="0">
      <w:start w:val="1"/>
      <w:numFmt w:val="decimal"/>
      <w:lvlText w:val="（%1）"/>
      <w:lvlJc w:val="left"/>
      <w:pPr>
        <w:ind w:left="7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726" w:hanging="500"/>
      </w:pPr>
      <w:rPr>
        <w:rFonts w:hint="default"/>
        <w:lang w:val="zh-CN" w:eastAsia="zh-CN" w:bidi="zh-CN"/>
      </w:rPr>
    </w:lvl>
    <w:lvl w:ilvl="2" w:tentative="0">
      <w:start w:val="0"/>
      <w:numFmt w:val="bullet"/>
      <w:lvlText w:val="•"/>
      <w:lvlJc w:val="left"/>
      <w:pPr>
        <w:ind w:left="2733" w:hanging="500"/>
      </w:pPr>
      <w:rPr>
        <w:rFonts w:hint="default"/>
        <w:lang w:val="zh-CN" w:eastAsia="zh-CN" w:bidi="zh-CN"/>
      </w:rPr>
    </w:lvl>
    <w:lvl w:ilvl="3" w:tentative="0">
      <w:start w:val="0"/>
      <w:numFmt w:val="bullet"/>
      <w:lvlText w:val="•"/>
      <w:lvlJc w:val="left"/>
      <w:pPr>
        <w:ind w:left="3739" w:hanging="500"/>
      </w:pPr>
      <w:rPr>
        <w:rFonts w:hint="default"/>
        <w:lang w:val="zh-CN" w:eastAsia="zh-CN" w:bidi="zh-CN"/>
      </w:rPr>
    </w:lvl>
    <w:lvl w:ilvl="4" w:tentative="0">
      <w:start w:val="0"/>
      <w:numFmt w:val="bullet"/>
      <w:lvlText w:val="•"/>
      <w:lvlJc w:val="left"/>
      <w:pPr>
        <w:ind w:left="474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59" w:hanging="500"/>
      </w:pPr>
      <w:rPr>
        <w:rFonts w:hint="default"/>
        <w:lang w:val="zh-CN" w:eastAsia="zh-CN" w:bidi="zh-CN"/>
      </w:rPr>
    </w:lvl>
    <w:lvl w:ilvl="7" w:tentative="0">
      <w:start w:val="0"/>
      <w:numFmt w:val="bullet"/>
      <w:lvlText w:val="•"/>
      <w:lvlJc w:val="left"/>
      <w:pPr>
        <w:ind w:left="7766" w:hanging="500"/>
      </w:pPr>
      <w:rPr>
        <w:rFonts w:hint="default"/>
        <w:lang w:val="zh-CN" w:eastAsia="zh-CN" w:bidi="zh-CN"/>
      </w:rPr>
    </w:lvl>
    <w:lvl w:ilvl="8" w:tentative="0">
      <w:start w:val="0"/>
      <w:numFmt w:val="bullet"/>
      <w:lvlText w:val="•"/>
      <w:lvlJc w:val="left"/>
      <w:pPr>
        <w:ind w:left="8772" w:hanging="500"/>
      </w:pPr>
      <w:rPr>
        <w:rFonts w:hint="default"/>
        <w:lang w:val="zh-CN" w:eastAsia="zh-CN" w:bidi="zh-CN"/>
      </w:rPr>
    </w:lvl>
  </w:abstractNum>
  <w:abstractNum w:abstractNumId="1">
    <w:nsid w:val="813A4B87"/>
    <w:multiLevelType w:val="multilevel"/>
    <w:tmpl w:val="813A4B87"/>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2">
    <w:nsid w:val="825EC3C5"/>
    <w:multiLevelType w:val="multilevel"/>
    <w:tmpl w:val="825EC3C5"/>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3">
    <w:nsid w:val="845B5372"/>
    <w:multiLevelType w:val="multilevel"/>
    <w:tmpl w:val="845B5372"/>
    <w:lvl w:ilvl="0" w:tentative="0">
      <w:start w:val="1"/>
      <w:numFmt w:val="lowerLetter"/>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4">
    <w:nsid w:val="8461FADE"/>
    <w:multiLevelType w:val="multilevel"/>
    <w:tmpl w:val="8461FADE"/>
    <w:lvl w:ilvl="0" w:tentative="0">
      <w:start w:val="1"/>
      <w:numFmt w:val="decimal"/>
      <w:lvlText w:val="（%1）"/>
      <w:lvlJc w:val="left"/>
      <w:pPr>
        <w:ind w:left="1223" w:hanging="500"/>
        <w:jc w:val="left"/>
      </w:pPr>
      <w:rPr>
        <w:rFonts w:hint="default"/>
        <w:w w:val="99"/>
        <w:lang w:val="zh-CN" w:eastAsia="zh-CN" w:bidi="zh-CN"/>
      </w:rPr>
    </w:lvl>
    <w:lvl w:ilvl="1" w:tentative="0">
      <w:start w:val="2"/>
      <w:numFmt w:val="decimal"/>
      <w:lvlText w:val="（%2）"/>
      <w:lvlJc w:val="left"/>
      <w:pPr>
        <w:ind w:left="2024" w:hanging="5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994" w:hanging="502"/>
      </w:pPr>
      <w:rPr>
        <w:rFonts w:hint="default"/>
        <w:lang w:val="zh-CN" w:eastAsia="zh-CN" w:bidi="zh-CN"/>
      </w:rPr>
    </w:lvl>
    <w:lvl w:ilvl="3" w:tentative="0">
      <w:start w:val="0"/>
      <w:numFmt w:val="bullet"/>
      <w:lvlText w:val="•"/>
      <w:lvlJc w:val="left"/>
      <w:pPr>
        <w:ind w:left="3968" w:hanging="502"/>
      </w:pPr>
      <w:rPr>
        <w:rFonts w:hint="default"/>
        <w:lang w:val="zh-CN" w:eastAsia="zh-CN" w:bidi="zh-CN"/>
      </w:rPr>
    </w:lvl>
    <w:lvl w:ilvl="4" w:tentative="0">
      <w:start w:val="0"/>
      <w:numFmt w:val="bullet"/>
      <w:lvlText w:val="•"/>
      <w:lvlJc w:val="left"/>
      <w:pPr>
        <w:ind w:left="4942" w:hanging="502"/>
      </w:pPr>
      <w:rPr>
        <w:rFonts w:hint="default"/>
        <w:lang w:val="zh-CN" w:eastAsia="zh-CN" w:bidi="zh-CN"/>
      </w:rPr>
    </w:lvl>
    <w:lvl w:ilvl="5" w:tentative="0">
      <w:start w:val="0"/>
      <w:numFmt w:val="bullet"/>
      <w:lvlText w:val="•"/>
      <w:lvlJc w:val="left"/>
      <w:pPr>
        <w:ind w:left="5916" w:hanging="502"/>
      </w:pPr>
      <w:rPr>
        <w:rFonts w:hint="default"/>
        <w:lang w:val="zh-CN" w:eastAsia="zh-CN" w:bidi="zh-CN"/>
      </w:rPr>
    </w:lvl>
    <w:lvl w:ilvl="6" w:tentative="0">
      <w:start w:val="0"/>
      <w:numFmt w:val="bullet"/>
      <w:lvlText w:val="•"/>
      <w:lvlJc w:val="left"/>
      <w:pPr>
        <w:ind w:left="6890" w:hanging="502"/>
      </w:pPr>
      <w:rPr>
        <w:rFonts w:hint="default"/>
        <w:lang w:val="zh-CN" w:eastAsia="zh-CN" w:bidi="zh-CN"/>
      </w:rPr>
    </w:lvl>
    <w:lvl w:ilvl="7" w:tentative="0">
      <w:start w:val="0"/>
      <w:numFmt w:val="bullet"/>
      <w:lvlText w:val="•"/>
      <w:lvlJc w:val="left"/>
      <w:pPr>
        <w:ind w:left="7864" w:hanging="502"/>
      </w:pPr>
      <w:rPr>
        <w:rFonts w:hint="default"/>
        <w:lang w:val="zh-CN" w:eastAsia="zh-CN" w:bidi="zh-CN"/>
      </w:rPr>
    </w:lvl>
    <w:lvl w:ilvl="8" w:tentative="0">
      <w:start w:val="0"/>
      <w:numFmt w:val="bullet"/>
      <w:lvlText w:val="•"/>
      <w:lvlJc w:val="left"/>
      <w:pPr>
        <w:ind w:left="8838" w:hanging="502"/>
      </w:pPr>
      <w:rPr>
        <w:rFonts w:hint="default"/>
        <w:lang w:val="zh-CN" w:eastAsia="zh-CN" w:bidi="zh-CN"/>
      </w:rPr>
    </w:lvl>
  </w:abstractNum>
  <w:abstractNum w:abstractNumId="5">
    <w:nsid w:val="883B3669"/>
    <w:multiLevelType w:val="multilevel"/>
    <w:tmpl w:val="883B3669"/>
    <w:lvl w:ilvl="0" w:tentative="0">
      <w:start w:val="1"/>
      <w:numFmt w:val="decimal"/>
      <w:lvlText w:val="%1."/>
      <w:lvlJc w:val="left"/>
      <w:pPr>
        <w:ind w:left="924" w:hanging="202"/>
        <w:jc w:val="left"/>
      </w:pPr>
      <w:rPr>
        <w:rFonts w:hint="default"/>
        <w:b/>
        <w:bCs/>
        <w:spacing w:val="1"/>
        <w:w w:val="9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6">
    <w:nsid w:val="8CAEB125"/>
    <w:multiLevelType w:val="multilevel"/>
    <w:tmpl w:val="8CAEB125"/>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7">
    <w:nsid w:val="91995D4F"/>
    <w:multiLevelType w:val="multilevel"/>
    <w:tmpl w:val="91995D4F"/>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8">
    <w:nsid w:val="91B69C97"/>
    <w:multiLevelType w:val="multilevel"/>
    <w:tmpl w:val="91B69C97"/>
    <w:lvl w:ilvl="0" w:tentative="0">
      <w:start w:val="1"/>
      <w:numFmt w:val="decimal"/>
      <w:lvlText w:val="%1."/>
      <w:lvlJc w:val="left"/>
      <w:pPr>
        <w:ind w:left="924" w:hanging="202"/>
        <w:jc w:val="left"/>
      </w:pPr>
      <w:rPr>
        <w:rFonts w:hint="default" w:ascii="宋体" w:hAnsi="宋体" w:eastAsia="宋体" w:cs="宋体"/>
        <w:spacing w:val="-2"/>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9">
    <w:nsid w:val="9239341B"/>
    <w:multiLevelType w:val="multilevel"/>
    <w:tmpl w:val="9239341B"/>
    <w:lvl w:ilvl="0" w:tentative="0">
      <w:start w:val="1"/>
      <w:numFmt w:val="decimal"/>
      <w:lvlText w:val="%1."/>
      <w:lvlJc w:val="left"/>
      <w:pPr>
        <w:ind w:left="108"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519" w:hanging="202"/>
      </w:pPr>
      <w:rPr>
        <w:rFonts w:hint="default"/>
        <w:lang w:val="zh-CN" w:eastAsia="zh-CN" w:bidi="zh-CN"/>
      </w:rPr>
    </w:lvl>
    <w:lvl w:ilvl="2" w:tentative="0">
      <w:start w:val="0"/>
      <w:numFmt w:val="bullet"/>
      <w:lvlText w:val="•"/>
      <w:lvlJc w:val="left"/>
      <w:pPr>
        <w:ind w:left="939" w:hanging="202"/>
      </w:pPr>
      <w:rPr>
        <w:rFonts w:hint="default"/>
        <w:lang w:val="zh-CN" w:eastAsia="zh-CN" w:bidi="zh-CN"/>
      </w:rPr>
    </w:lvl>
    <w:lvl w:ilvl="3" w:tentative="0">
      <w:start w:val="0"/>
      <w:numFmt w:val="bullet"/>
      <w:lvlText w:val="•"/>
      <w:lvlJc w:val="left"/>
      <w:pPr>
        <w:ind w:left="1359" w:hanging="202"/>
      </w:pPr>
      <w:rPr>
        <w:rFonts w:hint="default"/>
        <w:lang w:val="zh-CN" w:eastAsia="zh-CN" w:bidi="zh-CN"/>
      </w:rPr>
    </w:lvl>
    <w:lvl w:ilvl="4" w:tentative="0">
      <w:start w:val="0"/>
      <w:numFmt w:val="bullet"/>
      <w:lvlText w:val="•"/>
      <w:lvlJc w:val="left"/>
      <w:pPr>
        <w:ind w:left="1779" w:hanging="202"/>
      </w:pPr>
      <w:rPr>
        <w:rFonts w:hint="default"/>
        <w:lang w:val="zh-CN" w:eastAsia="zh-CN" w:bidi="zh-CN"/>
      </w:rPr>
    </w:lvl>
    <w:lvl w:ilvl="5" w:tentative="0">
      <w:start w:val="0"/>
      <w:numFmt w:val="bullet"/>
      <w:lvlText w:val="•"/>
      <w:lvlJc w:val="left"/>
      <w:pPr>
        <w:ind w:left="2199" w:hanging="202"/>
      </w:pPr>
      <w:rPr>
        <w:rFonts w:hint="default"/>
        <w:lang w:val="zh-CN" w:eastAsia="zh-CN" w:bidi="zh-CN"/>
      </w:rPr>
    </w:lvl>
    <w:lvl w:ilvl="6" w:tentative="0">
      <w:start w:val="0"/>
      <w:numFmt w:val="bullet"/>
      <w:lvlText w:val="•"/>
      <w:lvlJc w:val="left"/>
      <w:pPr>
        <w:ind w:left="2619" w:hanging="202"/>
      </w:pPr>
      <w:rPr>
        <w:rFonts w:hint="default"/>
        <w:lang w:val="zh-CN" w:eastAsia="zh-CN" w:bidi="zh-CN"/>
      </w:rPr>
    </w:lvl>
    <w:lvl w:ilvl="7" w:tentative="0">
      <w:start w:val="0"/>
      <w:numFmt w:val="bullet"/>
      <w:lvlText w:val="•"/>
      <w:lvlJc w:val="left"/>
      <w:pPr>
        <w:ind w:left="3039" w:hanging="202"/>
      </w:pPr>
      <w:rPr>
        <w:rFonts w:hint="default"/>
        <w:lang w:val="zh-CN" w:eastAsia="zh-CN" w:bidi="zh-CN"/>
      </w:rPr>
    </w:lvl>
    <w:lvl w:ilvl="8" w:tentative="0">
      <w:start w:val="0"/>
      <w:numFmt w:val="bullet"/>
      <w:lvlText w:val="•"/>
      <w:lvlJc w:val="left"/>
      <w:pPr>
        <w:ind w:left="3459" w:hanging="202"/>
      </w:pPr>
      <w:rPr>
        <w:rFonts w:hint="default"/>
        <w:lang w:val="zh-CN" w:eastAsia="zh-CN" w:bidi="zh-CN"/>
      </w:rPr>
    </w:lvl>
  </w:abstractNum>
  <w:abstractNum w:abstractNumId="10">
    <w:nsid w:val="9288B902"/>
    <w:multiLevelType w:val="multilevel"/>
    <w:tmpl w:val="9288B902"/>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1">
    <w:nsid w:val="9377BC45"/>
    <w:multiLevelType w:val="multilevel"/>
    <w:tmpl w:val="9377BC45"/>
    <w:lvl w:ilvl="0" w:tentative="0">
      <w:start w:val="1"/>
      <w:numFmt w:val="decimal"/>
      <w:lvlText w:val="（%1）"/>
      <w:lvlJc w:val="left"/>
      <w:pPr>
        <w:ind w:left="7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726" w:hanging="500"/>
      </w:pPr>
      <w:rPr>
        <w:rFonts w:hint="default"/>
        <w:lang w:val="zh-CN" w:eastAsia="zh-CN" w:bidi="zh-CN"/>
      </w:rPr>
    </w:lvl>
    <w:lvl w:ilvl="2" w:tentative="0">
      <w:start w:val="0"/>
      <w:numFmt w:val="bullet"/>
      <w:lvlText w:val="•"/>
      <w:lvlJc w:val="left"/>
      <w:pPr>
        <w:ind w:left="2733" w:hanging="500"/>
      </w:pPr>
      <w:rPr>
        <w:rFonts w:hint="default"/>
        <w:lang w:val="zh-CN" w:eastAsia="zh-CN" w:bidi="zh-CN"/>
      </w:rPr>
    </w:lvl>
    <w:lvl w:ilvl="3" w:tentative="0">
      <w:start w:val="0"/>
      <w:numFmt w:val="bullet"/>
      <w:lvlText w:val="•"/>
      <w:lvlJc w:val="left"/>
      <w:pPr>
        <w:ind w:left="3739" w:hanging="500"/>
      </w:pPr>
      <w:rPr>
        <w:rFonts w:hint="default"/>
        <w:lang w:val="zh-CN" w:eastAsia="zh-CN" w:bidi="zh-CN"/>
      </w:rPr>
    </w:lvl>
    <w:lvl w:ilvl="4" w:tentative="0">
      <w:start w:val="0"/>
      <w:numFmt w:val="bullet"/>
      <w:lvlText w:val="•"/>
      <w:lvlJc w:val="left"/>
      <w:pPr>
        <w:ind w:left="4746" w:hanging="500"/>
      </w:pPr>
      <w:rPr>
        <w:rFonts w:hint="default"/>
        <w:lang w:val="zh-CN" w:eastAsia="zh-CN" w:bidi="zh-CN"/>
      </w:rPr>
    </w:lvl>
    <w:lvl w:ilvl="5" w:tentative="0">
      <w:start w:val="0"/>
      <w:numFmt w:val="bullet"/>
      <w:lvlText w:val="•"/>
      <w:lvlJc w:val="left"/>
      <w:pPr>
        <w:ind w:left="5753" w:hanging="500"/>
      </w:pPr>
      <w:rPr>
        <w:rFonts w:hint="default"/>
        <w:lang w:val="zh-CN" w:eastAsia="zh-CN" w:bidi="zh-CN"/>
      </w:rPr>
    </w:lvl>
    <w:lvl w:ilvl="6" w:tentative="0">
      <w:start w:val="0"/>
      <w:numFmt w:val="bullet"/>
      <w:lvlText w:val="•"/>
      <w:lvlJc w:val="left"/>
      <w:pPr>
        <w:ind w:left="6759" w:hanging="500"/>
      </w:pPr>
      <w:rPr>
        <w:rFonts w:hint="default"/>
        <w:lang w:val="zh-CN" w:eastAsia="zh-CN" w:bidi="zh-CN"/>
      </w:rPr>
    </w:lvl>
    <w:lvl w:ilvl="7" w:tentative="0">
      <w:start w:val="0"/>
      <w:numFmt w:val="bullet"/>
      <w:lvlText w:val="•"/>
      <w:lvlJc w:val="left"/>
      <w:pPr>
        <w:ind w:left="7766" w:hanging="500"/>
      </w:pPr>
      <w:rPr>
        <w:rFonts w:hint="default"/>
        <w:lang w:val="zh-CN" w:eastAsia="zh-CN" w:bidi="zh-CN"/>
      </w:rPr>
    </w:lvl>
    <w:lvl w:ilvl="8" w:tentative="0">
      <w:start w:val="0"/>
      <w:numFmt w:val="bullet"/>
      <w:lvlText w:val="•"/>
      <w:lvlJc w:val="left"/>
      <w:pPr>
        <w:ind w:left="8772" w:hanging="500"/>
      </w:pPr>
      <w:rPr>
        <w:rFonts w:hint="default"/>
        <w:lang w:val="zh-CN" w:eastAsia="zh-CN" w:bidi="zh-CN"/>
      </w:rPr>
    </w:lvl>
  </w:abstractNum>
  <w:abstractNum w:abstractNumId="12">
    <w:nsid w:val="98CD717A"/>
    <w:multiLevelType w:val="multilevel"/>
    <w:tmpl w:val="98CD717A"/>
    <w:lvl w:ilvl="0" w:tentative="0">
      <w:start w:val="1"/>
      <w:numFmt w:val="decimal"/>
      <w:lvlText w:val="%1."/>
      <w:lvlJc w:val="left"/>
      <w:pPr>
        <w:ind w:left="322" w:hanging="202"/>
        <w:jc w:val="left"/>
      </w:pPr>
      <w:rPr>
        <w:rFonts w:hint="default"/>
        <w:spacing w:val="-2"/>
        <w:w w:val="99"/>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3">
    <w:nsid w:val="9ACF65A0"/>
    <w:multiLevelType w:val="multilevel"/>
    <w:tmpl w:val="9ACF65A0"/>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14">
    <w:nsid w:val="9C11E984"/>
    <w:multiLevelType w:val="multilevel"/>
    <w:tmpl w:val="9C11E984"/>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5">
    <w:nsid w:val="9C7198AA"/>
    <w:multiLevelType w:val="multilevel"/>
    <w:tmpl w:val="9C7198AA"/>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6">
    <w:nsid w:val="9C8AC8EF"/>
    <w:multiLevelType w:val="multilevel"/>
    <w:tmpl w:val="9C8AC8EF"/>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20" w:hanging="202"/>
      </w:pPr>
      <w:rPr>
        <w:rFonts w:hint="default"/>
        <w:lang w:val="zh-CN" w:eastAsia="zh-CN" w:bidi="zh-CN"/>
      </w:rPr>
    </w:lvl>
    <w:lvl w:ilvl="2" w:tentative="0">
      <w:start w:val="0"/>
      <w:numFmt w:val="bullet"/>
      <w:lvlText w:val="•"/>
      <w:lvlJc w:val="left"/>
      <w:pPr>
        <w:ind w:left="2727"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742" w:hanging="202"/>
      </w:pPr>
      <w:rPr>
        <w:rFonts w:hint="default"/>
        <w:lang w:val="zh-CN" w:eastAsia="zh-CN" w:bidi="zh-CN"/>
      </w:rPr>
    </w:lvl>
    <w:lvl w:ilvl="5" w:tentative="0">
      <w:start w:val="0"/>
      <w:numFmt w:val="bullet"/>
      <w:lvlText w:val="•"/>
      <w:lvlJc w:val="left"/>
      <w:pPr>
        <w:ind w:left="5749" w:hanging="202"/>
      </w:pPr>
      <w:rPr>
        <w:rFonts w:hint="default"/>
        <w:lang w:val="zh-CN" w:eastAsia="zh-CN" w:bidi="zh-CN"/>
      </w:rPr>
    </w:lvl>
    <w:lvl w:ilvl="6" w:tentative="0">
      <w:start w:val="0"/>
      <w:numFmt w:val="bullet"/>
      <w:lvlText w:val="•"/>
      <w:lvlJc w:val="left"/>
      <w:pPr>
        <w:ind w:left="6756" w:hanging="202"/>
      </w:pPr>
      <w:rPr>
        <w:rFonts w:hint="default"/>
        <w:lang w:val="zh-CN" w:eastAsia="zh-CN" w:bidi="zh-CN"/>
      </w:rPr>
    </w:lvl>
    <w:lvl w:ilvl="7" w:tentative="0">
      <w:start w:val="0"/>
      <w:numFmt w:val="bullet"/>
      <w:lvlText w:val="•"/>
      <w:lvlJc w:val="left"/>
      <w:pPr>
        <w:ind w:left="7764" w:hanging="202"/>
      </w:pPr>
      <w:rPr>
        <w:rFonts w:hint="default"/>
        <w:lang w:val="zh-CN" w:eastAsia="zh-CN" w:bidi="zh-CN"/>
      </w:rPr>
    </w:lvl>
    <w:lvl w:ilvl="8" w:tentative="0">
      <w:start w:val="0"/>
      <w:numFmt w:val="bullet"/>
      <w:lvlText w:val="•"/>
      <w:lvlJc w:val="left"/>
      <w:pPr>
        <w:ind w:left="8771" w:hanging="202"/>
      </w:pPr>
      <w:rPr>
        <w:rFonts w:hint="default"/>
        <w:lang w:val="zh-CN" w:eastAsia="zh-CN" w:bidi="zh-CN"/>
      </w:rPr>
    </w:lvl>
  </w:abstractNum>
  <w:abstractNum w:abstractNumId="17">
    <w:nsid w:val="9D5D7490"/>
    <w:multiLevelType w:val="multilevel"/>
    <w:tmpl w:val="9D5D7490"/>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8">
    <w:nsid w:val="9D7EB8E6"/>
    <w:multiLevelType w:val="multilevel"/>
    <w:tmpl w:val="9D7EB8E6"/>
    <w:lvl w:ilvl="0" w:tentative="0">
      <w:start w:val="1"/>
      <w:numFmt w:val="decimal"/>
      <w:lvlText w:val="（%1）"/>
      <w:lvlJc w:val="left"/>
      <w:pPr>
        <w:ind w:left="1223" w:hanging="500"/>
        <w:jc w:val="left"/>
      </w:pPr>
      <w:rPr>
        <w:rFonts w:hint="default"/>
        <w:spacing w:val="-19"/>
        <w:w w:val="99"/>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9">
    <w:nsid w:val="9DFC6F65"/>
    <w:multiLevelType w:val="multilevel"/>
    <w:tmpl w:val="9DFC6F65"/>
    <w:lvl w:ilvl="0" w:tentative="0">
      <w:start w:val="1"/>
      <w:numFmt w:val="decimal"/>
      <w:lvlText w:val="%1."/>
      <w:lvlJc w:val="left"/>
      <w:pPr>
        <w:ind w:left="708" w:hanging="202"/>
        <w:jc w:val="righ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437" w:hanging="202"/>
      </w:pPr>
      <w:rPr>
        <w:rFonts w:hint="default"/>
        <w:lang w:val="zh-CN" w:eastAsia="zh-CN" w:bidi="zh-CN"/>
      </w:rPr>
    </w:lvl>
    <w:lvl w:ilvl="2" w:tentative="0">
      <w:start w:val="0"/>
      <w:numFmt w:val="bullet"/>
      <w:lvlText w:val="•"/>
      <w:lvlJc w:val="left"/>
      <w:pPr>
        <w:ind w:left="2175" w:hanging="202"/>
      </w:pPr>
      <w:rPr>
        <w:rFonts w:hint="default"/>
        <w:lang w:val="zh-CN" w:eastAsia="zh-CN" w:bidi="zh-CN"/>
      </w:rPr>
    </w:lvl>
    <w:lvl w:ilvl="3" w:tentative="0">
      <w:start w:val="0"/>
      <w:numFmt w:val="bullet"/>
      <w:lvlText w:val="•"/>
      <w:lvlJc w:val="left"/>
      <w:pPr>
        <w:ind w:left="2912" w:hanging="202"/>
      </w:pPr>
      <w:rPr>
        <w:rFonts w:hint="default"/>
        <w:lang w:val="zh-CN" w:eastAsia="zh-CN" w:bidi="zh-CN"/>
      </w:rPr>
    </w:lvl>
    <w:lvl w:ilvl="4" w:tentative="0">
      <w:start w:val="0"/>
      <w:numFmt w:val="bullet"/>
      <w:lvlText w:val="•"/>
      <w:lvlJc w:val="left"/>
      <w:pPr>
        <w:ind w:left="3650" w:hanging="202"/>
      </w:pPr>
      <w:rPr>
        <w:rFonts w:hint="default"/>
        <w:lang w:val="zh-CN" w:eastAsia="zh-CN" w:bidi="zh-CN"/>
      </w:rPr>
    </w:lvl>
    <w:lvl w:ilvl="5" w:tentative="0">
      <w:start w:val="0"/>
      <w:numFmt w:val="bullet"/>
      <w:lvlText w:val="•"/>
      <w:lvlJc w:val="left"/>
      <w:pPr>
        <w:ind w:left="4387" w:hanging="202"/>
      </w:pPr>
      <w:rPr>
        <w:rFonts w:hint="default"/>
        <w:lang w:val="zh-CN" w:eastAsia="zh-CN" w:bidi="zh-CN"/>
      </w:rPr>
    </w:lvl>
    <w:lvl w:ilvl="6" w:tentative="0">
      <w:start w:val="0"/>
      <w:numFmt w:val="bullet"/>
      <w:lvlText w:val="•"/>
      <w:lvlJc w:val="left"/>
      <w:pPr>
        <w:ind w:left="5125" w:hanging="202"/>
      </w:pPr>
      <w:rPr>
        <w:rFonts w:hint="default"/>
        <w:lang w:val="zh-CN" w:eastAsia="zh-CN" w:bidi="zh-CN"/>
      </w:rPr>
    </w:lvl>
    <w:lvl w:ilvl="7" w:tentative="0">
      <w:start w:val="0"/>
      <w:numFmt w:val="bullet"/>
      <w:lvlText w:val="•"/>
      <w:lvlJc w:val="left"/>
      <w:pPr>
        <w:ind w:left="5862" w:hanging="202"/>
      </w:pPr>
      <w:rPr>
        <w:rFonts w:hint="default"/>
        <w:lang w:val="zh-CN" w:eastAsia="zh-CN" w:bidi="zh-CN"/>
      </w:rPr>
    </w:lvl>
    <w:lvl w:ilvl="8" w:tentative="0">
      <w:start w:val="0"/>
      <w:numFmt w:val="bullet"/>
      <w:lvlText w:val="•"/>
      <w:lvlJc w:val="left"/>
      <w:pPr>
        <w:ind w:left="6600" w:hanging="202"/>
      </w:pPr>
      <w:rPr>
        <w:rFonts w:hint="default"/>
        <w:lang w:val="zh-CN" w:eastAsia="zh-CN" w:bidi="zh-CN"/>
      </w:rPr>
    </w:lvl>
  </w:abstractNum>
  <w:abstractNum w:abstractNumId="20">
    <w:nsid w:val="9F81B9F9"/>
    <w:multiLevelType w:val="multilevel"/>
    <w:tmpl w:val="9F81B9F9"/>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21">
    <w:nsid w:val="A0C93552"/>
    <w:multiLevelType w:val="multilevel"/>
    <w:tmpl w:val="A0C93552"/>
    <w:lvl w:ilvl="0" w:tentative="0">
      <w:start w:val="1"/>
      <w:numFmt w:val="decimal"/>
      <w:lvlText w:val="%1."/>
      <w:lvlJc w:val="left"/>
      <w:pPr>
        <w:ind w:left="723"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26" w:hanging="202"/>
      </w:pPr>
      <w:rPr>
        <w:rFonts w:hint="default"/>
        <w:lang w:val="zh-CN" w:eastAsia="zh-CN" w:bidi="zh-CN"/>
      </w:rPr>
    </w:lvl>
    <w:lvl w:ilvl="2" w:tentative="0">
      <w:start w:val="0"/>
      <w:numFmt w:val="bullet"/>
      <w:lvlText w:val="•"/>
      <w:lvlJc w:val="left"/>
      <w:pPr>
        <w:ind w:left="2733" w:hanging="202"/>
      </w:pPr>
      <w:rPr>
        <w:rFonts w:hint="default"/>
        <w:lang w:val="zh-CN" w:eastAsia="zh-CN" w:bidi="zh-CN"/>
      </w:rPr>
    </w:lvl>
    <w:lvl w:ilvl="3" w:tentative="0">
      <w:start w:val="0"/>
      <w:numFmt w:val="bullet"/>
      <w:lvlText w:val="•"/>
      <w:lvlJc w:val="left"/>
      <w:pPr>
        <w:ind w:left="3739" w:hanging="202"/>
      </w:pPr>
      <w:rPr>
        <w:rFonts w:hint="default"/>
        <w:lang w:val="zh-CN" w:eastAsia="zh-CN" w:bidi="zh-CN"/>
      </w:rPr>
    </w:lvl>
    <w:lvl w:ilvl="4" w:tentative="0">
      <w:start w:val="0"/>
      <w:numFmt w:val="bullet"/>
      <w:lvlText w:val="•"/>
      <w:lvlJc w:val="left"/>
      <w:pPr>
        <w:ind w:left="4746" w:hanging="202"/>
      </w:pPr>
      <w:rPr>
        <w:rFonts w:hint="default"/>
        <w:lang w:val="zh-CN" w:eastAsia="zh-CN" w:bidi="zh-CN"/>
      </w:rPr>
    </w:lvl>
    <w:lvl w:ilvl="5" w:tentative="0">
      <w:start w:val="0"/>
      <w:numFmt w:val="bullet"/>
      <w:lvlText w:val="•"/>
      <w:lvlJc w:val="left"/>
      <w:pPr>
        <w:ind w:left="5753" w:hanging="202"/>
      </w:pPr>
      <w:rPr>
        <w:rFonts w:hint="default"/>
        <w:lang w:val="zh-CN" w:eastAsia="zh-CN" w:bidi="zh-CN"/>
      </w:rPr>
    </w:lvl>
    <w:lvl w:ilvl="6" w:tentative="0">
      <w:start w:val="0"/>
      <w:numFmt w:val="bullet"/>
      <w:lvlText w:val="•"/>
      <w:lvlJc w:val="left"/>
      <w:pPr>
        <w:ind w:left="6759" w:hanging="202"/>
      </w:pPr>
      <w:rPr>
        <w:rFonts w:hint="default"/>
        <w:lang w:val="zh-CN" w:eastAsia="zh-CN" w:bidi="zh-CN"/>
      </w:rPr>
    </w:lvl>
    <w:lvl w:ilvl="7" w:tentative="0">
      <w:start w:val="0"/>
      <w:numFmt w:val="bullet"/>
      <w:lvlText w:val="•"/>
      <w:lvlJc w:val="left"/>
      <w:pPr>
        <w:ind w:left="7766" w:hanging="202"/>
      </w:pPr>
      <w:rPr>
        <w:rFonts w:hint="default"/>
        <w:lang w:val="zh-CN" w:eastAsia="zh-CN" w:bidi="zh-CN"/>
      </w:rPr>
    </w:lvl>
    <w:lvl w:ilvl="8" w:tentative="0">
      <w:start w:val="0"/>
      <w:numFmt w:val="bullet"/>
      <w:lvlText w:val="•"/>
      <w:lvlJc w:val="left"/>
      <w:pPr>
        <w:ind w:left="8772" w:hanging="202"/>
      </w:pPr>
      <w:rPr>
        <w:rFonts w:hint="default"/>
        <w:lang w:val="zh-CN" w:eastAsia="zh-CN" w:bidi="zh-CN"/>
      </w:rPr>
    </w:lvl>
  </w:abstractNum>
  <w:abstractNum w:abstractNumId="22">
    <w:nsid w:val="A0F05207"/>
    <w:multiLevelType w:val="multilevel"/>
    <w:tmpl w:val="A0F05207"/>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23">
    <w:nsid w:val="A9AC3AA7"/>
    <w:multiLevelType w:val="multilevel"/>
    <w:tmpl w:val="A9AC3AA7"/>
    <w:lvl w:ilvl="0" w:tentative="0">
      <w:start w:val="2"/>
      <w:numFmt w:val="decimal"/>
      <w:lvlText w:val="%1."/>
      <w:lvlJc w:val="left"/>
      <w:pPr>
        <w:ind w:left="322"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24">
    <w:nsid w:val="AAF3F3FA"/>
    <w:multiLevelType w:val="multilevel"/>
    <w:tmpl w:val="AAF3F3FA"/>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25">
    <w:nsid w:val="B0ED9BEA"/>
    <w:multiLevelType w:val="multilevel"/>
    <w:tmpl w:val="B0ED9BEA"/>
    <w:lvl w:ilvl="0" w:tentative="0">
      <w:start w:val="1"/>
      <w:numFmt w:val="decimal"/>
      <w:lvlText w:val="（%1）"/>
      <w:lvlJc w:val="left"/>
      <w:pPr>
        <w:ind w:left="742"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1744" w:hanging="502"/>
      </w:pPr>
      <w:rPr>
        <w:rFonts w:hint="default"/>
        <w:lang w:val="zh-CN" w:eastAsia="zh-CN" w:bidi="zh-CN"/>
      </w:rPr>
    </w:lvl>
    <w:lvl w:ilvl="2" w:tentative="0">
      <w:start w:val="0"/>
      <w:numFmt w:val="bullet"/>
      <w:lvlText w:val="•"/>
      <w:lvlJc w:val="left"/>
      <w:pPr>
        <w:ind w:left="2749" w:hanging="502"/>
      </w:pPr>
      <w:rPr>
        <w:rFonts w:hint="default"/>
        <w:lang w:val="zh-CN" w:eastAsia="zh-CN" w:bidi="zh-CN"/>
      </w:rPr>
    </w:lvl>
    <w:lvl w:ilvl="3" w:tentative="0">
      <w:start w:val="0"/>
      <w:numFmt w:val="bullet"/>
      <w:lvlText w:val="•"/>
      <w:lvlJc w:val="left"/>
      <w:pPr>
        <w:ind w:left="3753" w:hanging="502"/>
      </w:pPr>
      <w:rPr>
        <w:rFonts w:hint="default"/>
        <w:lang w:val="zh-CN" w:eastAsia="zh-CN" w:bidi="zh-CN"/>
      </w:rPr>
    </w:lvl>
    <w:lvl w:ilvl="4" w:tentative="0">
      <w:start w:val="0"/>
      <w:numFmt w:val="bullet"/>
      <w:lvlText w:val="•"/>
      <w:lvlJc w:val="left"/>
      <w:pPr>
        <w:ind w:left="4758" w:hanging="502"/>
      </w:pPr>
      <w:rPr>
        <w:rFonts w:hint="default"/>
        <w:lang w:val="zh-CN" w:eastAsia="zh-CN" w:bidi="zh-CN"/>
      </w:rPr>
    </w:lvl>
    <w:lvl w:ilvl="5" w:tentative="0">
      <w:start w:val="0"/>
      <w:numFmt w:val="bullet"/>
      <w:lvlText w:val="•"/>
      <w:lvlJc w:val="left"/>
      <w:pPr>
        <w:ind w:left="5763" w:hanging="502"/>
      </w:pPr>
      <w:rPr>
        <w:rFonts w:hint="default"/>
        <w:lang w:val="zh-CN" w:eastAsia="zh-CN" w:bidi="zh-CN"/>
      </w:rPr>
    </w:lvl>
    <w:lvl w:ilvl="6" w:tentative="0">
      <w:start w:val="0"/>
      <w:numFmt w:val="bullet"/>
      <w:lvlText w:val="•"/>
      <w:lvlJc w:val="left"/>
      <w:pPr>
        <w:ind w:left="6767" w:hanging="502"/>
      </w:pPr>
      <w:rPr>
        <w:rFonts w:hint="default"/>
        <w:lang w:val="zh-CN" w:eastAsia="zh-CN" w:bidi="zh-CN"/>
      </w:rPr>
    </w:lvl>
    <w:lvl w:ilvl="7" w:tentative="0">
      <w:start w:val="0"/>
      <w:numFmt w:val="bullet"/>
      <w:lvlText w:val="•"/>
      <w:lvlJc w:val="left"/>
      <w:pPr>
        <w:ind w:left="7772" w:hanging="502"/>
      </w:pPr>
      <w:rPr>
        <w:rFonts w:hint="default"/>
        <w:lang w:val="zh-CN" w:eastAsia="zh-CN" w:bidi="zh-CN"/>
      </w:rPr>
    </w:lvl>
    <w:lvl w:ilvl="8" w:tentative="0">
      <w:start w:val="0"/>
      <w:numFmt w:val="bullet"/>
      <w:lvlText w:val="•"/>
      <w:lvlJc w:val="left"/>
      <w:pPr>
        <w:ind w:left="8776" w:hanging="502"/>
      </w:pPr>
      <w:rPr>
        <w:rFonts w:hint="default"/>
        <w:lang w:val="zh-CN" w:eastAsia="zh-CN" w:bidi="zh-CN"/>
      </w:rPr>
    </w:lvl>
  </w:abstractNum>
  <w:abstractNum w:abstractNumId="26">
    <w:nsid w:val="B0F1ACD9"/>
    <w:multiLevelType w:val="multilevel"/>
    <w:tmpl w:val="B0F1ACD9"/>
    <w:lvl w:ilvl="0" w:tentative="0">
      <w:start w:val="1"/>
      <w:numFmt w:val="decimal"/>
      <w:lvlText w:val="%1."/>
      <w:lvlJc w:val="left"/>
      <w:pPr>
        <w:ind w:left="944" w:hanging="202"/>
        <w:jc w:val="left"/>
      </w:pPr>
      <w:rPr>
        <w:rFonts w:hint="default"/>
        <w:spacing w:val="1"/>
        <w:w w:val="99"/>
        <w:lang w:val="zh-CN" w:eastAsia="zh-CN" w:bidi="zh-CN"/>
      </w:rPr>
    </w:lvl>
    <w:lvl w:ilvl="1" w:tentative="0">
      <w:start w:val="1"/>
      <w:numFmt w:val="decimal"/>
      <w:lvlText w:val="%2."/>
      <w:lvlJc w:val="left"/>
      <w:pPr>
        <w:ind w:left="1325" w:hanging="202"/>
        <w:jc w:val="left"/>
      </w:pPr>
      <w:rPr>
        <w:rFonts w:hint="default" w:ascii="宋体" w:hAnsi="宋体" w:eastAsia="宋体" w:cs="宋体"/>
        <w:spacing w:val="-2"/>
        <w:w w:val="99"/>
        <w:sz w:val="18"/>
        <w:szCs w:val="18"/>
        <w:lang w:val="zh-CN" w:eastAsia="zh-CN" w:bidi="zh-CN"/>
      </w:rPr>
    </w:lvl>
    <w:lvl w:ilvl="2" w:tentative="0">
      <w:start w:val="0"/>
      <w:numFmt w:val="bullet"/>
      <w:lvlText w:val="•"/>
      <w:lvlJc w:val="left"/>
      <w:pPr>
        <w:ind w:left="2371" w:hanging="202"/>
      </w:pPr>
      <w:rPr>
        <w:rFonts w:hint="default"/>
        <w:lang w:val="zh-CN" w:eastAsia="zh-CN" w:bidi="zh-CN"/>
      </w:rPr>
    </w:lvl>
    <w:lvl w:ilvl="3" w:tentative="0">
      <w:start w:val="0"/>
      <w:numFmt w:val="bullet"/>
      <w:lvlText w:val="•"/>
      <w:lvlJc w:val="left"/>
      <w:pPr>
        <w:ind w:left="3423" w:hanging="202"/>
      </w:pPr>
      <w:rPr>
        <w:rFonts w:hint="default"/>
        <w:lang w:val="zh-CN" w:eastAsia="zh-CN" w:bidi="zh-CN"/>
      </w:rPr>
    </w:lvl>
    <w:lvl w:ilvl="4" w:tentative="0">
      <w:start w:val="0"/>
      <w:numFmt w:val="bullet"/>
      <w:lvlText w:val="•"/>
      <w:lvlJc w:val="left"/>
      <w:pPr>
        <w:ind w:left="4475" w:hanging="202"/>
      </w:pPr>
      <w:rPr>
        <w:rFonts w:hint="default"/>
        <w:lang w:val="zh-CN" w:eastAsia="zh-CN" w:bidi="zh-CN"/>
      </w:rPr>
    </w:lvl>
    <w:lvl w:ilvl="5" w:tentative="0">
      <w:start w:val="0"/>
      <w:numFmt w:val="bullet"/>
      <w:lvlText w:val="•"/>
      <w:lvlJc w:val="left"/>
      <w:pPr>
        <w:ind w:left="5527" w:hanging="202"/>
      </w:pPr>
      <w:rPr>
        <w:rFonts w:hint="default"/>
        <w:lang w:val="zh-CN" w:eastAsia="zh-CN" w:bidi="zh-CN"/>
      </w:rPr>
    </w:lvl>
    <w:lvl w:ilvl="6" w:tentative="0">
      <w:start w:val="0"/>
      <w:numFmt w:val="bullet"/>
      <w:lvlText w:val="•"/>
      <w:lvlJc w:val="left"/>
      <w:pPr>
        <w:ind w:left="6578" w:hanging="202"/>
      </w:pPr>
      <w:rPr>
        <w:rFonts w:hint="default"/>
        <w:lang w:val="zh-CN" w:eastAsia="zh-CN" w:bidi="zh-CN"/>
      </w:rPr>
    </w:lvl>
    <w:lvl w:ilvl="7" w:tentative="0">
      <w:start w:val="0"/>
      <w:numFmt w:val="bullet"/>
      <w:lvlText w:val="•"/>
      <w:lvlJc w:val="left"/>
      <w:pPr>
        <w:ind w:left="7630" w:hanging="202"/>
      </w:pPr>
      <w:rPr>
        <w:rFonts w:hint="default"/>
        <w:lang w:val="zh-CN" w:eastAsia="zh-CN" w:bidi="zh-CN"/>
      </w:rPr>
    </w:lvl>
    <w:lvl w:ilvl="8" w:tentative="0">
      <w:start w:val="0"/>
      <w:numFmt w:val="bullet"/>
      <w:lvlText w:val="•"/>
      <w:lvlJc w:val="left"/>
      <w:pPr>
        <w:ind w:left="8682" w:hanging="202"/>
      </w:pPr>
      <w:rPr>
        <w:rFonts w:hint="default"/>
        <w:lang w:val="zh-CN" w:eastAsia="zh-CN" w:bidi="zh-CN"/>
      </w:rPr>
    </w:lvl>
  </w:abstractNum>
  <w:abstractNum w:abstractNumId="27">
    <w:nsid w:val="B23A94A9"/>
    <w:multiLevelType w:val="multilevel"/>
    <w:tmpl w:val="B23A94A9"/>
    <w:lvl w:ilvl="0" w:tentative="0">
      <w:start w:val="2"/>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28">
    <w:nsid w:val="B53F3350"/>
    <w:multiLevelType w:val="multilevel"/>
    <w:tmpl w:val="B53F3350"/>
    <w:lvl w:ilvl="0" w:tentative="0">
      <w:start w:val="2"/>
      <w:numFmt w:val="decimal"/>
      <w:lvlText w:val="%1."/>
      <w:lvlJc w:val="left"/>
      <w:pPr>
        <w:ind w:left="322" w:hanging="202"/>
        <w:jc w:val="left"/>
      </w:pPr>
      <w:rPr>
        <w:rFonts w:hint="default"/>
        <w:b/>
        <w:bCs/>
        <w:spacing w:val="1"/>
        <w:w w:val="9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29">
    <w:nsid w:val="B5E306ED"/>
    <w:multiLevelType w:val="multilevel"/>
    <w:tmpl w:val="B5E306ED"/>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30">
    <w:nsid w:val="B88D21A8"/>
    <w:multiLevelType w:val="multilevel"/>
    <w:tmpl w:val="B88D21A8"/>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31">
    <w:nsid w:val="B8CEF35B"/>
    <w:multiLevelType w:val="multilevel"/>
    <w:tmpl w:val="B8CEF35B"/>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32">
    <w:nsid w:val="BB64CFA9"/>
    <w:multiLevelType w:val="multilevel"/>
    <w:tmpl w:val="BB64CFA9"/>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33">
    <w:nsid w:val="BCECA0B4"/>
    <w:multiLevelType w:val="multilevel"/>
    <w:tmpl w:val="BCECA0B4"/>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34">
    <w:nsid w:val="BDA1395C"/>
    <w:multiLevelType w:val="multilevel"/>
    <w:tmpl w:val="BDA1395C"/>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35">
    <w:nsid w:val="BE8A4F4C"/>
    <w:multiLevelType w:val="multilevel"/>
    <w:tmpl w:val="BE8A4F4C"/>
    <w:lvl w:ilvl="0" w:tentative="0">
      <w:start w:val="2"/>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36">
    <w:nsid w:val="BE923771"/>
    <w:multiLevelType w:val="multilevel"/>
    <w:tmpl w:val="BE923771"/>
    <w:lvl w:ilvl="0" w:tentative="0">
      <w:start w:val="1"/>
      <w:numFmt w:val="lowerLetter"/>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37">
    <w:nsid w:val="BF205925"/>
    <w:multiLevelType w:val="multilevel"/>
    <w:tmpl w:val="BF205925"/>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38">
    <w:nsid w:val="BF50FE6B"/>
    <w:multiLevelType w:val="multilevel"/>
    <w:tmpl w:val="BF50FE6B"/>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39">
    <w:nsid w:val="C0915F4F"/>
    <w:multiLevelType w:val="multilevel"/>
    <w:tmpl w:val="C0915F4F"/>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40">
    <w:nsid w:val="C4E0D24A"/>
    <w:multiLevelType w:val="multilevel"/>
    <w:tmpl w:val="C4E0D24A"/>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41">
    <w:nsid w:val="C8879AEF"/>
    <w:multiLevelType w:val="multilevel"/>
    <w:tmpl w:val="C8879AEF"/>
    <w:lvl w:ilvl="0" w:tentative="0">
      <w:start w:val="1"/>
      <w:numFmt w:val="decimal"/>
      <w:lvlText w:val="%1."/>
      <w:lvlJc w:val="left"/>
      <w:pPr>
        <w:ind w:left="708" w:hanging="202"/>
        <w:jc w:val="left"/>
      </w:pPr>
      <w:rPr>
        <w:rFonts w:hint="default" w:ascii="宋体" w:hAnsi="宋体" w:eastAsia="宋体" w:cs="宋体"/>
        <w:color w:val="FF0000"/>
        <w:spacing w:val="1"/>
        <w:w w:val="99"/>
        <w:sz w:val="18"/>
        <w:szCs w:val="18"/>
        <w:u w:val="double" w:color="FF0000"/>
        <w:lang w:val="zh-CN" w:eastAsia="zh-CN" w:bidi="zh-CN"/>
      </w:rPr>
    </w:lvl>
    <w:lvl w:ilvl="1" w:tentative="0">
      <w:start w:val="0"/>
      <w:numFmt w:val="bullet"/>
      <w:lvlText w:val="•"/>
      <w:lvlJc w:val="left"/>
      <w:pPr>
        <w:ind w:left="1344" w:hanging="202"/>
      </w:pPr>
      <w:rPr>
        <w:rFonts w:hint="default"/>
        <w:lang w:val="zh-CN" w:eastAsia="zh-CN" w:bidi="zh-CN"/>
      </w:rPr>
    </w:lvl>
    <w:lvl w:ilvl="2" w:tentative="0">
      <w:start w:val="0"/>
      <w:numFmt w:val="bullet"/>
      <w:lvlText w:val="•"/>
      <w:lvlJc w:val="left"/>
      <w:pPr>
        <w:ind w:left="1989" w:hanging="202"/>
      </w:pPr>
      <w:rPr>
        <w:rFonts w:hint="default"/>
        <w:lang w:val="zh-CN" w:eastAsia="zh-CN" w:bidi="zh-CN"/>
      </w:rPr>
    </w:lvl>
    <w:lvl w:ilvl="3" w:tentative="0">
      <w:start w:val="0"/>
      <w:numFmt w:val="bullet"/>
      <w:lvlText w:val="•"/>
      <w:lvlJc w:val="left"/>
      <w:pPr>
        <w:ind w:left="2633" w:hanging="202"/>
      </w:pPr>
      <w:rPr>
        <w:rFonts w:hint="default"/>
        <w:lang w:val="zh-CN" w:eastAsia="zh-CN" w:bidi="zh-CN"/>
      </w:rPr>
    </w:lvl>
    <w:lvl w:ilvl="4" w:tentative="0">
      <w:start w:val="0"/>
      <w:numFmt w:val="bullet"/>
      <w:lvlText w:val="•"/>
      <w:lvlJc w:val="left"/>
      <w:pPr>
        <w:ind w:left="3278" w:hanging="202"/>
      </w:pPr>
      <w:rPr>
        <w:rFonts w:hint="default"/>
        <w:lang w:val="zh-CN" w:eastAsia="zh-CN" w:bidi="zh-CN"/>
      </w:rPr>
    </w:lvl>
    <w:lvl w:ilvl="5" w:tentative="0">
      <w:start w:val="0"/>
      <w:numFmt w:val="bullet"/>
      <w:lvlText w:val="•"/>
      <w:lvlJc w:val="left"/>
      <w:pPr>
        <w:ind w:left="3922" w:hanging="202"/>
      </w:pPr>
      <w:rPr>
        <w:rFonts w:hint="default"/>
        <w:lang w:val="zh-CN" w:eastAsia="zh-CN" w:bidi="zh-CN"/>
      </w:rPr>
    </w:lvl>
    <w:lvl w:ilvl="6" w:tentative="0">
      <w:start w:val="0"/>
      <w:numFmt w:val="bullet"/>
      <w:lvlText w:val="•"/>
      <w:lvlJc w:val="left"/>
      <w:pPr>
        <w:ind w:left="4567" w:hanging="202"/>
      </w:pPr>
      <w:rPr>
        <w:rFonts w:hint="default"/>
        <w:lang w:val="zh-CN" w:eastAsia="zh-CN" w:bidi="zh-CN"/>
      </w:rPr>
    </w:lvl>
    <w:lvl w:ilvl="7" w:tentative="0">
      <w:start w:val="0"/>
      <w:numFmt w:val="bullet"/>
      <w:lvlText w:val="•"/>
      <w:lvlJc w:val="left"/>
      <w:pPr>
        <w:ind w:left="5211" w:hanging="202"/>
      </w:pPr>
      <w:rPr>
        <w:rFonts w:hint="default"/>
        <w:lang w:val="zh-CN" w:eastAsia="zh-CN" w:bidi="zh-CN"/>
      </w:rPr>
    </w:lvl>
    <w:lvl w:ilvl="8" w:tentative="0">
      <w:start w:val="0"/>
      <w:numFmt w:val="bullet"/>
      <w:lvlText w:val="•"/>
      <w:lvlJc w:val="left"/>
      <w:pPr>
        <w:ind w:left="5856" w:hanging="202"/>
      </w:pPr>
      <w:rPr>
        <w:rFonts w:hint="default"/>
        <w:lang w:val="zh-CN" w:eastAsia="zh-CN" w:bidi="zh-CN"/>
      </w:rPr>
    </w:lvl>
  </w:abstractNum>
  <w:abstractNum w:abstractNumId="42">
    <w:nsid w:val="C90D1B09"/>
    <w:multiLevelType w:val="multilevel"/>
    <w:tmpl w:val="C90D1B09"/>
    <w:lvl w:ilvl="0" w:tentative="0">
      <w:start w:val="1"/>
      <w:numFmt w:val="decimal"/>
      <w:lvlText w:val="%1."/>
      <w:lvlJc w:val="left"/>
      <w:pPr>
        <w:ind w:left="924" w:hanging="202"/>
        <w:jc w:val="left"/>
      </w:pPr>
      <w:rPr>
        <w:rFonts w:hint="default" w:ascii="宋体" w:hAnsi="宋体" w:eastAsia="宋体" w:cs="宋体"/>
        <w:color w:val="FF0000"/>
        <w:spacing w:val="-2"/>
        <w:w w:val="99"/>
        <w:sz w:val="18"/>
        <w:szCs w:val="18"/>
        <w:u w:val="double" w:color="FF0000"/>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43">
    <w:nsid w:val="CD699D1D"/>
    <w:multiLevelType w:val="multilevel"/>
    <w:tmpl w:val="CD699D1D"/>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44">
    <w:nsid w:val="CF092B84"/>
    <w:multiLevelType w:val="multilevel"/>
    <w:tmpl w:val="CF092B84"/>
    <w:lvl w:ilvl="0" w:tentative="0">
      <w:start w:val="1"/>
      <w:numFmt w:val="decimal"/>
      <w:lvlText w:val="（%1）"/>
      <w:lvlJc w:val="left"/>
      <w:pPr>
        <w:ind w:left="1223" w:hanging="500"/>
        <w:jc w:val="left"/>
      </w:pPr>
      <w:rPr>
        <w:rFonts w:hint="default" w:ascii="宋体" w:hAnsi="宋体" w:eastAsia="宋体" w:cs="宋体"/>
        <w:spacing w:val="-12"/>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45">
    <w:nsid w:val="D1EB1714"/>
    <w:multiLevelType w:val="multilevel"/>
    <w:tmpl w:val="D1EB1714"/>
    <w:lvl w:ilvl="0" w:tentative="0">
      <w:start w:val="1"/>
      <w:numFmt w:val="decimal"/>
      <w:lvlText w:val="%1."/>
      <w:lvlJc w:val="left"/>
      <w:pPr>
        <w:ind w:left="924" w:hanging="202"/>
        <w:jc w:val="left"/>
      </w:pPr>
      <w:rPr>
        <w:rFonts w:hint="default"/>
        <w:b/>
        <w:bCs/>
        <w:spacing w:val="1"/>
        <w:w w:val="9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46">
    <w:nsid w:val="D7D140E4"/>
    <w:multiLevelType w:val="multilevel"/>
    <w:tmpl w:val="D7D140E4"/>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47">
    <w:nsid w:val="D7F9FE59"/>
    <w:multiLevelType w:val="multilevel"/>
    <w:tmpl w:val="D7F9FE59"/>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48">
    <w:nsid w:val="DAD3A854"/>
    <w:multiLevelType w:val="multilevel"/>
    <w:tmpl w:val="DAD3A854"/>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49">
    <w:nsid w:val="DCBA6B53"/>
    <w:multiLevelType w:val="multilevel"/>
    <w:tmpl w:val="DCBA6B53"/>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50">
    <w:nsid w:val="E0294EC7"/>
    <w:multiLevelType w:val="multilevel"/>
    <w:tmpl w:val="E0294EC7"/>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51">
    <w:nsid w:val="E093A4B0"/>
    <w:multiLevelType w:val="multilevel"/>
    <w:tmpl w:val="E093A4B0"/>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52">
    <w:nsid w:val="E43A772E"/>
    <w:multiLevelType w:val="multilevel"/>
    <w:tmpl w:val="E43A772E"/>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53">
    <w:nsid w:val="E504947C"/>
    <w:multiLevelType w:val="multilevel"/>
    <w:tmpl w:val="E504947C"/>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54">
    <w:nsid w:val="E52D9448"/>
    <w:multiLevelType w:val="multilevel"/>
    <w:tmpl w:val="E52D9448"/>
    <w:lvl w:ilvl="0" w:tentative="0">
      <w:start w:val="1"/>
      <w:numFmt w:val="decimal"/>
      <w:lvlText w:val="%1."/>
      <w:lvlJc w:val="left"/>
      <w:pPr>
        <w:ind w:left="322" w:hanging="202"/>
        <w:jc w:val="left"/>
      </w:pPr>
      <w:rPr>
        <w:rFonts w:hint="default" w:ascii="宋体" w:hAnsi="宋体" w:eastAsia="宋体" w:cs="宋体"/>
        <w:color w:val="FF0000"/>
        <w:spacing w:val="-2"/>
        <w:w w:val="99"/>
        <w:sz w:val="18"/>
        <w:szCs w:val="18"/>
        <w:u w:val="double" w:color="FF0000"/>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55">
    <w:nsid w:val="E7B27C5B"/>
    <w:multiLevelType w:val="multilevel"/>
    <w:tmpl w:val="E7B27C5B"/>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56">
    <w:nsid w:val="EA28CC15"/>
    <w:multiLevelType w:val="multilevel"/>
    <w:tmpl w:val="EA28CC15"/>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57">
    <w:nsid w:val="F0E89278"/>
    <w:multiLevelType w:val="multilevel"/>
    <w:tmpl w:val="F0E89278"/>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58">
    <w:nsid w:val="F237ACA1"/>
    <w:multiLevelType w:val="multilevel"/>
    <w:tmpl w:val="F237ACA1"/>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59">
    <w:nsid w:val="F3A33954"/>
    <w:multiLevelType w:val="multilevel"/>
    <w:tmpl w:val="F3A33954"/>
    <w:lvl w:ilvl="0" w:tentative="0">
      <w:start w:val="1"/>
      <w:numFmt w:val="decimal"/>
      <w:lvlText w:val="%1."/>
      <w:lvlJc w:val="left"/>
      <w:pPr>
        <w:ind w:left="1923"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2806" w:hanging="202"/>
      </w:pPr>
      <w:rPr>
        <w:rFonts w:hint="default"/>
        <w:lang w:val="zh-CN" w:eastAsia="zh-CN" w:bidi="zh-CN"/>
      </w:rPr>
    </w:lvl>
    <w:lvl w:ilvl="2" w:tentative="0">
      <w:start w:val="0"/>
      <w:numFmt w:val="bullet"/>
      <w:lvlText w:val="•"/>
      <w:lvlJc w:val="left"/>
      <w:pPr>
        <w:ind w:left="3693" w:hanging="202"/>
      </w:pPr>
      <w:rPr>
        <w:rFonts w:hint="default"/>
        <w:lang w:val="zh-CN" w:eastAsia="zh-CN" w:bidi="zh-CN"/>
      </w:rPr>
    </w:lvl>
    <w:lvl w:ilvl="3" w:tentative="0">
      <w:start w:val="0"/>
      <w:numFmt w:val="bullet"/>
      <w:lvlText w:val="•"/>
      <w:lvlJc w:val="left"/>
      <w:pPr>
        <w:ind w:left="4579" w:hanging="202"/>
      </w:pPr>
      <w:rPr>
        <w:rFonts w:hint="default"/>
        <w:lang w:val="zh-CN" w:eastAsia="zh-CN" w:bidi="zh-CN"/>
      </w:rPr>
    </w:lvl>
    <w:lvl w:ilvl="4" w:tentative="0">
      <w:start w:val="0"/>
      <w:numFmt w:val="bullet"/>
      <w:lvlText w:val="•"/>
      <w:lvlJc w:val="left"/>
      <w:pPr>
        <w:ind w:left="5466" w:hanging="202"/>
      </w:pPr>
      <w:rPr>
        <w:rFonts w:hint="default"/>
        <w:lang w:val="zh-CN" w:eastAsia="zh-CN" w:bidi="zh-CN"/>
      </w:rPr>
    </w:lvl>
    <w:lvl w:ilvl="5" w:tentative="0">
      <w:start w:val="0"/>
      <w:numFmt w:val="bullet"/>
      <w:lvlText w:val="•"/>
      <w:lvlJc w:val="left"/>
      <w:pPr>
        <w:ind w:left="6353" w:hanging="202"/>
      </w:pPr>
      <w:rPr>
        <w:rFonts w:hint="default"/>
        <w:lang w:val="zh-CN" w:eastAsia="zh-CN" w:bidi="zh-CN"/>
      </w:rPr>
    </w:lvl>
    <w:lvl w:ilvl="6" w:tentative="0">
      <w:start w:val="0"/>
      <w:numFmt w:val="bullet"/>
      <w:lvlText w:val="•"/>
      <w:lvlJc w:val="left"/>
      <w:pPr>
        <w:ind w:left="7239" w:hanging="202"/>
      </w:pPr>
      <w:rPr>
        <w:rFonts w:hint="default"/>
        <w:lang w:val="zh-CN" w:eastAsia="zh-CN" w:bidi="zh-CN"/>
      </w:rPr>
    </w:lvl>
    <w:lvl w:ilvl="7" w:tentative="0">
      <w:start w:val="0"/>
      <w:numFmt w:val="bullet"/>
      <w:lvlText w:val="•"/>
      <w:lvlJc w:val="left"/>
      <w:pPr>
        <w:ind w:left="8126" w:hanging="202"/>
      </w:pPr>
      <w:rPr>
        <w:rFonts w:hint="default"/>
        <w:lang w:val="zh-CN" w:eastAsia="zh-CN" w:bidi="zh-CN"/>
      </w:rPr>
    </w:lvl>
    <w:lvl w:ilvl="8" w:tentative="0">
      <w:start w:val="0"/>
      <w:numFmt w:val="bullet"/>
      <w:lvlText w:val="•"/>
      <w:lvlJc w:val="left"/>
      <w:pPr>
        <w:ind w:left="9012" w:hanging="202"/>
      </w:pPr>
      <w:rPr>
        <w:rFonts w:hint="default"/>
        <w:lang w:val="zh-CN" w:eastAsia="zh-CN" w:bidi="zh-CN"/>
      </w:rPr>
    </w:lvl>
  </w:abstractNum>
  <w:abstractNum w:abstractNumId="60">
    <w:nsid w:val="F4A942FE"/>
    <w:multiLevelType w:val="multilevel"/>
    <w:tmpl w:val="F4A942FE"/>
    <w:lvl w:ilvl="0" w:tentative="0">
      <w:start w:val="1"/>
      <w:numFmt w:val="decimal"/>
      <w:lvlText w:val="（%1）"/>
      <w:lvlJc w:val="left"/>
      <w:pPr>
        <w:ind w:left="1223" w:hanging="500"/>
        <w:jc w:val="left"/>
      </w:pPr>
      <w:rPr>
        <w:rFonts w:hint="default" w:ascii="宋体" w:hAnsi="宋体" w:eastAsia="宋体" w:cs="宋体"/>
        <w:spacing w:val="-29"/>
        <w:w w:val="99"/>
        <w:sz w:val="18"/>
        <w:szCs w:val="18"/>
        <w:lang w:val="zh-CN" w:eastAsia="zh-CN" w:bidi="zh-CN"/>
      </w:rPr>
    </w:lvl>
    <w:lvl w:ilvl="1" w:tentative="0">
      <w:start w:val="0"/>
      <w:numFmt w:val="bullet"/>
      <w:lvlText w:val="•"/>
      <w:lvlJc w:val="left"/>
      <w:pPr>
        <w:ind w:left="2420" w:hanging="500"/>
      </w:pPr>
      <w:rPr>
        <w:rFonts w:hint="default"/>
        <w:lang w:val="zh-CN" w:eastAsia="zh-CN" w:bidi="zh-CN"/>
      </w:rPr>
    </w:lvl>
    <w:lvl w:ilvl="2" w:tentative="0">
      <w:start w:val="0"/>
      <w:numFmt w:val="bullet"/>
      <w:lvlText w:val="•"/>
      <w:lvlJc w:val="left"/>
      <w:pPr>
        <w:ind w:left="3349" w:hanging="500"/>
      </w:pPr>
      <w:rPr>
        <w:rFonts w:hint="default"/>
        <w:lang w:val="zh-CN" w:eastAsia="zh-CN" w:bidi="zh-CN"/>
      </w:rPr>
    </w:lvl>
    <w:lvl w:ilvl="3" w:tentative="0">
      <w:start w:val="0"/>
      <w:numFmt w:val="bullet"/>
      <w:lvlText w:val="•"/>
      <w:lvlJc w:val="left"/>
      <w:pPr>
        <w:ind w:left="4279" w:hanging="500"/>
      </w:pPr>
      <w:rPr>
        <w:rFonts w:hint="default"/>
        <w:lang w:val="zh-CN" w:eastAsia="zh-CN" w:bidi="zh-CN"/>
      </w:rPr>
    </w:lvl>
    <w:lvl w:ilvl="4" w:tentative="0">
      <w:start w:val="0"/>
      <w:numFmt w:val="bullet"/>
      <w:lvlText w:val="•"/>
      <w:lvlJc w:val="left"/>
      <w:pPr>
        <w:ind w:left="5208" w:hanging="500"/>
      </w:pPr>
      <w:rPr>
        <w:rFonts w:hint="default"/>
        <w:lang w:val="zh-CN" w:eastAsia="zh-CN" w:bidi="zh-CN"/>
      </w:rPr>
    </w:lvl>
    <w:lvl w:ilvl="5" w:tentative="0">
      <w:start w:val="0"/>
      <w:numFmt w:val="bullet"/>
      <w:lvlText w:val="•"/>
      <w:lvlJc w:val="left"/>
      <w:pPr>
        <w:ind w:left="6138" w:hanging="500"/>
      </w:pPr>
      <w:rPr>
        <w:rFonts w:hint="default"/>
        <w:lang w:val="zh-CN" w:eastAsia="zh-CN" w:bidi="zh-CN"/>
      </w:rPr>
    </w:lvl>
    <w:lvl w:ilvl="6" w:tentative="0">
      <w:start w:val="0"/>
      <w:numFmt w:val="bullet"/>
      <w:lvlText w:val="•"/>
      <w:lvlJc w:val="left"/>
      <w:pPr>
        <w:ind w:left="7067" w:hanging="500"/>
      </w:pPr>
      <w:rPr>
        <w:rFonts w:hint="default"/>
        <w:lang w:val="zh-CN" w:eastAsia="zh-CN" w:bidi="zh-CN"/>
      </w:rPr>
    </w:lvl>
    <w:lvl w:ilvl="7" w:tentative="0">
      <w:start w:val="0"/>
      <w:numFmt w:val="bullet"/>
      <w:lvlText w:val="•"/>
      <w:lvlJc w:val="left"/>
      <w:pPr>
        <w:ind w:left="7997" w:hanging="500"/>
      </w:pPr>
      <w:rPr>
        <w:rFonts w:hint="default"/>
        <w:lang w:val="zh-CN" w:eastAsia="zh-CN" w:bidi="zh-CN"/>
      </w:rPr>
    </w:lvl>
    <w:lvl w:ilvl="8" w:tentative="0">
      <w:start w:val="0"/>
      <w:numFmt w:val="bullet"/>
      <w:lvlText w:val="•"/>
      <w:lvlJc w:val="left"/>
      <w:pPr>
        <w:ind w:left="8926" w:hanging="500"/>
      </w:pPr>
      <w:rPr>
        <w:rFonts w:hint="default"/>
        <w:lang w:val="zh-CN" w:eastAsia="zh-CN" w:bidi="zh-CN"/>
      </w:rPr>
    </w:lvl>
  </w:abstractNum>
  <w:abstractNum w:abstractNumId="61">
    <w:nsid w:val="F4B5D9F5"/>
    <w:multiLevelType w:val="multilevel"/>
    <w:tmpl w:val="F4B5D9F5"/>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62">
    <w:nsid w:val="F585BF25"/>
    <w:multiLevelType w:val="multilevel"/>
    <w:tmpl w:val="F585BF25"/>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63">
    <w:nsid w:val="F689643B"/>
    <w:multiLevelType w:val="multilevel"/>
    <w:tmpl w:val="F689643B"/>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64">
    <w:nsid w:val="F7735DC9"/>
    <w:multiLevelType w:val="multilevel"/>
    <w:tmpl w:val="F7735DC9"/>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65">
    <w:nsid w:val="FEC2EA36"/>
    <w:multiLevelType w:val="multilevel"/>
    <w:tmpl w:val="FEC2EA36"/>
    <w:lvl w:ilvl="0" w:tentative="0">
      <w:start w:val="1"/>
      <w:numFmt w:val="decimal"/>
      <w:lvlText w:val="%1."/>
      <w:lvlJc w:val="left"/>
      <w:pPr>
        <w:ind w:left="709"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475" w:hanging="202"/>
      </w:pPr>
      <w:rPr>
        <w:rFonts w:hint="default"/>
        <w:lang w:val="zh-CN" w:eastAsia="zh-CN" w:bidi="zh-CN"/>
      </w:rPr>
    </w:lvl>
    <w:lvl w:ilvl="2" w:tentative="0">
      <w:start w:val="0"/>
      <w:numFmt w:val="bullet"/>
      <w:lvlText w:val="•"/>
      <w:lvlJc w:val="left"/>
      <w:pPr>
        <w:ind w:left="2250" w:hanging="202"/>
      </w:pPr>
      <w:rPr>
        <w:rFonts w:hint="default"/>
        <w:lang w:val="zh-CN" w:eastAsia="zh-CN" w:bidi="zh-CN"/>
      </w:rPr>
    </w:lvl>
    <w:lvl w:ilvl="3" w:tentative="0">
      <w:start w:val="0"/>
      <w:numFmt w:val="bullet"/>
      <w:lvlText w:val="•"/>
      <w:lvlJc w:val="left"/>
      <w:pPr>
        <w:ind w:left="3025" w:hanging="202"/>
      </w:pPr>
      <w:rPr>
        <w:rFonts w:hint="default"/>
        <w:lang w:val="zh-CN" w:eastAsia="zh-CN" w:bidi="zh-CN"/>
      </w:rPr>
    </w:lvl>
    <w:lvl w:ilvl="4" w:tentative="0">
      <w:start w:val="0"/>
      <w:numFmt w:val="bullet"/>
      <w:lvlText w:val="•"/>
      <w:lvlJc w:val="left"/>
      <w:pPr>
        <w:ind w:left="3800" w:hanging="202"/>
      </w:pPr>
      <w:rPr>
        <w:rFonts w:hint="default"/>
        <w:lang w:val="zh-CN" w:eastAsia="zh-CN" w:bidi="zh-CN"/>
      </w:rPr>
    </w:lvl>
    <w:lvl w:ilvl="5" w:tentative="0">
      <w:start w:val="0"/>
      <w:numFmt w:val="bullet"/>
      <w:lvlText w:val="•"/>
      <w:lvlJc w:val="left"/>
      <w:pPr>
        <w:ind w:left="4575" w:hanging="202"/>
      </w:pPr>
      <w:rPr>
        <w:rFonts w:hint="default"/>
        <w:lang w:val="zh-CN" w:eastAsia="zh-CN" w:bidi="zh-CN"/>
      </w:rPr>
    </w:lvl>
    <w:lvl w:ilvl="6" w:tentative="0">
      <w:start w:val="0"/>
      <w:numFmt w:val="bullet"/>
      <w:lvlText w:val="•"/>
      <w:lvlJc w:val="left"/>
      <w:pPr>
        <w:ind w:left="5350" w:hanging="202"/>
      </w:pPr>
      <w:rPr>
        <w:rFonts w:hint="default"/>
        <w:lang w:val="zh-CN" w:eastAsia="zh-CN" w:bidi="zh-CN"/>
      </w:rPr>
    </w:lvl>
    <w:lvl w:ilvl="7" w:tentative="0">
      <w:start w:val="0"/>
      <w:numFmt w:val="bullet"/>
      <w:lvlText w:val="•"/>
      <w:lvlJc w:val="left"/>
      <w:pPr>
        <w:ind w:left="6125" w:hanging="202"/>
      </w:pPr>
      <w:rPr>
        <w:rFonts w:hint="default"/>
        <w:lang w:val="zh-CN" w:eastAsia="zh-CN" w:bidi="zh-CN"/>
      </w:rPr>
    </w:lvl>
    <w:lvl w:ilvl="8" w:tentative="0">
      <w:start w:val="0"/>
      <w:numFmt w:val="bullet"/>
      <w:lvlText w:val="•"/>
      <w:lvlJc w:val="left"/>
      <w:pPr>
        <w:ind w:left="6900" w:hanging="202"/>
      </w:pPr>
      <w:rPr>
        <w:rFonts w:hint="default"/>
        <w:lang w:val="zh-CN" w:eastAsia="zh-CN" w:bidi="zh-CN"/>
      </w:rPr>
    </w:lvl>
  </w:abstractNum>
  <w:abstractNum w:abstractNumId="66">
    <w:nsid w:val="0053208E"/>
    <w:multiLevelType w:val="multilevel"/>
    <w:tmpl w:val="0053208E"/>
    <w:lvl w:ilvl="0" w:tentative="0">
      <w:start w:val="1"/>
      <w:numFmt w:val="decimal"/>
      <w:lvlText w:val="%1."/>
      <w:lvlJc w:val="left"/>
      <w:pPr>
        <w:ind w:left="104" w:hanging="303"/>
        <w:jc w:val="right"/>
      </w:pPr>
      <w:rPr>
        <w:rFonts w:hint="default"/>
        <w:spacing w:val="0"/>
        <w:w w:val="99"/>
        <w:lang w:val="zh-CN" w:eastAsia="zh-CN" w:bidi="zh-CN"/>
      </w:rPr>
    </w:lvl>
    <w:lvl w:ilvl="1" w:tentative="0">
      <w:start w:val="1"/>
      <w:numFmt w:val="decimal"/>
      <w:lvlText w:val="（%2）"/>
      <w:lvlJc w:val="left"/>
      <w:pPr>
        <w:ind w:left="1223" w:hanging="500"/>
        <w:jc w:val="left"/>
      </w:pPr>
      <w:rPr>
        <w:rFonts w:hint="default" w:ascii="宋体" w:hAnsi="宋体" w:eastAsia="宋体" w:cs="宋体"/>
        <w:w w:val="99"/>
        <w:sz w:val="18"/>
        <w:szCs w:val="18"/>
        <w:lang w:val="zh-CN" w:eastAsia="zh-CN" w:bidi="zh-CN"/>
      </w:rPr>
    </w:lvl>
    <w:lvl w:ilvl="2" w:tentative="0">
      <w:start w:val="0"/>
      <w:numFmt w:val="bullet"/>
      <w:lvlText w:val="•"/>
      <w:lvlJc w:val="left"/>
      <w:pPr>
        <w:ind w:left="2227" w:hanging="500"/>
      </w:pPr>
      <w:rPr>
        <w:rFonts w:hint="default"/>
        <w:lang w:val="zh-CN" w:eastAsia="zh-CN" w:bidi="zh-CN"/>
      </w:rPr>
    </w:lvl>
    <w:lvl w:ilvl="3" w:tentative="0">
      <w:start w:val="0"/>
      <w:numFmt w:val="bullet"/>
      <w:lvlText w:val="•"/>
      <w:lvlJc w:val="left"/>
      <w:pPr>
        <w:ind w:left="3234" w:hanging="500"/>
      </w:pPr>
      <w:rPr>
        <w:rFonts w:hint="default"/>
        <w:lang w:val="zh-CN" w:eastAsia="zh-CN" w:bidi="zh-CN"/>
      </w:rPr>
    </w:lvl>
    <w:lvl w:ilvl="4" w:tentative="0">
      <w:start w:val="0"/>
      <w:numFmt w:val="bullet"/>
      <w:lvlText w:val="•"/>
      <w:lvlJc w:val="left"/>
      <w:pPr>
        <w:ind w:left="4242" w:hanging="500"/>
      </w:pPr>
      <w:rPr>
        <w:rFonts w:hint="default"/>
        <w:lang w:val="zh-CN" w:eastAsia="zh-CN" w:bidi="zh-CN"/>
      </w:rPr>
    </w:lvl>
    <w:lvl w:ilvl="5" w:tentative="0">
      <w:start w:val="0"/>
      <w:numFmt w:val="bullet"/>
      <w:lvlText w:val="•"/>
      <w:lvlJc w:val="left"/>
      <w:pPr>
        <w:ind w:left="5249" w:hanging="500"/>
      </w:pPr>
      <w:rPr>
        <w:rFonts w:hint="default"/>
        <w:lang w:val="zh-CN" w:eastAsia="zh-CN" w:bidi="zh-CN"/>
      </w:rPr>
    </w:lvl>
    <w:lvl w:ilvl="6" w:tentative="0">
      <w:start w:val="0"/>
      <w:numFmt w:val="bullet"/>
      <w:lvlText w:val="•"/>
      <w:lvlJc w:val="left"/>
      <w:pPr>
        <w:ind w:left="6256" w:hanging="500"/>
      </w:pPr>
      <w:rPr>
        <w:rFonts w:hint="default"/>
        <w:lang w:val="zh-CN" w:eastAsia="zh-CN" w:bidi="zh-CN"/>
      </w:rPr>
    </w:lvl>
    <w:lvl w:ilvl="7" w:tentative="0">
      <w:start w:val="0"/>
      <w:numFmt w:val="bullet"/>
      <w:lvlText w:val="•"/>
      <w:lvlJc w:val="left"/>
      <w:pPr>
        <w:ind w:left="7264" w:hanging="500"/>
      </w:pPr>
      <w:rPr>
        <w:rFonts w:hint="default"/>
        <w:lang w:val="zh-CN" w:eastAsia="zh-CN" w:bidi="zh-CN"/>
      </w:rPr>
    </w:lvl>
    <w:lvl w:ilvl="8" w:tentative="0">
      <w:start w:val="0"/>
      <w:numFmt w:val="bullet"/>
      <w:lvlText w:val="•"/>
      <w:lvlJc w:val="left"/>
      <w:pPr>
        <w:ind w:left="8271" w:hanging="500"/>
      </w:pPr>
      <w:rPr>
        <w:rFonts w:hint="default"/>
        <w:lang w:val="zh-CN" w:eastAsia="zh-CN" w:bidi="zh-CN"/>
      </w:rPr>
    </w:lvl>
  </w:abstractNum>
  <w:abstractNum w:abstractNumId="67">
    <w:nsid w:val="01836A6D"/>
    <w:multiLevelType w:val="multilevel"/>
    <w:tmpl w:val="01836A6D"/>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68">
    <w:nsid w:val="0248C179"/>
    <w:multiLevelType w:val="multilevel"/>
    <w:tmpl w:val="0248C179"/>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69">
    <w:nsid w:val="03A63A41"/>
    <w:multiLevelType w:val="multilevel"/>
    <w:tmpl w:val="03A63A41"/>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70">
    <w:nsid w:val="03C240C0"/>
    <w:multiLevelType w:val="multilevel"/>
    <w:tmpl w:val="03C240C0"/>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71">
    <w:nsid w:val="03D62ECE"/>
    <w:multiLevelType w:val="multilevel"/>
    <w:tmpl w:val="03D62ECE"/>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72">
    <w:nsid w:val="0709FD3E"/>
    <w:multiLevelType w:val="multilevel"/>
    <w:tmpl w:val="0709FD3E"/>
    <w:lvl w:ilvl="0" w:tentative="0">
      <w:start w:val="2"/>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73">
    <w:nsid w:val="0C0E1E13"/>
    <w:multiLevelType w:val="multilevel"/>
    <w:tmpl w:val="0C0E1E13"/>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74">
    <w:nsid w:val="0CEF100B"/>
    <w:multiLevelType w:val="multilevel"/>
    <w:tmpl w:val="0CEF100B"/>
    <w:lvl w:ilvl="0" w:tentative="0">
      <w:start w:val="1"/>
      <w:numFmt w:val="decimal"/>
      <w:lvlText w:val="%1."/>
      <w:lvlJc w:val="left"/>
      <w:pPr>
        <w:ind w:left="924" w:hanging="202"/>
        <w:jc w:val="left"/>
      </w:pPr>
      <w:rPr>
        <w:rFonts w:hint="default"/>
        <w:b/>
        <w:bCs/>
        <w:spacing w:val="1"/>
        <w:w w:val="9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75">
    <w:nsid w:val="0DC629B0"/>
    <w:multiLevelType w:val="multilevel"/>
    <w:tmpl w:val="0DC629B0"/>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76">
    <w:nsid w:val="0E640482"/>
    <w:multiLevelType w:val="multilevel"/>
    <w:tmpl w:val="0E640482"/>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77">
    <w:nsid w:val="0F9F9CCA"/>
    <w:multiLevelType w:val="multilevel"/>
    <w:tmpl w:val="0F9F9CCA"/>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78">
    <w:nsid w:val="10D591E5"/>
    <w:multiLevelType w:val="multilevel"/>
    <w:tmpl w:val="10D591E5"/>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79">
    <w:nsid w:val="10F0DB0B"/>
    <w:multiLevelType w:val="multilevel"/>
    <w:tmpl w:val="10F0DB0B"/>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80">
    <w:nsid w:val="12EADF99"/>
    <w:multiLevelType w:val="multilevel"/>
    <w:tmpl w:val="12EADF99"/>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81">
    <w:nsid w:val="1450273B"/>
    <w:multiLevelType w:val="multilevel"/>
    <w:tmpl w:val="1450273B"/>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82">
    <w:nsid w:val="18F74015"/>
    <w:multiLevelType w:val="multilevel"/>
    <w:tmpl w:val="18F74015"/>
    <w:lvl w:ilvl="0" w:tentative="0">
      <w:start w:val="2"/>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83">
    <w:nsid w:val="1ACDE60F"/>
    <w:multiLevelType w:val="multilevel"/>
    <w:tmpl w:val="1ACDE60F"/>
    <w:lvl w:ilvl="0" w:tentative="0">
      <w:start w:val="2"/>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84">
    <w:nsid w:val="1AD50295"/>
    <w:multiLevelType w:val="multilevel"/>
    <w:tmpl w:val="1AD50295"/>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85">
    <w:nsid w:val="1BCBBCF0"/>
    <w:multiLevelType w:val="multilevel"/>
    <w:tmpl w:val="1BCBBCF0"/>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86">
    <w:nsid w:val="1C257C7B"/>
    <w:multiLevelType w:val="multilevel"/>
    <w:tmpl w:val="1C257C7B"/>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87">
    <w:nsid w:val="2007DCFD"/>
    <w:multiLevelType w:val="multilevel"/>
    <w:tmpl w:val="2007DCFD"/>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88">
    <w:nsid w:val="21B3B1B1"/>
    <w:multiLevelType w:val="multilevel"/>
    <w:tmpl w:val="21B3B1B1"/>
    <w:lvl w:ilvl="0" w:tentative="0">
      <w:start w:val="1"/>
      <w:numFmt w:val="decimal"/>
      <w:lvlText w:val="%1."/>
      <w:lvlJc w:val="left"/>
      <w:pPr>
        <w:ind w:left="322"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89">
    <w:nsid w:val="227C9188"/>
    <w:multiLevelType w:val="multilevel"/>
    <w:tmpl w:val="227C9188"/>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90">
    <w:nsid w:val="23E97754"/>
    <w:multiLevelType w:val="multilevel"/>
    <w:tmpl w:val="23E97754"/>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91">
    <w:nsid w:val="243FCF68"/>
    <w:multiLevelType w:val="multilevel"/>
    <w:tmpl w:val="243FCF68"/>
    <w:lvl w:ilvl="0" w:tentative="0">
      <w:start w:val="1"/>
      <w:numFmt w:val="decimal"/>
      <w:lvlText w:val="%1."/>
      <w:lvlJc w:val="left"/>
      <w:pPr>
        <w:ind w:left="322" w:hanging="202"/>
        <w:jc w:val="left"/>
      </w:pPr>
      <w:rPr>
        <w:rFonts w:hint="default"/>
        <w:b/>
        <w:bCs/>
        <w:spacing w:val="1"/>
        <w:w w:val="9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92">
    <w:nsid w:val="2470EC97"/>
    <w:multiLevelType w:val="multilevel"/>
    <w:tmpl w:val="2470EC97"/>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93">
    <w:nsid w:val="251342A6"/>
    <w:multiLevelType w:val="multilevel"/>
    <w:tmpl w:val="251342A6"/>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94">
    <w:nsid w:val="25B654F3"/>
    <w:multiLevelType w:val="multilevel"/>
    <w:tmpl w:val="25B654F3"/>
    <w:lvl w:ilvl="0" w:tentative="0">
      <w:start w:val="1"/>
      <w:numFmt w:val="decimal"/>
      <w:lvlText w:val="%1."/>
      <w:lvlJc w:val="left"/>
      <w:pPr>
        <w:ind w:left="322" w:hanging="202"/>
        <w:jc w:val="left"/>
      </w:pPr>
      <w:rPr>
        <w:rFonts w:hint="default" w:ascii="宋体" w:hAnsi="宋体" w:eastAsia="宋体" w:cs="宋体"/>
        <w:color w:val="FF0000"/>
        <w:spacing w:val="-2"/>
        <w:w w:val="99"/>
        <w:sz w:val="18"/>
        <w:szCs w:val="18"/>
        <w:u w:val="double" w:color="FF0000"/>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95">
    <w:nsid w:val="2A8F537B"/>
    <w:multiLevelType w:val="multilevel"/>
    <w:tmpl w:val="2A8F537B"/>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96">
    <w:nsid w:val="2B3F3F89"/>
    <w:multiLevelType w:val="multilevel"/>
    <w:tmpl w:val="2B3F3F89"/>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97">
    <w:nsid w:val="2F2D79CE"/>
    <w:multiLevelType w:val="multilevel"/>
    <w:tmpl w:val="2F2D79CE"/>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98">
    <w:nsid w:val="30A0AC00"/>
    <w:multiLevelType w:val="multilevel"/>
    <w:tmpl w:val="30A0AC00"/>
    <w:lvl w:ilvl="0" w:tentative="0">
      <w:start w:val="1"/>
      <w:numFmt w:val="decimal"/>
      <w:lvlText w:val="%1."/>
      <w:lvlJc w:val="left"/>
      <w:pPr>
        <w:ind w:left="322" w:hanging="202"/>
        <w:jc w:val="right"/>
      </w:pPr>
      <w:rPr>
        <w:rFonts w:hint="default"/>
        <w:b/>
        <w:bCs/>
        <w:spacing w:val="1"/>
        <w:w w:val="9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99">
    <w:nsid w:val="30FC5B15"/>
    <w:multiLevelType w:val="multilevel"/>
    <w:tmpl w:val="30FC5B15"/>
    <w:lvl w:ilvl="0" w:tentative="0">
      <w:start w:val="1"/>
      <w:numFmt w:val="decimal"/>
      <w:lvlText w:val="（%1）"/>
      <w:lvlJc w:val="left"/>
      <w:pPr>
        <w:ind w:left="1223" w:hanging="500"/>
        <w:jc w:val="left"/>
      </w:pPr>
      <w:rPr>
        <w:rFonts w:hint="default" w:ascii="宋体" w:hAnsi="宋体" w:eastAsia="宋体" w:cs="宋体"/>
        <w:b/>
        <w:bCs/>
        <w:spacing w:val="-15"/>
        <w:w w:val="98"/>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00">
    <w:nsid w:val="322D85CA"/>
    <w:multiLevelType w:val="multilevel"/>
    <w:tmpl w:val="322D85CA"/>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01">
    <w:nsid w:val="32A7AF2D"/>
    <w:multiLevelType w:val="multilevel"/>
    <w:tmpl w:val="32A7AF2D"/>
    <w:lvl w:ilvl="0" w:tentative="0">
      <w:start w:val="1"/>
      <w:numFmt w:val="decimal"/>
      <w:lvlText w:val="%1."/>
      <w:lvlJc w:val="left"/>
      <w:pPr>
        <w:ind w:left="322"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02">
    <w:nsid w:val="35E83B33"/>
    <w:multiLevelType w:val="multilevel"/>
    <w:tmpl w:val="35E83B33"/>
    <w:lvl w:ilvl="0" w:tentative="0">
      <w:start w:val="1"/>
      <w:numFmt w:val="decimal"/>
      <w:lvlText w:val="%1."/>
      <w:lvlJc w:val="left"/>
      <w:pPr>
        <w:ind w:left="924" w:hanging="202"/>
        <w:jc w:val="left"/>
      </w:pPr>
      <w:rPr>
        <w:rFonts w:hint="default"/>
        <w:b/>
        <w:bCs/>
        <w:spacing w:val="1"/>
        <w:w w:val="98"/>
        <w:u w:val="double" w:color="FF0000"/>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03">
    <w:nsid w:val="39A0D9AC"/>
    <w:multiLevelType w:val="multilevel"/>
    <w:tmpl w:val="39A0D9AC"/>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04">
    <w:nsid w:val="3A7FBA26"/>
    <w:multiLevelType w:val="multilevel"/>
    <w:tmpl w:val="3A7FBA26"/>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05">
    <w:nsid w:val="3B8127DF"/>
    <w:multiLevelType w:val="multilevel"/>
    <w:tmpl w:val="3B8127DF"/>
    <w:lvl w:ilvl="0" w:tentative="0">
      <w:start w:val="1"/>
      <w:numFmt w:val="decimal"/>
      <w:lvlText w:val="%1."/>
      <w:lvlJc w:val="left"/>
      <w:pPr>
        <w:ind w:left="924" w:hanging="202"/>
        <w:jc w:val="left"/>
      </w:pPr>
      <w:rPr>
        <w:rFonts w:hint="default" w:ascii="宋体" w:hAnsi="宋体" w:eastAsia="宋体" w:cs="宋体"/>
        <w:b/>
        <w:bCs/>
        <w:color w:val="00AFEF"/>
        <w:spacing w:val="1"/>
        <w:w w:val="98"/>
        <w:sz w:val="18"/>
        <w:szCs w:val="18"/>
        <w:u w:val="single" w:color="00AFEF"/>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06">
    <w:nsid w:val="3FE315B6"/>
    <w:multiLevelType w:val="multilevel"/>
    <w:tmpl w:val="3FE315B6"/>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07">
    <w:nsid w:val="40B249F9"/>
    <w:multiLevelType w:val="multilevel"/>
    <w:tmpl w:val="40B249F9"/>
    <w:lvl w:ilvl="0" w:tentative="0">
      <w:start w:val="1"/>
      <w:numFmt w:val="decimal"/>
      <w:lvlText w:val="（%1）"/>
      <w:lvlJc w:val="left"/>
      <w:pPr>
        <w:ind w:left="322" w:hanging="500"/>
        <w:jc w:val="left"/>
      </w:pPr>
      <w:rPr>
        <w:rFonts w:hint="default" w:ascii="宋体" w:hAnsi="宋体" w:eastAsia="宋体" w:cs="宋体"/>
        <w:spacing w:val="-10"/>
        <w:w w:val="99"/>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108">
    <w:nsid w:val="40F245EA"/>
    <w:multiLevelType w:val="multilevel"/>
    <w:tmpl w:val="40F245EA"/>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09">
    <w:nsid w:val="46A08BB8"/>
    <w:multiLevelType w:val="multilevel"/>
    <w:tmpl w:val="46A08BB8"/>
    <w:lvl w:ilvl="0" w:tentative="0">
      <w:start w:val="1"/>
      <w:numFmt w:val="decimal"/>
      <w:lvlText w:val="%1."/>
      <w:lvlJc w:val="left"/>
      <w:pPr>
        <w:ind w:left="448" w:hanging="183"/>
        <w:jc w:val="left"/>
      </w:pPr>
      <w:rPr>
        <w:rFonts w:hint="default" w:ascii="宋体" w:hAnsi="宋体" w:eastAsia="宋体" w:cs="宋体"/>
        <w:spacing w:val="-2"/>
        <w:w w:val="100"/>
        <w:sz w:val="16"/>
        <w:szCs w:val="16"/>
        <w:lang w:val="zh-CN" w:eastAsia="zh-CN" w:bidi="zh-CN"/>
      </w:rPr>
    </w:lvl>
    <w:lvl w:ilvl="1" w:tentative="0">
      <w:start w:val="0"/>
      <w:numFmt w:val="bullet"/>
      <w:lvlText w:val="•"/>
      <w:lvlJc w:val="left"/>
      <w:pPr>
        <w:ind w:left="629" w:hanging="183"/>
      </w:pPr>
      <w:rPr>
        <w:rFonts w:hint="default"/>
        <w:lang w:val="zh-CN" w:eastAsia="zh-CN" w:bidi="zh-CN"/>
      </w:rPr>
    </w:lvl>
    <w:lvl w:ilvl="2" w:tentative="0">
      <w:start w:val="0"/>
      <w:numFmt w:val="bullet"/>
      <w:lvlText w:val="•"/>
      <w:lvlJc w:val="left"/>
      <w:pPr>
        <w:ind w:left="819" w:hanging="183"/>
      </w:pPr>
      <w:rPr>
        <w:rFonts w:hint="default"/>
        <w:lang w:val="zh-CN" w:eastAsia="zh-CN" w:bidi="zh-CN"/>
      </w:rPr>
    </w:lvl>
    <w:lvl w:ilvl="3" w:tentative="0">
      <w:start w:val="0"/>
      <w:numFmt w:val="bullet"/>
      <w:lvlText w:val="•"/>
      <w:lvlJc w:val="left"/>
      <w:pPr>
        <w:ind w:left="1009" w:hanging="183"/>
      </w:pPr>
      <w:rPr>
        <w:rFonts w:hint="default"/>
        <w:lang w:val="zh-CN" w:eastAsia="zh-CN" w:bidi="zh-CN"/>
      </w:rPr>
    </w:lvl>
    <w:lvl w:ilvl="4" w:tentative="0">
      <w:start w:val="0"/>
      <w:numFmt w:val="bullet"/>
      <w:lvlText w:val="•"/>
      <w:lvlJc w:val="left"/>
      <w:pPr>
        <w:ind w:left="1199" w:hanging="183"/>
      </w:pPr>
      <w:rPr>
        <w:rFonts w:hint="default"/>
        <w:lang w:val="zh-CN" w:eastAsia="zh-CN" w:bidi="zh-CN"/>
      </w:rPr>
    </w:lvl>
    <w:lvl w:ilvl="5" w:tentative="0">
      <w:start w:val="0"/>
      <w:numFmt w:val="bullet"/>
      <w:lvlText w:val="•"/>
      <w:lvlJc w:val="left"/>
      <w:pPr>
        <w:ind w:left="1388" w:hanging="183"/>
      </w:pPr>
      <w:rPr>
        <w:rFonts w:hint="default"/>
        <w:lang w:val="zh-CN" w:eastAsia="zh-CN" w:bidi="zh-CN"/>
      </w:rPr>
    </w:lvl>
    <w:lvl w:ilvl="6" w:tentative="0">
      <w:start w:val="0"/>
      <w:numFmt w:val="bullet"/>
      <w:lvlText w:val="•"/>
      <w:lvlJc w:val="left"/>
      <w:pPr>
        <w:ind w:left="1578" w:hanging="183"/>
      </w:pPr>
      <w:rPr>
        <w:rFonts w:hint="default"/>
        <w:lang w:val="zh-CN" w:eastAsia="zh-CN" w:bidi="zh-CN"/>
      </w:rPr>
    </w:lvl>
    <w:lvl w:ilvl="7" w:tentative="0">
      <w:start w:val="0"/>
      <w:numFmt w:val="bullet"/>
      <w:lvlText w:val="•"/>
      <w:lvlJc w:val="left"/>
      <w:pPr>
        <w:ind w:left="1768" w:hanging="183"/>
      </w:pPr>
      <w:rPr>
        <w:rFonts w:hint="default"/>
        <w:lang w:val="zh-CN" w:eastAsia="zh-CN" w:bidi="zh-CN"/>
      </w:rPr>
    </w:lvl>
    <w:lvl w:ilvl="8" w:tentative="0">
      <w:start w:val="0"/>
      <w:numFmt w:val="bullet"/>
      <w:lvlText w:val="•"/>
      <w:lvlJc w:val="left"/>
      <w:pPr>
        <w:ind w:left="1958" w:hanging="183"/>
      </w:pPr>
      <w:rPr>
        <w:rFonts w:hint="default"/>
        <w:lang w:val="zh-CN" w:eastAsia="zh-CN" w:bidi="zh-CN"/>
      </w:rPr>
    </w:lvl>
  </w:abstractNum>
  <w:abstractNum w:abstractNumId="110">
    <w:nsid w:val="4A51D704"/>
    <w:multiLevelType w:val="multilevel"/>
    <w:tmpl w:val="4A51D704"/>
    <w:lvl w:ilvl="0" w:tentative="0">
      <w:start w:val="1"/>
      <w:numFmt w:val="decimal"/>
      <w:lvlText w:val="（%1）"/>
      <w:lvlJc w:val="left"/>
      <w:pPr>
        <w:ind w:left="1223" w:hanging="500"/>
        <w:jc w:val="right"/>
      </w:pPr>
      <w:rPr>
        <w:rFonts w:hint="default"/>
        <w:w w:val="99"/>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11">
    <w:nsid w:val="4C1BAE26"/>
    <w:multiLevelType w:val="multilevel"/>
    <w:tmpl w:val="4C1BAE26"/>
    <w:lvl w:ilvl="0" w:tentative="0">
      <w:start w:val="1"/>
      <w:numFmt w:val="decimal"/>
      <w:lvlText w:val="（%1）"/>
      <w:lvlJc w:val="left"/>
      <w:pPr>
        <w:ind w:left="322"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020" w:hanging="500"/>
      </w:pPr>
      <w:rPr>
        <w:rFonts w:hint="default"/>
        <w:lang w:val="zh-CN" w:eastAsia="zh-CN" w:bidi="zh-CN"/>
      </w:rPr>
    </w:lvl>
    <w:lvl w:ilvl="2" w:tentative="0">
      <w:start w:val="0"/>
      <w:numFmt w:val="bullet"/>
      <w:lvlText w:val="•"/>
      <w:lvlJc w:val="left"/>
      <w:pPr>
        <w:ind w:left="2994" w:hanging="500"/>
      </w:pPr>
      <w:rPr>
        <w:rFonts w:hint="default"/>
        <w:lang w:val="zh-CN" w:eastAsia="zh-CN" w:bidi="zh-CN"/>
      </w:rPr>
    </w:lvl>
    <w:lvl w:ilvl="3" w:tentative="0">
      <w:start w:val="0"/>
      <w:numFmt w:val="bullet"/>
      <w:lvlText w:val="•"/>
      <w:lvlJc w:val="left"/>
      <w:pPr>
        <w:ind w:left="3968" w:hanging="500"/>
      </w:pPr>
      <w:rPr>
        <w:rFonts w:hint="default"/>
        <w:lang w:val="zh-CN" w:eastAsia="zh-CN" w:bidi="zh-CN"/>
      </w:rPr>
    </w:lvl>
    <w:lvl w:ilvl="4" w:tentative="0">
      <w:start w:val="0"/>
      <w:numFmt w:val="bullet"/>
      <w:lvlText w:val="•"/>
      <w:lvlJc w:val="left"/>
      <w:pPr>
        <w:ind w:left="4942" w:hanging="500"/>
      </w:pPr>
      <w:rPr>
        <w:rFonts w:hint="default"/>
        <w:lang w:val="zh-CN" w:eastAsia="zh-CN" w:bidi="zh-CN"/>
      </w:rPr>
    </w:lvl>
    <w:lvl w:ilvl="5" w:tentative="0">
      <w:start w:val="0"/>
      <w:numFmt w:val="bullet"/>
      <w:lvlText w:val="•"/>
      <w:lvlJc w:val="left"/>
      <w:pPr>
        <w:ind w:left="5916" w:hanging="500"/>
      </w:pPr>
      <w:rPr>
        <w:rFonts w:hint="default"/>
        <w:lang w:val="zh-CN" w:eastAsia="zh-CN" w:bidi="zh-CN"/>
      </w:rPr>
    </w:lvl>
    <w:lvl w:ilvl="6" w:tentative="0">
      <w:start w:val="0"/>
      <w:numFmt w:val="bullet"/>
      <w:lvlText w:val="•"/>
      <w:lvlJc w:val="left"/>
      <w:pPr>
        <w:ind w:left="6890" w:hanging="500"/>
      </w:pPr>
      <w:rPr>
        <w:rFonts w:hint="default"/>
        <w:lang w:val="zh-CN" w:eastAsia="zh-CN" w:bidi="zh-CN"/>
      </w:rPr>
    </w:lvl>
    <w:lvl w:ilvl="7" w:tentative="0">
      <w:start w:val="0"/>
      <w:numFmt w:val="bullet"/>
      <w:lvlText w:val="•"/>
      <w:lvlJc w:val="left"/>
      <w:pPr>
        <w:ind w:left="7864" w:hanging="500"/>
      </w:pPr>
      <w:rPr>
        <w:rFonts w:hint="default"/>
        <w:lang w:val="zh-CN" w:eastAsia="zh-CN" w:bidi="zh-CN"/>
      </w:rPr>
    </w:lvl>
    <w:lvl w:ilvl="8" w:tentative="0">
      <w:start w:val="0"/>
      <w:numFmt w:val="bullet"/>
      <w:lvlText w:val="•"/>
      <w:lvlJc w:val="left"/>
      <w:pPr>
        <w:ind w:left="8838" w:hanging="500"/>
      </w:pPr>
      <w:rPr>
        <w:rFonts w:hint="default"/>
        <w:lang w:val="zh-CN" w:eastAsia="zh-CN" w:bidi="zh-CN"/>
      </w:rPr>
    </w:lvl>
  </w:abstractNum>
  <w:abstractNum w:abstractNumId="112">
    <w:nsid w:val="4C3D7A74"/>
    <w:multiLevelType w:val="multilevel"/>
    <w:tmpl w:val="4C3D7A74"/>
    <w:lvl w:ilvl="0" w:tentative="0">
      <w:start w:val="1"/>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13">
    <w:nsid w:val="4CD1E351"/>
    <w:multiLevelType w:val="multilevel"/>
    <w:tmpl w:val="4CD1E351"/>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14">
    <w:nsid w:val="4D4DC07F"/>
    <w:multiLevelType w:val="multilevel"/>
    <w:tmpl w:val="4D4DC07F"/>
    <w:lvl w:ilvl="0" w:tentative="0">
      <w:start w:val="2"/>
      <w:numFmt w:val="decimal"/>
      <w:lvlText w:val="%1."/>
      <w:lvlJc w:val="left"/>
      <w:pPr>
        <w:ind w:left="322"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15">
    <w:nsid w:val="4D63189B"/>
    <w:multiLevelType w:val="multilevel"/>
    <w:tmpl w:val="4D63189B"/>
    <w:lvl w:ilvl="0" w:tentative="0">
      <w:start w:val="1"/>
      <w:numFmt w:val="decimal"/>
      <w:lvlText w:val="（%1）"/>
      <w:lvlJc w:val="left"/>
      <w:pPr>
        <w:ind w:left="1223" w:hanging="500"/>
        <w:jc w:val="left"/>
      </w:pPr>
      <w:rPr>
        <w:rFonts w:hint="default" w:ascii="宋体" w:hAnsi="宋体" w:eastAsia="宋体" w:cs="宋体"/>
        <w:spacing w:val="-22"/>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16">
    <w:nsid w:val="4D94DA66"/>
    <w:multiLevelType w:val="multilevel"/>
    <w:tmpl w:val="4D94DA66"/>
    <w:lvl w:ilvl="0" w:tentative="0">
      <w:start w:val="1"/>
      <w:numFmt w:val="decimal"/>
      <w:lvlText w:val="（%1）"/>
      <w:lvlJc w:val="left"/>
      <w:pPr>
        <w:ind w:left="322" w:hanging="500"/>
        <w:jc w:val="left"/>
      </w:pPr>
      <w:rPr>
        <w:rFonts w:hint="default" w:ascii="宋体" w:hAnsi="宋体" w:eastAsia="宋体" w:cs="宋体"/>
        <w:b/>
        <w:bCs/>
        <w:spacing w:val="-36"/>
        <w:w w:val="98"/>
        <w:sz w:val="18"/>
        <w:szCs w:val="18"/>
        <w:lang w:val="zh-CN" w:eastAsia="zh-CN" w:bidi="zh-CN"/>
      </w:rPr>
    </w:lvl>
    <w:lvl w:ilvl="1" w:tentative="0">
      <w:start w:val="0"/>
      <w:numFmt w:val="bullet"/>
      <w:lvlText w:val="•"/>
      <w:lvlJc w:val="left"/>
      <w:pPr>
        <w:ind w:left="1366" w:hanging="500"/>
      </w:pPr>
      <w:rPr>
        <w:rFonts w:hint="default"/>
        <w:lang w:val="zh-CN" w:eastAsia="zh-CN" w:bidi="zh-CN"/>
      </w:rPr>
    </w:lvl>
    <w:lvl w:ilvl="2" w:tentative="0">
      <w:start w:val="0"/>
      <w:numFmt w:val="bullet"/>
      <w:lvlText w:val="•"/>
      <w:lvlJc w:val="left"/>
      <w:pPr>
        <w:ind w:left="2413" w:hanging="500"/>
      </w:pPr>
      <w:rPr>
        <w:rFonts w:hint="default"/>
        <w:lang w:val="zh-CN" w:eastAsia="zh-CN" w:bidi="zh-CN"/>
      </w:rPr>
    </w:lvl>
    <w:lvl w:ilvl="3" w:tentative="0">
      <w:start w:val="0"/>
      <w:numFmt w:val="bullet"/>
      <w:lvlText w:val="•"/>
      <w:lvlJc w:val="left"/>
      <w:pPr>
        <w:ind w:left="3459" w:hanging="500"/>
      </w:pPr>
      <w:rPr>
        <w:rFonts w:hint="default"/>
        <w:lang w:val="zh-CN" w:eastAsia="zh-CN" w:bidi="zh-CN"/>
      </w:rPr>
    </w:lvl>
    <w:lvl w:ilvl="4" w:tentative="0">
      <w:start w:val="0"/>
      <w:numFmt w:val="bullet"/>
      <w:lvlText w:val="•"/>
      <w:lvlJc w:val="left"/>
      <w:pPr>
        <w:ind w:left="4506" w:hanging="500"/>
      </w:pPr>
      <w:rPr>
        <w:rFonts w:hint="default"/>
        <w:lang w:val="zh-CN" w:eastAsia="zh-CN" w:bidi="zh-CN"/>
      </w:rPr>
    </w:lvl>
    <w:lvl w:ilvl="5" w:tentative="0">
      <w:start w:val="0"/>
      <w:numFmt w:val="bullet"/>
      <w:lvlText w:val="•"/>
      <w:lvlJc w:val="left"/>
      <w:pPr>
        <w:ind w:left="5553" w:hanging="500"/>
      </w:pPr>
      <w:rPr>
        <w:rFonts w:hint="default"/>
        <w:lang w:val="zh-CN" w:eastAsia="zh-CN" w:bidi="zh-CN"/>
      </w:rPr>
    </w:lvl>
    <w:lvl w:ilvl="6" w:tentative="0">
      <w:start w:val="0"/>
      <w:numFmt w:val="bullet"/>
      <w:lvlText w:val="•"/>
      <w:lvlJc w:val="left"/>
      <w:pPr>
        <w:ind w:left="6599" w:hanging="500"/>
      </w:pPr>
      <w:rPr>
        <w:rFonts w:hint="default"/>
        <w:lang w:val="zh-CN" w:eastAsia="zh-CN" w:bidi="zh-CN"/>
      </w:rPr>
    </w:lvl>
    <w:lvl w:ilvl="7" w:tentative="0">
      <w:start w:val="0"/>
      <w:numFmt w:val="bullet"/>
      <w:lvlText w:val="•"/>
      <w:lvlJc w:val="left"/>
      <w:pPr>
        <w:ind w:left="7646" w:hanging="500"/>
      </w:pPr>
      <w:rPr>
        <w:rFonts w:hint="default"/>
        <w:lang w:val="zh-CN" w:eastAsia="zh-CN" w:bidi="zh-CN"/>
      </w:rPr>
    </w:lvl>
    <w:lvl w:ilvl="8" w:tentative="0">
      <w:start w:val="0"/>
      <w:numFmt w:val="bullet"/>
      <w:lvlText w:val="•"/>
      <w:lvlJc w:val="left"/>
      <w:pPr>
        <w:ind w:left="8692" w:hanging="500"/>
      </w:pPr>
      <w:rPr>
        <w:rFonts w:hint="default"/>
        <w:lang w:val="zh-CN" w:eastAsia="zh-CN" w:bidi="zh-CN"/>
      </w:rPr>
    </w:lvl>
  </w:abstractNum>
  <w:abstractNum w:abstractNumId="117">
    <w:nsid w:val="4FB438A5"/>
    <w:multiLevelType w:val="multilevel"/>
    <w:tmpl w:val="4FB438A5"/>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18">
    <w:nsid w:val="51C4BC33"/>
    <w:multiLevelType w:val="multilevel"/>
    <w:tmpl w:val="51C4BC33"/>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19">
    <w:nsid w:val="54701CA1"/>
    <w:multiLevelType w:val="multilevel"/>
    <w:tmpl w:val="54701CA1"/>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20">
    <w:nsid w:val="58765686"/>
    <w:multiLevelType w:val="multilevel"/>
    <w:tmpl w:val="58765686"/>
    <w:lvl w:ilvl="0" w:tentative="0">
      <w:start w:val="1"/>
      <w:numFmt w:val="lowerLetter"/>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21">
    <w:nsid w:val="59ADCABA"/>
    <w:multiLevelType w:val="multilevel"/>
    <w:tmpl w:val="59ADCABA"/>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22">
    <w:nsid w:val="59EEFD2A"/>
    <w:multiLevelType w:val="multilevel"/>
    <w:tmpl w:val="59EEFD2A"/>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123">
    <w:nsid w:val="5A241D34"/>
    <w:multiLevelType w:val="multilevel"/>
    <w:tmpl w:val="5A241D34"/>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24">
    <w:nsid w:val="5E29AB5A"/>
    <w:multiLevelType w:val="multilevel"/>
    <w:tmpl w:val="5E29AB5A"/>
    <w:lvl w:ilvl="0" w:tentative="0">
      <w:start w:val="1"/>
      <w:numFmt w:val="decimal"/>
      <w:lvlText w:val="（%1）"/>
      <w:lvlJc w:val="left"/>
      <w:pPr>
        <w:ind w:left="1242" w:hanging="500"/>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2194" w:hanging="500"/>
      </w:pPr>
      <w:rPr>
        <w:rFonts w:hint="default"/>
        <w:lang w:val="zh-CN" w:eastAsia="zh-CN" w:bidi="zh-CN"/>
      </w:rPr>
    </w:lvl>
    <w:lvl w:ilvl="2" w:tentative="0">
      <w:start w:val="0"/>
      <w:numFmt w:val="bullet"/>
      <w:lvlText w:val="•"/>
      <w:lvlJc w:val="left"/>
      <w:pPr>
        <w:ind w:left="3149" w:hanging="500"/>
      </w:pPr>
      <w:rPr>
        <w:rFonts w:hint="default"/>
        <w:lang w:val="zh-CN" w:eastAsia="zh-CN" w:bidi="zh-CN"/>
      </w:rPr>
    </w:lvl>
    <w:lvl w:ilvl="3" w:tentative="0">
      <w:start w:val="0"/>
      <w:numFmt w:val="bullet"/>
      <w:lvlText w:val="•"/>
      <w:lvlJc w:val="left"/>
      <w:pPr>
        <w:ind w:left="4103" w:hanging="500"/>
      </w:pPr>
      <w:rPr>
        <w:rFonts w:hint="default"/>
        <w:lang w:val="zh-CN" w:eastAsia="zh-CN" w:bidi="zh-CN"/>
      </w:rPr>
    </w:lvl>
    <w:lvl w:ilvl="4" w:tentative="0">
      <w:start w:val="0"/>
      <w:numFmt w:val="bullet"/>
      <w:lvlText w:val="•"/>
      <w:lvlJc w:val="left"/>
      <w:pPr>
        <w:ind w:left="5058" w:hanging="500"/>
      </w:pPr>
      <w:rPr>
        <w:rFonts w:hint="default"/>
        <w:lang w:val="zh-CN" w:eastAsia="zh-CN" w:bidi="zh-CN"/>
      </w:rPr>
    </w:lvl>
    <w:lvl w:ilvl="5" w:tentative="0">
      <w:start w:val="0"/>
      <w:numFmt w:val="bullet"/>
      <w:lvlText w:val="•"/>
      <w:lvlJc w:val="left"/>
      <w:pPr>
        <w:ind w:left="6013" w:hanging="500"/>
      </w:pPr>
      <w:rPr>
        <w:rFonts w:hint="default"/>
        <w:lang w:val="zh-CN" w:eastAsia="zh-CN" w:bidi="zh-CN"/>
      </w:rPr>
    </w:lvl>
    <w:lvl w:ilvl="6" w:tentative="0">
      <w:start w:val="0"/>
      <w:numFmt w:val="bullet"/>
      <w:lvlText w:val="•"/>
      <w:lvlJc w:val="left"/>
      <w:pPr>
        <w:ind w:left="6967" w:hanging="500"/>
      </w:pPr>
      <w:rPr>
        <w:rFonts w:hint="default"/>
        <w:lang w:val="zh-CN" w:eastAsia="zh-CN" w:bidi="zh-CN"/>
      </w:rPr>
    </w:lvl>
    <w:lvl w:ilvl="7" w:tentative="0">
      <w:start w:val="0"/>
      <w:numFmt w:val="bullet"/>
      <w:lvlText w:val="•"/>
      <w:lvlJc w:val="left"/>
      <w:pPr>
        <w:ind w:left="7922" w:hanging="500"/>
      </w:pPr>
      <w:rPr>
        <w:rFonts w:hint="default"/>
        <w:lang w:val="zh-CN" w:eastAsia="zh-CN" w:bidi="zh-CN"/>
      </w:rPr>
    </w:lvl>
    <w:lvl w:ilvl="8" w:tentative="0">
      <w:start w:val="0"/>
      <w:numFmt w:val="bullet"/>
      <w:lvlText w:val="•"/>
      <w:lvlJc w:val="left"/>
      <w:pPr>
        <w:ind w:left="8876" w:hanging="500"/>
      </w:pPr>
      <w:rPr>
        <w:rFonts w:hint="default"/>
        <w:lang w:val="zh-CN" w:eastAsia="zh-CN" w:bidi="zh-CN"/>
      </w:rPr>
    </w:lvl>
  </w:abstractNum>
  <w:abstractNum w:abstractNumId="125">
    <w:nsid w:val="5FCE4367"/>
    <w:multiLevelType w:val="multilevel"/>
    <w:tmpl w:val="5FCE4367"/>
    <w:lvl w:ilvl="0" w:tentative="0">
      <w:start w:val="1"/>
      <w:numFmt w:val="decimal"/>
      <w:lvlText w:val="%1."/>
      <w:lvlJc w:val="left"/>
      <w:pPr>
        <w:ind w:left="924"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26">
    <w:nsid w:val="5FFFB1A7"/>
    <w:multiLevelType w:val="multilevel"/>
    <w:tmpl w:val="5FFFB1A7"/>
    <w:lvl w:ilvl="0" w:tentative="0">
      <w:start w:val="1"/>
      <w:numFmt w:val="decimal"/>
      <w:lvlText w:val="%1."/>
      <w:lvlJc w:val="left"/>
      <w:pPr>
        <w:ind w:left="322"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27">
    <w:nsid w:val="60382F6E"/>
    <w:multiLevelType w:val="multilevel"/>
    <w:tmpl w:val="60382F6E"/>
    <w:lvl w:ilvl="0" w:tentative="0">
      <w:start w:val="1"/>
      <w:numFmt w:val="lowerLetter"/>
      <w:lvlText w:val="%1."/>
      <w:lvlJc w:val="left"/>
      <w:pPr>
        <w:ind w:left="723" w:hanging="202"/>
        <w:jc w:val="left"/>
      </w:pPr>
      <w:rPr>
        <w:rFonts w:hint="default" w:ascii="宋体" w:hAnsi="宋体" w:eastAsia="宋体" w:cs="宋体"/>
        <w:spacing w:val="-2"/>
        <w:w w:val="99"/>
        <w:sz w:val="18"/>
        <w:szCs w:val="18"/>
        <w:lang w:val="zh-CN" w:eastAsia="zh-CN" w:bidi="zh-CN"/>
      </w:rPr>
    </w:lvl>
    <w:lvl w:ilvl="1" w:tentative="0">
      <w:start w:val="0"/>
      <w:numFmt w:val="bullet"/>
      <w:lvlText w:val="•"/>
      <w:lvlJc w:val="left"/>
      <w:pPr>
        <w:ind w:left="1726" w:hanging="202"/>
      </w:pPr>
      <w:rPr>
        <w:rFonts w:hint="default"/>
        <w:lang w:val="zh-CN" w:eastAsia="zh-CN" w:bidi="zh-CN"/>
      </w:rPr>
    </w:lvl>
    <w:lvl w:ilvl="2" w:tentative="0">
      <w:start w:val="0"/>
      <w:numFmt w:val="bullet"/>
      <w:lvlText w:val="•"/>
      <w:lvlJc w:val="left"/>
      <w:pPr>
        <w:ind w:left="2733" w:hanging="202"/>
      </w:pPr>
      <w:rPr>
        <w:rFonts w:hint="default"/>
        <w:lang w:val="zh-CN" w:eastAsia="zh-CN" w:bidi="zh-CN"/>
      </w:rPr>
    </w:lvl>
    <w:lvl w:ilvl="3" w:tentative="0">
      <w:start w:val="0"/>
      <w:numFmt w:val="bullet"/>
      <w:lvlText w:val="•"/>
      <w:lvlJc w:val="left"/>
      <w:pPr>
        <w:ind w:left="3739" w:hanging="202"/>
      </w:pPr>
      <w:rPr>
        <w:rFonts w:hint="default"/>
        <w:lang w:val="zh-CN" w:eastAsia="zh-CN" w:bidi="zh-CN"/>
      </w:rPr>
    </w:lvl>
    <w:lvl w:ilvl="4" w:tentative="0">
      <w:start w:val="0"/>
      <w:numFmt w:val="bullet"/>
      <w:lvlText w:val="•"/>
      <w:lvlJc w:val="left"/>
      <w:pPr>
        <w:ind w:left="4746" w:hanging="202"/>
      </w:pPr>
      <w:rPr>
        <w:rFonts w:hint="default"/>
        <w:lang w:val="zh-CN" w:eastAsia="zh-CN" w:bidi="zh-CN"/>
      </w:rPr>
    </w:lvl>
    <w:lvl w:ilvl="5" w:tentative="0">
      <w:start w:val="0"/>
      <w:numFmt w:val="bullet"/>
      <w:lvlText w:val="•"/>
      <w:lvlJc w:val="left"/>
      <w:pPr>
        <w:ind w:left="5753" w:hanging="202"/>
      </w:pPr>
      <w:rPr>
        <w:rFonts w:hint="default"/>
        <w:lang w:val="zh-CN" w:eastAsia="zh-CN" w:bidi="zh-CN"/>
      </w:rPr>
    </w:lvl>
    <w:lvl w:ilvl="6" w:tentative="0">
      <w:start w:val="0"/>
      <w:numFmt w:val="bullet"/>
      <w:lvlText w:val="•"/>
      <w:lvlJc w:val="left"/>
      <w:pPr>
        <w:ind w:left="6759" w:hanging="202"/>
      </w:pPr>
      <w:rPr>
        <w:rFonts w:hint="default"/>
        <w:lang w:val="zh-CN" w:eastAsia="zh-CN" w:bidi="zh-CN"/>
      </w:rPr>
    </w:lvl>
    <w:lvl w:ilvl="7" w:tentative="0">
      <w:start w:val="0"/>
      <w:numFmt w:val="bullet"/>
      <w:lvlText w:val="•"/>
      <w:lvlJc w:val="left"/>
      <w:pPr>
        <w:ind w:left="7766" w:hanging="202"/>
      </w:pPr>
      <w:rPr>
        <w:rFonts w:hint="default"/>
        <w:lang w:val="zh-CN" w:eastAsia="zh-CN" w:bidi="zh-CN"/>
      </w:rPr>
    </w:lvl>
    <w:lvl w:ilvl="8" w:tentative="0">
      <w:start w:val="0"/>
      <w:numFmt w:val="bullet"/>
      <w:lvlText w:val="•"/>
      <w:lvlJc w:val="left"/>
      <w:pPr>
        <w:ind w:left="8772" w:hanging="202"/>
      </w:pPr>
      <w:rPr>
        <w:rFonts w:hint="default"/>
        <w:lang w:val="zh-CN" w:eastAsia="zh-CN" w:bidi="zh-CN"/>
      </w:rPr>
    </w:lvl>
  </w:abstractNum>
  <w:abstractNum w:abstractNumId="128">
    <w:nsid w:val="610EFE5C"/>
    <w:multiLevelType w:val="multilevel"/>
    <w:tmpl w:val="610EFE5C"/>
    <w:lvl w:ilvl="0" w:tentative="0">
      <w:start w:val="1"/>
      <w:numFmt w:val="decimal"/>
      <w:lvlText w:val="%1."/>
      <w:lvlJc w:val="left"/>
      <w:pPr>
        <w:ind w:left="322"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29">
    <w:nsid w:val="629F7852"/>
    <w:multiLevelType w:val="multilevel"/>
    <w:tmpl w:val="629F7852"/>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30">
    <w:nsid w:val="65CD0074"/>
    <w:multiLevelType w:val="multilevel"/>
    <w:tmpl w:val="65CD0074"/>
    <w:lvl w:ilvl="0" w:tentative="0">
      <w:start w:val="1"/>
      <w:numFmt w:val="decimal"/>
      <w:lvlText w:val="%1."/>
      <w:lvlJc w:val="left"/>
      <w:pPr>
        <w:ind w:left="723"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26" w:hanging="202"/>
      </w:pPr>
      <w:rPr>
        <w:rFonts w:hint="default"/>
        <w:lang w:val="zh-CN" w:eastAsia="zh-CN" w:bidi="zh-CN"/>
      </w:rPr>
    </w:lvl>
    <w:lvl w:ilvl="2" w:tentative="0">
      <w:start w:val="0"/>
      <w:numFmt w:val="bullet"/>
      <w:lvlText w:val="•"/>
      <w:lvlJc w:val="left"/>
      <w:pPr>
        <w:ind w:left="2733" w:hanging="202"/>
      </w:pPr>
      <w:rPr>
        <w:rFonts w:hint="default"/>
        <w:lang w:val="zh-CN" w:eastAsia="zh-CN" w:bidi="zh-CN"/>
      </w:rPr>
    </w:lvl>
    <w:lvl w:ilvl="3" w:tentative="0">
      <w:start w:val="0"/>
      <w:numFmt w:val="bullet"/>
      <w:lvlText w:val="•"/>
      <w:lvlJc w:val="left"/>
      <w:pPr>
        <w:ind w:left="3739" w:hanging="202"/>
      </w:pPr>
      <w:rPr>
        <w:rFonts w:hint="default"/>
        <w:lang w:val="zh-CN" w:eastAsia="zh-CN" w:bidi="zh-CN"/>
      </w:rPr>
    </w:lvl>
    <w:lvl w:ilvl="4" w:tentative="0">
      <w:start w:val="0"/>
      <w:numFmt w:val="bullet"/>
      <w:lvlText w:val="•"/>
      <w:lvlJc w:val="left"/>
      <w:pPr>
        <w:ind w:left="4746" w:hanging="202"/>
      </w:pPr>
      <w:rPr>
        <w:rFonts w:hint="default"/>
        <w:lang w:val="zh-CN" w:eastAsia="zh-CN" w:bidi="zh-CN"/>
      </w:rPr>
    </w:lvl>
    <w:lvl w:ilvl="5" w:tentative="0">
      <w:start w:val="0"/>
      <w:numFmt w:val="bullet"/>
      <w:lvlText w:val="•"/>
      <w:lvlJc w:val="left"/>
      <w:pPr>
        <w:ind w:left="5753" w:hanging="202"/>
      </w:pPr>
      <w:rPr>
        <w:rFonts w:hint="default"/>
        <w:lang w:val="zh-CN" w:eastAsia="zh-CN" w:bidi="zh-CN"/>
      </w:rPr>
    </w:lvl>
    <w:lvl w:ilvl="6" w:tentative="0">
      <w:start w:val="0"/>
      <w:numFmt w:val="bullet"/>
      <w:lvlText w:val="•"/>
      <w:lvlJc w:val="left"/>
      <w:pPr>
        <w:ind w:left="6759" w:hanging="202"/>
      </w:pPr>
      <w:rPr>
        <w:rFonts w:hint="default"/>
        <w:lang w:val="zh-CN" w:eastAsia="zh-CN" w:bidi="zh-CN"/>
      </w:rPr>
    </w:lvl>
    <w:lvl w:ilvl="7" w:tentative="0">
      <w:start w:val="0"/>
      <w:numFmt w:val="bullet"/>
      <w:lvlText w:val="•"/>
      <w:lvlJc w:val="left"/>
      <w:pPr>
        <w:ind w:left="7766" w:hanging="202"/>
      </w:pPr>
      <w:rPr>
        <w:rFonts w:hint="default"/>
        <w:lang w:val="zh-CN" w:eastAsia="zh-CN" w:bidi="zh-CN"/>
      </w:rPr>
    </w:lvl>
    <w:lvl w:ilvl="8" w:tentative="0">
      <w:start w:val="0"/>
      <w:numFmt w:val="bullet"/>
      <w:lvlText w:val="•"/>
      <w:lvlJc w:val="left"/>
      <w:pPr>
        <w:ind w:left="8772" w:hanging="202"/>
      </w:pPr>
      <w:rPr>
        <w:rFonts w:hint="default"/>
        <w:lang w:val="zh-CN" w:eastAsia="zh-CN" w:bidi="zh-CN"/>
      </w:rPr>
    </w:lvl>
  </w:abstractNum>
  <w:abstractNum w:abstractNumId="131">
    <w:nsid w:val="68B298F7"/>
    <w:multiLevelType w:val="multilevel"/>
    <w:tmpl w:val="68B298F7"/>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32">
    <w:nsid w:val="6D423078"/>
    <w:multiLevelType w:val="multilevel"/>
    <w:tmpl w:val="6D423078"/>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33">
    <w:nsid w:val="700FDCEF"/>
    <w:multiLevelType w:val="multilevel"/>
    <w:tmpl w:val="700FDCEF"/>
    <w:lvl w:ilvl="0" w:tentative="0">
      <w:start w:val="1"/>
      <w:numFmt w:val="decimal"/>
      <w:lvlText w:val="%1."/>
      <w:lvlJc w:val="left"/>
      <w:pPr>
        <w:ind w:left="723"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726" w:hanging="202"/>
      </w:pPr>
      <w:rPr>
        <w:rFonts w:hint="default"/>
        <w:lang w:val="zh-CN" w:eastAsia="zh-CN" w:bidi="zh-CN"/>
      </w:rPr>
    </w:lvl>
    <w:lvl w:ilvl="2" w:tentative="0">
      <w:start w:val="0"/>
      <w:numFmt w:val="bullet"/>
      <w:lvlText w:val="•"/>
      <w:lvlJc w:val="left"/>
      <w:pPr>
        <w:ind w:left="2733" w:hanging="202"/>
      </w:pPr>
      <w:rPr>
        <w:rFonts w:hint="default"/>
        <w:lang w:val="zh-CN" w:eastAsia="zh-CN" w:bidi="zh-CN"/>
      </w:rPr>
    </w:lvl>
    <w:lvl w:ilvl="3" w:tentative="0">
      <w:start w:val="0"/>
      <w:numFmt w:val="bullet"/>
      <w:lvlText w:val="•"/>
      <w:lvlJc w:val="left"/>
      <w:pPr>
        <w:ind w:left="3739" w:hanging="202"/>
      </w:pPr>
      <w:rPr>
        <w:rFonts w:hint="default"/>
        <w:lang w:val="zh-CN" w:eastAsia="zh-CN" w:bidi="zh-CN"/>
      </w:rPr>
    </w:lvl>
    <w:lvl w:ilvl="4" w:tentative="0">
      <w:start w:val="0"/>
      <w:numFmt w:val="bullet"/>
      <w:lvlText w:val="•"/>
      <w:lvlJc w:val="left"/>
      <w:pPr>
        <w:ind w:left="4746" w:hanging="202"/>
      </w:pPr>
      <w:rPr>
        <w:rFonts w:hint="default"/>
        <w:lang w:val="zh-CN" w:eastAsia="zh-CN" w:bidi="zh-CN"/>
      </w:rPr>
    </w:lvl>
    <w:lvl w:ilvl="5" w:tentative="0">
      <w:start w:val="0"/>
      <w:numFmt w:val="bullet"/>
      <w:lvlText w:val="•"/>
      <w:lvlJc w:val="left"/>
      <w:pPr>
        <w:ind w:left="5753" w:hanging="202"/>
      </w:pPr>
      <w:rPr>
        <w:rFonts w:hint="default"/>
        <w:lang w:val="zh-CN" w:eastAsia="zh-CN" w:bidi="zh-CN"/>
      </w:rPr>
    </w:lvl>
    <w:lvl w:ilvl="6" w:tentative="0">
      <w:start w:val="0"/>
      <w:numFmt w:val="bullet"/>
      <w:lvlText w:val="•"/>
      <w:lvlJc w:val="left"/>
      <w:pPr>
        <w:ind w:left="6759" w:hanging="202"/>
      </w:pPr>
      <w:rPr>
        <w:rFonts w:hint="default"/>
        <w:lang w:val="zh-CN" w:eastAsia="zh-CN" w:bidi="zh-CN"/>
      </w:rPr>
    </w:lvl>
    <w:lvl w:ilvl="7" w:tentative="0">
      <w:start w:val="0"/>
      <w:numFmt w:val="bullet"/>
      <w:lvlText w:val="•"/>
      <w:lvlJc w:val="left"/>
      <w:pPr>
        <w:ind w:left="7766" w:hanging="202"/>
      </w:pPr>
      <w:rPr>
        <w:rFonts w:hint="default"/>
        <w:lang w:val="zh-CN" w:eastAsia="zh-CN" w:bidi="zh-CN"/>
      </w:rPr>
    </w:lvl>
    <w:lvl w:ilvl="8" w:tentative="0">
      <w:start w:val="0"/>
      <w:numFmt w:val="bullet"/>
      <w:lvlText w:val="•"/>
      <w:lvlJc w:val="left"/>
      <w:pPr>
        <w:ind w:left="8772" w:hanging="202"/>
      </w:pPr>
      <w:rPr>
        <w:rFonts w:hint="default"/>
        <w:lang w:val="zh-CN" w:eastAsia="zh-CN" w:bidi="zh-CN"/>
      </w:rPr>
    </w:lvl>
  </w:abstractNum>
  <w:abstractNum w:abstractNumId="134">
    <w:nsid w:val="72183CF9"/>
    <w:multiLevelType w:val="multilevel"/>
    <w:tmpl w:val="72183CF9"/>
    <w:lvl w:ilvl="0" w:tentative="0">
      <w:start w:val="2"/>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2"/>
      <w:numFmt w:val="decimal"/>
      <w:lvlText w:val="%2."/>
      <w:lvlJc w:val="left"/>
      <w:pPr>
        <w:ind w:left="1724" w:hanging="202"/>
        <w:jc w:val="left"/>
      </w:pPr>
      <w:rPr>
        <w:rFonts w:hint="default" w:ascii="宋体" w:hAnsi="宋体" w:eastAsia="宋体" w:cs="宋体"/>
        <w:spacing w:val="1"/>
        <w:w w:val="99"/>
        <w:sz w:val="18"/>
        <w:szCs w:val="18"/>
        <w:lang w:val="zh-CN" w:eastAsia="zh-CN" w:bidi="zh-CN"/>
      </w:rPr>
    </w:lvl>
    <w:lvl w:ilvl="2" w:tentative="0">
      <w:start w:val="0"/>
      <w:numFmt w:val="bullet"/>
      <w:lvlText w:val="•"/>
      <w:lvlJc w:val="left"/>
      <w:pPr>
        <w:ind w:left="2727" w:hanging="202"/>
      </w:pPr>
      <w:rPr>
        <w:rFonts w:hint="default"/>
        <w:lang w:val="zh-CN" w:eastAsia="zh-CN" w:bidi="zh-CN"/>
      </w:rPr>
    </w:lvl>
    <w:lvl w:ilvl="3" w:tentative="0">
      <w:start w:val="0"/>
      <w:numFmt w:val="bullet"/>
      <w:lvlText w:val="•"/>
      <w:lvlJc w:val="left"/>
      <w:pPr>
        <w:ind w:left="3734" w:hanging="202"/>
      </w:pPr>
      <w:rPr>
        <w:rFonts w:hint="default"/>
        <w:lang w:val="zh-CN" w:eastAsia="zh-CN" w:bidi="zh-CN"/>
      </w:rPr>
    </w:lvl>
    <w:lvl w:ilvl="4" w:tentative="0">
      <w:start w:val="0"/>
      <w:numFmt w:val="bullet"/>
      <w:lvlText w:val="•"/>
      <w:lvlJc w:val="left"/>
      <w:pPr>
        <w:ind w:left="4742" w:hanging="202"/>
      </w:pPr>
      <w:rPr>
        <w:rFonts w:hint="default"/>
        <w:lang w:val="zh-CN" w:eastAsia="zh-CN" w:bidi="zh-CN"/>
      </w:rPr>
    </w:lvl>
    <w:lvl w:ilvl="5" w:tentative="0">
      <w:start w:val="0"/>
      <w:numFmt w:val="bullet"/>
      <w:lvlText w:val="•"/>
      <w:lvlJc w:val="left"/>
      <w:pPr>
        <w:ind w:left="5749" w:hanging="202"/>
      </w:pPr>
      <w:rPr>
        <w:rFonts w:hint="default"/>
        <w:lang w:val="zh-CN" w:eastAsia="zh-CN" w:bidi="zh-CN"/>
      </w:rPr>
    </w:lvl>
    <w:lvl w:ilvl="6" w:tentative="0">
      <w:start w:val="0"/>
      <w:numFmt w:val="bullet"/>
      <w:lvlText w:val="•"/>
      <w:lvlJc w:val="left"/>
      <w:pPr>
        <w:ind w:left="6756" w:hanging="202"/>
      </w:pPr>
      <w:rPr>
        <w:rFonts w:hint="default"/>
        <w:lang w:val="zh-CN" w:eastAsia="zh-CN" w:bidi="zh-CN"/>
      </w:rPr>
    </w:lvl>
    <w:lvl w:ilvl="7" w:tentative="0">
      <w:start w:val="0"/>
      <w:numFmt w:val="bullet"/>
      <w:lvlText w:val="•"/>
      <w:lvlJc w:val="left"/>
      <w:pPr>
        <w:ind w:left="7764" w:hanging="202"/>
      </w:pPr>
      <w:rPr>
        <w:rFonts w:hint="default"/>
        <w:lang w:val="zh-CN" w:eastAsia="zh-CN" w:bidi="zh-CN"/>
      </w:rPr>
    </w:lvl>
    <w:lvl w:ilvl="8" w:tentative="0">
      <w:start w:val="0"/>
      <w:numFmt w:val="bullet"/>
      <w:lvlText w:val="•"/>
      <w:lvlJc w:val="left"/>
      <w:pPr>
        <w:ind w:left="8771" w:hanging="202"/>
      </w:pPr>
      <w:rPr>
        <w:rFonts w:hint="default"/>
        <w:lang w:val="zh-CN" w:eastAsia="zh-CN" w:bidi="zh-CN"/>
      </w:rPr>
    </w:lvl>
  </w:abstractNum>
  <w:abstractNum w:abstractNumId="135">
    <w:nsid w:val="74C28B35"/>
    <w:multiLevelType w:val="multilevel"/>
    <w:tmpl w:val="74C28B35"/>
    <w:lvl w:ilvl="0" w:tentative="0">
      <w:start w:val="5"/>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abstractNum w:abstractNumId="136">
    <w:nsid w:val="77633216"/>
    <w:multiLevelType w:val="multilevel"/>
    <w:tmpl w:val="77633216"/>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37">
    <w:nsid w:val="77ECEA79"/>
    <w:multiLevelType w:val="multilevel"/>
    <w:tmpl w:val="77ECEA79"/>
    <w:lvl w:ilvl="0" w:tentative="0">
      <w:start w:val="1"/>
      <w:numFmt w:val="decimal"/>
      <w:lvlText w:val="（%1）"/>
      <w:lvlJc w:val="left"/>
      <w:pPr>
        <w:ind w:left="1223" w:hanging="500"/>
        <w:jc w:val="left"/>
      </w:pPr>
      <w:rPr>
        <w:rFonts w:hint="default" w:ascii="宋体" w:hAnsi="宋体" w:eastAsia="宋体" w:cs="宋体"/>
        <w:w w:val="99"/>
        <w:sz w:val="18"/>
        <w:szCs w:val="18"/>
        <w:lang w:val="zh-CN" w:eastAsia="zh-CN" w:bidi="zh-CN"/>
      </w:rPr>
    </w:lvl>
    <w:lvl w:ilvl="1" w:tentative="0">
      <w:start w:val="0"/>
      <w:numFmt w:val="bullet"/>
      <w:lvlText w:val="•"/>
      <w:lvlJc w:val="left"/>
      <w:pPr>
        <w:ind w:left="2176" w:hanging="500"/>
      </w:pPr>
      <w:rPr>
        <w:rFonts w:hint="default"/>
        <w:lang w:val="zh-CN" w:eastAsia="zh-CN" w:bidi="zh-CN"/>
      </w:rPr>
    </w:lvl>
    <w:lvl w:ilvl="2" w:tentative="0">
      <w:start w:val="0"/>
      <w:numFmt w:val="bullet"/>
      <w:lvlText w:val="•"/>
      <w:lvlJc w:val="left"/>
      <w:pPr>
        <w:ind w:left="3133" w:hanging="500"/>
      </w:pPr>
      <w:rPr>
        <w:rFonts w:hint="default"/>
        <w:lang w:val="zh-CN" w:eastAsia="zh-CN" w:bidi="zh-CN"/>
      </w:rPr>
    </w:lvl>
    <w:lvl w:ilvl="3" w:tentative="0">
      <w:start w:val="0"/>
      <w:numFmt w:val="bullet"/>
      <w:lvlText w:val="•"/>
      <w:lvlJc w:val="left"/>
      <w:pPr>
        <w:ind w:left="4089" w:hanging="500"/>
      </w:pPr>
      <w:rPr>
        <w:rFonts w:hint="default"/>
        <w:lang w:val="zh-CN" w:eastAsia="zh-CN" w:bidi="zh-CN"/>
      </w:rPr>
    </w:lvl>
    <w:lvl w:ilvl="4" w:tentative="0">
      <w:start w:val="0"/>
      <w:numFmt w:val="bullet"/>
      <w:lvlText w:val="•"/>
      <w:lvlJc w:val="left"/>
      <w:pPr>
        <w:ind w:left="5046" w:hanging="500"/>
      </w:pPr>
      <w:rPr>
        <w:rFonts w:hint="default"/>
        <w:lang w:val="zh-CN" w:eastAsia="zh-CN" w:bidi="zh-CN"/>
      </w:rPr>
    </w:lvl>
    <w:lvl w:ilvl="5" w:tentative="0">
      <w:start w:val="0"/>
      <w:numFmt w:val="bullet"/>
      <w:lvlText w:val="•"/>
      <w:lvlJc w:val="left"/>
      <w:pPr>
        <w:ind w:left="6003" w:hanging="500"/>
      </w:pPr>
      <w:rPr>
        <w:rFonts w:hint="default"/>
        <w:lang w:val="zh-CN" w:eastAsia="zh-CN" w:bidi="zh-CN"/>
      </w:rPr>
    </w:lvl>
    <w:lvl w:ilvl="6" w:tentative="0">
      <w:start w:val="0"/>
      <w:numFmt w:val="bullet"/>
      <w:lvlText w:val="•"/>
      <w:lvlJc w:val="left"/>
      <w:pPr>
        <w:ind w:left="6959" w:hanging="500"/>
      </w:pPr>
      <w:rPr>
        <w:rFonts w:hint="default"/>
        <w:lang w:val="zh-CN" w:eastAsia="zh-CN" w:bidi="zh-CN"/>
      </w:rPr>
    </w:lvl>
    <w:lvl w:ilvl="7" w:tentative="0">
      <w:start w:val="0"/>
      <w:numFmt w:val="bullet"/>
      <w:lvlText w:val="•"/>
      <w:lvlJc w:val="left"/>
      <w:pPr>
        <w:ind w:left="7916" w:hanging="500"/>
      </w:pPr>
      <w:rPr>
        <w:rFonts w:hint="default"/>
        <w:lang w:val="zh-CN" w:eastAsia="zh-CN" w:bidi="zh-CN"/>
      </w:rPr>
    </w:lvl>
    <w:lvl w:ilvl="8" w:tentative="0">
      <w:start w:val="0"/>
      <w:numFmt w:val="bullet"/>
      <w:lvlText w:val="•"/>
      <w:lvlJc w:val="left"/>
      <w:pPr>
        <w:ind w:left="8872" w:hanging="500"/>
      </w:pPr>
      <w:rPr>
        <w:rFonts w:hint="default"/>
        <w:lang w:val="zh-CN" w:eastAsia="zh-CN" w:bidi="zh-CN"/>
      </w:rPr>
    </w:lvl>
  </w:abstractNum>
  <w:abstractNum w:abstractNumId="138">
    <w:nsid w:val="79AA4FA4"/>
    <w:multiLevelType w:val="multilevel"/>
    <w:tmpl w:val="79AA4FA4"/>
    <w:lvl w:ilvl="0" w:tentative="0">
      <w:start w:val="1"/>
      <w:numFmt w:val="decimal"/>
      <w:lvlText w:val="（%1）"/>
      <w:lvlJc w:val="left"/>
      <w:pPr>
        <w:ind w:left="1224" w:hanging="502"/>
        <w:jc w:val="left"/>
      </w:pPr>
      <w:rPr>
        <w:rFonts w:hint="default" w:ascii="宋体" w:hAnsi="宋体" w:eastAsia="宋体" w:cs="宋体"/>
        <w:b/>
        <w:bCs/>
        <w:w w:val="98"/>
        <w:sz w:val="18"/>
        <w:szCs w:val="18"/>
        <w:lang w:val="zh-CN" w:eastAsia="zh-CN" w:bidi="zh-CN"/>
      </w:rPr>
    </w:lvl>
    <w:lvl w:ilvl="1" w:tentative="0">
      <w:start w:val="0"/>
      <w:numFmt w:val="bullet"/>
      <w:lvlText w:val="•"/>
      <w:lvlJc w:val="left"/>
      <w:pPr>
        <w:ind w:left="2176" w:hanging="502"/>
      </w:pPr>
      <w:rPr>
        <w:rFonts w:hint="default"/>
        <w:lang w:val="zh-CN" w:eastAsia="zh-CN" w:bidi="zh-CN"/>
      </w:rPr>
    </w:lvl>
    <w:lvl w:ilvl="2" w:tentative="0">
      <w:start w:val="0"/>
      <w:numFmt w:val="bullet"/>
      <w:lvlText w:val="•"/>
      <w:lvlJc w:val="left"/>
      <w:pPr>
        <w:ind w:left="3133" w:hanging="502"/>
      </w:pPr>
      <w:rPr>
        <w:rFonts w:hint="default"/>
        <w:lang w:val="zh-CN" w:eastAsia="zh-CN" w:bidi="zh-CN"/>
      </w:rPr>
    </w:lvl>
    <w:lvl w:ilvl="3" w:tentative="0">
      <w:start w:val="0"/>
      <w:numFmt w:val="bullet"/>
      <w:lvlText w:val="•"/>
      <w:lvlJc w:val="left"/>
      <w:pPr>
        <w:ind w:left="4089" w:hanging="502"/>
      </w:pPr>
      <w:rPr>
        <w:rFonts w:hint="default"/>
        <w:lang w:val="zh-CN" w:eastAsia="zh-CN" w:bidi="zh-CN"/>
      </w:rPr>
    </w:lvl>
    <w:lvl w:ilvl="4" w:tentative="0">
      <w:start w:val="0"/>
      <w:numFmt w:val="bullet"/>
      <w:lvlText w:val="•"/>
      <w:lvlJc w:val="left"/>
      <w:pPr>
        <w:ind w:left="5046" w:hanging="502"/>
      </w:pPr>
      <w:rPr>
        <w:rFonts w:hint="default"/>
        <w:lang w:val="zh-CN" w:eastAsia="zh-CN" w:bidi="zh-CN"/>
      </w:rPr>
    </w:lvl>
    <w:lvl w:ilvl="5" w:tentative="0">
      <w:start w:val="0"/>
      <w:numFmt w:val="bullet"/>
      <w:lvlText w:val="•"/>
      <w:lvlJc w:val="left"/>
      <w:pPr>
        <w:ind w:left="6003" w:hanging="502"/>
      </w:pPr>
      <w:rPr>
        <w:rFonts w:hint="default"/>
        <w:lang w:val="zh-CN" w:eastAsia="zh-CN" w:bidi="zh-CN"/>
      </w:rPr>
    </w:lvl>
    <w:lvl w:ilvl="6" w:tentative="0">
      <w:start w:val="0"/>
      <w:numFmt w:val="bullet"/>
      <w:lvlText w:val="•"/>
      <w:lvlJc w:val="left"/>
      <w:pPr>
        <w:ind w:left="6959" w:hanging="502"/>
      </w:pPr>
      <w:rPr>
        <w:rFonts w:hint="default"/>
        <w:lang w:val="zh-CN" w:eastAsia="zh-CN" w:bidi="zh-CN"/>
      </w:rPr>
    </w:lvl>
    <w:lvl w:ilvl="7" w:tentative="0">
      <w:start w:val="0"/>
      <w:numFmt w:val="bullet"/>
      <w:lvlText w:val="•"/>
      <w:lvlJc w:val="left"/>
      <w:pPr>
        <w:ind w:left="7916" w:hanging="502"/>
      </w:pPr>
      <w:rPr>
        <w:rFonts w:hint="default"/>
        <w:lang w:val="zh-CN" w:eastAsia="zh-CN" w:bidi="zh-CN"/>
      </w:rPr>
    </w:lvl>
    <w:lvl w:ilvl="8" w:tentative="0">
      <w:start w:val="0"/>
      <w:numFmt w:val="bullet"/>
      <w:lvlText w:val="•"/>
      <w:lvlJc w:val="left"/>
      <w:pPr>
        <w:ind w:left="8872" w:hanging="502"/>
      </w:pPr>
      <w:rPr>
        <w:rFonts w:hint="default"/>
        <w:lang w:val="zh-CN" w:eastAsia="zh-CN" w:bidi="zh-CN"/>
      </w:rPr>
    </w:lvl>
  </w:abstractNum>
  <w:abstractNum w:abstractNumId="139">
    <w:nsid w:val="7C246926"/>
    <w:multiLevelType w:val="multilevel"/>
    <w:tmpl w:val="7C246926"/>
    <w:lvl w:ilvl="0" w:tentative="0">
      <w:start w:val="1"/>
      <w:numFmt w:val="decimal"/>
      <w:lvlText w:val="%1."/>
      <w:lvlJc w:val="left"/>
      <w:pPr>
        <w:ind w:left="322"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366" w:hanging="202"/>
      </w:pPr>
      <w:rPr>
        <w:rFonts w:hint="default"/>
        <w:lang w:val="zh-CN" w:eastAsia="zh-CN" w:bidi="zh-CN"/>
      </w:rPr>
    </w:lvl>
    <w:lvl w:ilvl="2" w:tentative="0">
      <w:start w:val="0"/>
      <w:numFmt w:val="bullet"/>
      <w:lvlText w:val="•"/>
      <w:lvlJc w:val="left"/>
      <w:pPr>
        <w:ind w:left="2413" w:hanging="202"/>
      </w:pPr>
      <w:rPr>
        <w:rFonts w:hint="default"/>
        <w:lang w:val="zh-CN" w:eastAsia="zh-CN" w:bidi="zh-CN"/>
      </w:rPr>
    </w:lvl>
    <w:lvl w:ilvl="3" w:tentative="0">
      <w:start w:val="0"/>
      <w:numFmt w:val="bullet"/>
      <w:lvlText w:val="•"/>
      <w:lvlJc w:val="left"/>
      <w:pPr>
        <w:ind w:left="3459" w:hanging="202"/>
      </w:pPr>
      <w:rPr>
        <w:rFonts w:hint="default"/>
        <w:lang w:val="zh-CN" w:eastAsia="zh-CN" w:bidi="zh-CN"/>
      </w:rPr>
    </w:lvl>
    <w:lvl w:ilvl="4" w:tentative="0">
      <w:start w:val="0"/>
      <w:numFmt w:val="bullet"/>
      <w:lvlText w:val="•"/>
      <w:lvlJc w:val="left"/>
      <w:pPr>
        <w:ind w:left="4506" w:hanging="202"/>
      </w:pPr>
      <w:rPr>
        <w:rFonts w:hint="default"/>
        <w:lang w:val="zh-CN" w:eastAsia="zh-CN" w:bidi="zh-CN"/>
      </w:rPr>
    </w:lvl>
    <w:lvl w:ilvl="5" w:tentative="0">
      <w:start w:val="0"/>
      <w:numFmt w:val="bullet"/>
      <w:lvlText w:val="•"/>
      <w:lvlJc w:val="left"/>
      <w:pPr>
        <w:ind w:left="5553" w:hanging="202"/>
      </w:pPr>
      <w:rPr>
        <w:rFonts w:hint="default"/>
        <w:lang w:val="zh-CN" w:eastAsia="zh-CN" w:bidi="zh-CN"/>
      </w:rPr>
    </w:lvl>
    <w:lvl w:ilvl="6" w:tentative="0">
      <w:start w:val="0"/>
      <w:numFmt w:val="bullet"/>
      <w:lvlText w:val="•"/>
      <w:lvlJc w:val="left"/>
      <w:pPr>
        <w:ind w:left="6599" w:hanging="202"/>
      </w:pPr>
      <w:rPr>
        <w:rFonts w:hint="default"/>
        <w:lang w:val="zh-CN" w:eastAsia="zh-CN" w:bidi="zh-CN"/>
      </w:rPr>
    </w:lvl>
    <w:lvl w:ilvl="7" w:tentative="0">
      <w:start w:val="0"/>
      <w:numFmt w:val="bullet"/>
      <w:lvlText w:val="•"/>
      <w:lvlJc w:val="left"/>
      <w:pPr>
        <w:ind w:left="7646" w:hanging="202"/>
      </w:pPr>
      <w:rPr>
        <w:rFonts w:hint="default"/>
        <w:lang w:val="zh-CN" w:eastAsia="zh-CN" w:bidi="zh-CN"/>
      </w:rPr>
    </w:lvl>
    <w:lvl w:ilvl="8" w:tentative="0">
      <w:start w:val="0"/>
      <w:numFmt w:val="bullet"/>
      <w:lvlText w:val="•"/>
      <w:lvlJc w:val="left"/>
      <w:pPr>
        <w:ind w:left="8692" w:hanging="202"/>
      </w:pPr>
      <w:rPr>
        <w:rFonts w:hint="default"/>
        <w:lang w:val="zh-CN" w:eastAsia="zh-CN" w:bidi="zh-CN"/>
      </w:rPr>
    </w:lvl>
  </w:abstractNum>
  <w:abstractNum w:abstractNumId="140">
    <w:nsid w:val="7DEC2089"/>
    <w:multiLevelType w:val="multilevel"/>
    <w:tmpl w:val="7DEC2089"/>
    <w:lvl w:ilvl="0" w:tentative="0">
      <w:start w:val="1"/>
      <w:numFmt w:val="decimal"/>
      <w:lvlText w:val="%1."/>
      <w:lvlJc w:val="left"/>
      <w:pPr>
        <w:ind w:left="924" w:hanging="202"/>
        <w:jc w:val="left"/>
      </w:pPr>
      <w:rPr>
        <w:rFonts w:hint="default" w:ascii="宋体" w:hAnsi="宋体" w:eastAsia="宋体" w:cs="宋体"/>
        <w:b/>
        <w:bCs/>
        <w:spacing w:val="1"/>
        <w:w w:val="98"/>
        <w:sz w:val="18"/>
        <w:szCs w:val="18"/>
        <w:lang w:val="zh-CN" w:eastAsia="zh-CN" w:bidi="zh-CN"/>
      </w:rPr>
    </w:lvl>
    <w:lvl w:ilvl="1" w:tentative="0">
      <w:start w:val="0"/>
      <w:numFmt w:val="bullet"/>
      <w:lvlText w:val="•"/>
      <w:lvlJc w:val="left"/>
      <w:pPr>
        <w:ind w:left="1906" w:hanging="202"/>
      </w:pPr>
      <w:rPr>
        <w:rFonts w:hint="default"/>
        <w:lang w:val="zh-CN" w:eastAsia="zh-CN" w:bidi="zh-CN"/>
      </w:rPr>
    </w:lvl>
    <w:lvl w:ilvl="2" w:tentative="0">
      <w:start w:val="0"/>
      <w:numFmt w:val="bullet"/>
      <w:lvlText w:val="•"/>
      <w:lvlJc w:val="left"/>
      <w:pPr>
        <w:ind w:left="2893" w:hanging="202"/>
      </w:pPr>
      <w:rPr>
        <w:rFonts w:hint="default"/>
        <w:lang w:val="zh-CN" w:eastAsia="zh-CN" w:bidi="zh-CN"/>
      </w:rPr>
    </w:lvl>
    <w:lvl w:ilvl="3" w:tentative="0">
      <w:start w:val="0"/>
      <w:numFmt w:val="bullet"/>
      <w:lvlText w:val="•"/>
      <w:lvlJc w:val="left"/>
      <w:pPr>
        <w:ind w:left="3879" w:hanging="202"/>
      </w:pPr>
      <w:rPr>
        <w:rFonts w:hint="default"/>
        <w:lang w:val="zh-CN" w:eastAsia="zh-CN" w:bidi="zh-CN"/>
      </w:rPr>
    </w:lvl>
    <w:lvl w:ilvl="4" w:tentative="0">
      <w:start w:val="0"/>
      <w:numFmt w:val="bullet"/>
      <w:lvlText w:val="•"/>
      <w:lvlJc w:val="left"/>
      <w:pPr>
        <w:ind w:left="4866" w:hanging="202"/>
      </w:pPr>
      <w:rPr>
        <w:rFonts w:hint="default"/>
        <w:lang w:val="zh-CN" w:eastAsia="zh-CN" w:bidi="zh-CN"/>
      </w:rPr>
    </w:lvl>
    <w:lvl w:ilvl="5" w:tentative="0">
      <w:start w:val="0"/>
      <w:numFmt w:val="bullet"/>
      <w:lvlText w:val="•"/>
      <w:lvlJc w:val="left"/>
      <w:pPr>
        <w:ind w:left="5853" w:hanging="202"/>
      </w:pPr>
      <w:rPr>
        <w:rFonts w:hint="default"/>
        <w:lang w:val="zh-CN" w:eastAsia="zh-CN" w:bidi="zh-CN"/>
      </w:rPr>
    </w:lvl>
    <w:lvl w:ilvl="6" w:tentative="0">
      <w:start w:val="0"/>
      <w:numFmt w:val="bullet"/>
      <w:lvlText w:val="•"/>
      <w:lvlJc w:val="left"/>
      <w:pPr>
        <w:ind w:left="6839" w:hanging="202"/>
      </w:pPr>
      <w:rPr>
        <w:rFonts w:hint="default"/>
        <w:lang w:val="zh-CN" w:eastAsia="zh-CN" w:bidi="zh-CN"/>
      </w:rPr>
    </w:lvl>
    <w:lvl w:ilvl="7" w:tentative="0">
      <w:start w:val="0"/>
      <w:numFmt w:val="bullet"/>
      <w:lvlText w:val="•"/>
      <w:lvlJc w:val="left"/>
      <w:pPr>
        <w:ind w:left="7826" w:hanging="202"/>
      </w:pPr>
      <w:rPr>
        <w:rFonts w:hint="default"/>
        <w:lang w:val="zh-CN" w:eastAsia="zh-CN" w:bidi="zh-CN"/>
      </w:rPr>
    </w:lvl>
    <w:lvl w:ilvl="8" w:tentative="0">
      <w:start w:val="0"/>
      <w:numFmt w:val="bullet"/>
      <w:lvlText w:val="•"/>
      <w:lvlJc w:val="left"/>
      <w:pPr>
        <w:ind w:left="8812" w:hanging="202"/>
      </w:pPr>
      <w:rPr>
        <w:rFonts w:hint="default"/>
        <w:lang w:val="zh-CN" w:eastAsia="zh-CN" w:bidi="zh-CN"/>
      </w:rPr>
    </w:lvl>
  </w:abstractNum>
  <w:num w:numId="1">
    <w:abstractNumId w:val="66"/>
  </w:num>
  <w:num w:numId="2">
    <w:abstractNumId w:val="44"/>
  </w:num>
  <w:num w:numId="3">
    <w:abstractNumId w:val="121"/>
  </w:num>
  <w:num w:numId="4">
    <w:abstractNumId w:val="37"/>
  </w:num>
  <w:num w:numId="5">
    <w:abstractNumId w:val="29"/>
  </w:num>
  <w:num w:numId="6">
    <w:abstractNumId w:val="71"/>
  </w:num>
  <w:num w:numId="7">
    <w:abstractNumId w:val="94"/>
  </w:num>
  <w:num w:numId="8">
    <w:abstractNumId w:val="134"/>
  </w:num>
  <w:num w:numId="9">
    <w:abstractNumId w:val="68"/>
  </w:num>
  <w:num w:numId="10">
    <w:abstractNumId w:val="9"/>
  </w:num>
  <w:num w:numId="11">
    <w:abstractNumId w:val="95"/>
  </w:num>
  <w:num w:numId="12">
    <w:abstractNumId w:val="123"/>
  </w:num>
  <w:num w:numId="13">
    <w:abstractNumId w:val="41"/>
  </w:num>
  <w:num w:numId="14">
    <w:abstractNumId w:val="114"/>
  </w:num>
  <w:num w:numId="15">
    <w:abstractNumId w:val="61"/>
  </w:num>
  <w:num w:numId="16">
    <w:abstractNumId w:val="92"/>
  </w:num>
  <w:num w:numId="17">
    <w:abstractNumId w:val="49"/>
  </w:num>
  <w:num w:numId="18">
    <w:abstractNumId w:val="47"/>
  </w:num>
  <w:num w:numId="19">
    <w:abstractNumId w:val="16"/>
  </w:num>
  <w:num w:numId="20">
    <w:abstractNumId w:val="111"/>
  </w:num>
  <w:num w:numId="21">
    <w:abstractNumId w:val="127"/>
  </w:num>
  <w:num w:numId="22">
    <w:abstractNumId w:val="76"/>
  </w:num>
  <w:num w:numId="23">
    <w:abstractNumId w:val="109"/>
  </w:num>
  <w:num w:numId="24">
    <w:abstractNumId w:val="26"/>
  </w:num>
  <w:num w:numId="25">
    <w:abstractNumId w:val="139"/>
  </w:num>
  <w:num w:numId="26">
    <w:abstractNumId w:val="137"/>
  </w:num>
  <w:num w:numId="27">
    <w:abstractNumId w:val="36"/>
  </w:num>
  <w:num w:numId="28">
    <w:abstractNumId w:val="129"/>
  </w:num>
  <w:num w:numId="29">
    <w:abstractNumId w:val="10"/>
  </w:num>
  <w:num w:numId="30">
    <w:abstractNumId w:val="103"/>
  </w:num>
  <w:num w:numId="31">
    <w:abstractNumId w:val="4"/>
  </w:num>
  <w:num w:numId="32">
    <w:abstractNumId w:val="120"/>
  </w:num>
  <w:num w:numId="33">
    <w:abstractNumId w:val="140"/>
  </w:num>
  <w:num w:numId="34">
    <w:abstractNumId w:val="1"/>
  </w:num>
  <w:num w:numId="35">
    <w:abstractNumId w:val="91"/>
  </w:num>
  <w:num w:numId="36">
    <w:abstractNumId w:val="116"/>
  </w:num>
  <w:num w:numId="37">
    <w:abstractNumId w:val="64"/>
  </w:num>
  <w:num w:numId="38">
    <w:abstractNumId w:val="51"/>
  </w:num>
  <w:num w:numId="39">
    <w:abstractNumId w:val="99"/>
  </w:num>
  <w:num w:numId="40">
    <w:abstractNumId w:val="138"/>
  </w:num>
  <w:num w:numId="41">
    <w:abstractNumId w:val="32"/>
  </w:num>
  <w:num w:numId="42">
    <w:abstractNumId w:val="7"/>
  </w:num>
  <w:num w:numId="43">
    <w:abstractNumId w:val="31"/>
  </w:num>
  <w:num w:numId="44">
    <w:abstractNumId w:val="124"/>
  </w:num>
  <w:num w:numId="45">
    <w:abstractNumId w:val="3"/>
  </w:num>
  <w:num w:numId="46">
    <w:abstractNumId w:val="83"/>
  </w:num>
  <w:num w:numId="47">
    <w:abstractNumId w:val="6"/>
  </w:num>
  <w:num w:numId="48">
    <w:abstractNumId w:val="126"/>
  </w:num>
  <w:num w:numId="49">
    <w:abstractNumId w:val="135"/>
  </w:num>
  <w:num w:numId="50">
    <w:abstractNumId w:val="112"/>
  </w:num>
  <w:num w:numId="51">
    <w:abstractNumId w:val="100"/>
  </w:num>
  <w:num w:numId="52">
    <w:abstractNumId w:val="130"/>
  </w:num>
  <w:num w:numId="53">
    <w:abstractNumId w:val="72"/>
  </w:num>
  <w:num w:numId="54">
    <w:abstractNumId w:val="74"/>
  </w:num>
  <w:num w:numId="55">
    <w:abstractNumId w:val="46"/>
  </w:num>
  <w:num w:numId="56">
    <w:abstractNumId w:val="101"/>
  </w:num>
  <w:num w:numId="57">
    <w:abstractNumId w:val="86"/>
  </w:num>
  <w:num w:numId="58">
    <w:abstractNumId w:val="57"/>
  </w:num>
  <w:num w:numId="59">
    <w:abstractNumId w:val="90"/>
  </w:num>
  <w:num w:numId="60">
    <w:abstractNumId w:val="28"/>
  </w:num>
  <w:num w:numId="61">
    <w:abstractNumId w:val="107"/>
  </w:num>
  <w:num w:numId="62">
    <w:abstractNumId w:val="77"/>
  </w:num>
  <w:num w:numId="63">
    <w:abstractNumId w:val="102"/>
  </w:num>
  <w:num w:numId="64">
    <w:abstractNumId w:val="69"/>
  </w:num>
  <w:num w:numId="65">
    <w:abstractNumId w:val="39"/>
  </w:num>
  <w:num w:numId="66">
    <w:abstractNumId w:val="80"/>
  </w:num>
  <w:num w:numId="67">
    <w:abstractNumId w:val="27"/>
  </w:num>
  <w:num w:numId="68">
    <w:abstractNumId w:val="105"/>
  </w:num>
  <w:num w:numId="69">
    <w:abstractNumId w:val="22"/>
  </w:num>
  <w:num w:numId="70">
    <w:abstractNumId w:val="63"/>
  </w:num>
  <w:num w:numId="71">
    <w:abstractNumId w:val="98"/>
  </w:num>
  <w:num w:numId="72">
    <w:abstractNumId w:val="65"/>
  </w:num>
  <w:num w:numId="73">
    <w:abstractNumId w:val="82"/>
  </w:num>
  <w:num w:numId="74">
    <w:abstractNumId w:val="133"/>
  </w:num>
  <w:num w:numId="75">
    <w:abstractNumId w:val="53"/>
  </w:num>
  <w:num w:numId="76">
    <w:abstractNumId w:val="40"/>
  </w:num>
  <w:num w:numId="77">
    <w:abstractNumId w:val="21"/>
  </w:num>
  <w:num w:numId="78">
    <w:abstractNumId w:val="136"/>
  </w:num>
  <w:num w:numId="79">
    <w:abstractNumId w:val="48"/>
  </w:num>
  <w:num w:numId="80">
    <w:abstractNumId w:val="30"/>
  </w:num>
  <w:num w:numId="81">
    <w:abstractNumId w:val="97"/>
  </w:num>
  <w:num w:numId="82">
    <w:abstractNumId w:val="55"/>
  </w:num>
  <w:num w:numId="83">
    <w:abstractNumId w:val="13"/>
  </w:num>
  <w:num w:numId="84">
    <w:abstractNumId w:val="122"/>
  </w:num>
  <w:num w:numId="85">
    <w:abstractNumId w:val="34"/>
  </w:num>
  <w:num w:numId="86">
    <w:abstractNumId w:val="25"/>
  </w:num>
  <w:num w:numId="87">
    <w:abstractNumId w:val="11"/>
  </w:num>
  <w:num w:numId="88">
    <w:abstractNumId w:val="17"/>
  </w:num>
  <w:num w:numId="89">
    <w:abstractNumId w:val="24"/>
  </w:num>
  <w:num w:numId="90">
    <w:abstractNumId w:val="8"/>
  </w:num>
  <w:num w:numId="91">
    <w:abstractNumId w:val="85"/>
  </w:num>
  <w:num w:numId="92">
    <w:abstractNumId w:val="35"/>
  </w:num>
  <w:num w:numId="93">
    <w:abstractNumId w:val="81"/>
  </w:num>
  <w:num w:numId="94">
    <w:abstractNumId w:val="45"/>
  </w:num>
  <w:num w:numId="95">
    <w:abstractNumId w:val="131"/>
  </w:num>
  <w:num w:numId="96">
    <w:abstractNumId w:val="0"/>
  </w:num>
  <w:num w:numId="97">
    <w:abstractNumId w:val="33"/>
  </w:num>
  <w:num w:numId="98">
    <w:abstractNumId w:val="62"/>
  </w:num>
  <w:num w:numId="99">
    <w:abstractNumId w:val="113"/>
  </w:num>
  <w:num w:numId="100">
    <w:abstractNumId w:val="78"/>
  </w:num>
  <w:num w:numId="101">
    <w:abstractNumId w:val="14"/>
  </w:num>
  <w:num w:numId="102">
    <w:abstractNumId w:val="50"/>
  </w:num>
  <w:num w:numId="103">
    <w:abstractNumId w:val="84"/>
  </w:num>
  <w:num w:numId="104">
    <w:abstractNumId w:val="110"/>
  </w:num>
  <w:num w:numId="105">
    <w:abstractNumId w:val="23"/>
  </w:num>
  <w:num w:numId="106">
    <w:abstractNumId w:val="128"/>
  </w:num>
  <w:num w:numId="107">
    <w:abstractNumId w:val="2"/>
  </w:num>
  <w:num w:numId="108">
    <w:abstractNumId w:val="5"/>
  </w:num>
  <w:num w:numId="109">
    <w:abstractNumId w:val="67"/>
  </w:num>
  <w:num w:numId="110">
    <w:abstractNumId w:val="20"/>
  </w:num>
  <w:num w:numId="111">
    <w:abstractNumId w:val="38"/>
  </w:num>
  <w:num w:numId="112">
    <w:abstractNumId w:val="42"/>
  </w:num>
  <w:num w:numId="113">
    <w:abstractNumId w:val="60"/>
  </w:num>
  <w:num w:numId="114">
    <w:abstractNumId w:val="125"/>
  </w:num>
  <w:num w:numId="115">
    <w:abstractNumId w:val="59"/>
  </w:num>
  <w:num w:numId="116">
    <w:abstractNumId w:val="119"/>
  </w:num>
  <w:num w:numId="117">
    <w:abstractNumId w:val="88"/>
  </w:num>
  <w:num w:numId="118">
    <w:abstractNumId w:val="12"/>
  </w:num>
  <w:num w:numId="119">
    <w:abstractNumId w:val="70"/>
  </w:num>
  <w:num w:numId="120">
    <w:abstractNumId w:val="19"/>
  </w:num>
  <w:num w:numId="121">
    <w:abstractNumId w:val="96"/>
  </w:num>
  <w:num w:numId="122">
    <w:abstractNumId w:val="118"/>
  </w:num>
  <w:num w:numId="123">
    <w:abstractNumId w:val="43"/>
  </w:num>
  <w:num w:numId="124">
    <w:abstractNumId w:val="15"/>
  </w:num>
  <w:num w:numId="125">
    <w:abstractNumId w:val="93"/>
  </w:num>
  <w:num w:numId="126">
    <w:abstractNumId w:val="108"/>
  </w:num>
  <w:num w:numId="127">
    <w:abstractNumId w:val="79"/>
  </w:num>
  <w:num w:numId="128">
    <w:abstractNumId w:val="115"/>
  </w:num>
  <w:num w:numId="129">
    <w:abstractNumId w:val="117"/>
  </w:num>
  <w:num w:numId="130">
    <w:abstractNumId w:val="89"/>
  </w:num>
  <w:num w:numId="131">
    <w:abstractNumId w:val="54"/>
  </w:num>
  <w:num w:numId="132">
    <w:abstractNumId w:val="18"/>
  </w:num>
  <w:num w:numId="133">
    <w:abstractNumId w:val="104"/>
  </w:num>
  <w:num w:numId="134">
    <w:abstractNumId w:val="106"/>
  </w:num>
  <w:num w:numId="135">
    <w:abstractNumId w:val="75"/>
  </w:num>
  <w:num w:numId="136">
    <w:abstractNumId w:val="132"/>
  </w:num>
  <w:num w:numId="137">
    <w:abstractNumId w:val="52"/>
  </w:num>
  <w:num w:numId="138">
    <w:abstractNumId w:val="87"/>
  </w:num>
  <w:num w:numId="139">
    <w:abstractNumId w:val="73"/>
  </w:num>
  <w:num w:numId="140">
    <w:abstractNumId w:val="56"/>
  </w:num>
  <w:num w:numId="14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3AC4659"/>
    <w:rsid w:val="78B8148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117"/>
      <w:ind w:right="397"/>
      <w:jc w:val="center"/>
      <w:outlineLvl w:val="1"/>
    </w:pPr>
    <w:rPr>
      <w:rFonts w:ascii="微软雅黑" w:hAnsi="微软雅黑" w:eastAsia="微软雅黑" w:cs="微软雅黑"/>
      <w:b/>
      <w:bCs/>
      <w:sz w:val="28"/>
      <w:szCs w:val="28"/>
      <w:lang w:val="zh-CN" w:eastAsia="zh-CN" w:bidi="zh-CN"/>
    </w:rPr>
  </w:style>
  <w:style w:type="paragraph" w:styleId="3">
    <w:name w:val="heading 2"/>
    <w:basedOn w:val="1"/>
    <w:next w:val="1"/>
    <w:qFormat/>
    <w:uiPriority w:val="1"/>
    <w:pPr>
      <w:ind w:left="742"/>
      <w:outlineLvl w:val="2"/>
    </w:pPr>
    <w:rPr>
      <w:rFonts w:ascii="宋体" w:hAnsi="宋体" w:eastAsia="宋体" w:cs="宋体"/>
      <w:b/>
      <w:bCs/>
      <w:sz w:val="21"/>
      <w:szCs w:val="21"/>
      <w:lang w:val="zh-CN" w:eastAsia="zh-CN" w:bidi="zh-CN"/>
    </w:rPr>
  </w:style>
  <w:style w:type="paragraph" w:styleId="4">
    <w:name w:val="heading 3"/>
    <w:basedOn w:val="1"/>
    <w:next w:val="1"/>
    <w:qFormat/>
    <w:uiPriority w:val="1"/>
    <w:pPr>
      <w:spacing w:before="24"/>
      <w:ind w:left="849" w:hanging="528"/>
      <w:outlineLvl w:val="3"/>
    </w:pPr>
    <w:rPr>
      <w:rFonts w:ascii="宋体" w:hAnsi="宋体" w:eastAsia="宋体" w:cs="宋体"/>
      <w:sz w:val="21"/>
      <w:szCs w:val="21"/>
      <w:lang w:val="zh-CN" w:eastAsia="zh-CN" w:bidi="zh-CN"/>
    </w:rPr>
  </w:style>
  <w:style w:type="paragraph" w:styleId="5">
    <w:name w:val="heading 4"/>
    <w:basedOn w:val="1"/>
    <w:next w:val="1"/>
    <w:qFormat/>
    <w:uiPriority w:val="1"/>
    <w:pPr>
      <w:spacing w:before="70"/>
      <w:ind w:left="723"/>
      <w:outlineLvl w:val="4"/>
    </w:pPr>
    <w:rPr>
      <w:rFonts w:ascii="宋体" w:hAnsi="宋体" w:eastAsia="宋体" w:cs="宋体"/>
      <w:b/>
      <w:bCs/>
      <w:sz w:val="20"/>
      <w:szCs w:val="20"/>
      <w:lang w:val="zh-CN" w:eastAsia="zh-CN" w:bidi="zh-CN"/>
    </w:rPr>
  </w:style>
  <w:style w:type="character" w:default="1" w:styleId="11">
    <w:name w:val="Default Paragraph Font"/>
    <w:semiHidden/>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70"/>
      <w:ind w:left="723"/>
    </w:pPr>
    <w:rPr>
      <w:rFonts w:ascii="宋体" w:hAnsi="宋体" w:eastAsia="宋体" w:cs="宋体"/>
      <w:sz w:val="20"/>
      <w:szCs w:val="20"/>
      <w:lang w:val="zh-CN" w:eastAsia="zh-CN" w:bidi="zh-CN"/>
    </w:rPr>
  </w:style>
  <w:style w:type="paragraph" w:styleId="7">
    <w:name w:val="footer"/>
    <w:basedOn w:val="1"/>
    <w:qFormat/>
    <w:uiPriority w:val="0"/>
    <w:pPr>
      <w:tabs>
        <w:tab w:val="center" w:pos="4153"/>
        <w:tab w:val="right" w:pos="8306"/>
      </w:tabs>
      <w:snapToGrid w:val="0"/>
      <w:jc w:val="left"/>
    </w:pPr>
    <w:rPr>
      <w:sz w:val="18"/>
    </w:rPr>
  </w:style>
  <w:style w:type="paragraph" w:styleId="8">
    <w:name w:val="toc 1"/>
    <w:basedOn w:val="1"/>
    <w:next w:val="1"/>
    <w:qFormat/>
    <w:uiPriority w:val="1"/>
    <w:pPr>
      <w:spacing w:before="55"/>
      <w:ind w:left="104"/>
    </w:pPr>
    <w:rPr>
      <w:rFonts w:ascii="宋体" w:hAnsi="宋体" w:eastAsia="宋体" w:cs="宋体"/>
      <w:b/>
      <w:bCs/>
      <w:sz w:val="20"/>
      <w:szCs w:val="20"/>
      <w:lang w:val="zh-CN" w:eastAsia="zh-CN" w:bidi="zh-CN"/>
    </w:rPr>
  </w:style>
  <w:style w:type="paragraph" w:styleId="9">
    <w:name w:val="toc 2"/>
    <w:basedOn w:val="1"/>
    <w:next w:val="1"/>
    <w:qFormat/>
    <w:uiPriority w:val="1"/>
    <w:pPr>
      <w:spacing w:before="56"/>
      <w:ind w:left="524"/>
    </w:pPr>
    <w:rPr>
      <w:rFonts w:ascii="宋体" w:hAnsi="宋体" w:eastAsia="宋体" w:cs="宋体"/>
      <w:sz w:val="20"/>
      <w:szCs w:val="20"/>
      <w:lang w:val="zh-CN" w:eastAsia="zh-CN" w:bidi="zh-CN"/>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70"/>
      <w:ind w:left="924" w:hanging="202"/>
    </w:pPr>
    <w:rPr>
      <w:rFonts w:ascii="宋体" w:hAnsi="宋体" w:eastAsia="宋体" w:cs="宋体"/>
      <w:lang w:val="zh-CN" w:eastAsia="zh-CN" w:bidi="zh-CN"/>
    </w:rPr>
  </w:style>
  <w:style w:type="paragraph" w:customStyle="1" w:styleId="14">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3.xml"/><Relationship Id="rId59" Type="http://schemas.openxmlformats.org/officeDocument/2006/relationships/image" Target="media/image49.jpe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jpe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2020-05-13T10:39:00Z</dcterms:created>
  <dc:creator>Administrator</dc:creator>
  <cp:lastModifiedBy>秋叶amp悲凉</cp:lastModifiedBy>
  <dcterms:modified xsi:type="dcterms:W3CDTF">2020-11-09T01:16:11Z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2019-12-20T00:00:00Z</vt:filetime>
  </property>
  <property fmtid="{D5CDD505-2E9C-101B-9397-08002B2CF9AE}" pid="3" name="Creator">
    <vt:lpwstr>WPS 文字</vt:lpwstr>
  </property>
  <property fmtid="{D5CDD505-2E9C-101B-9397-08002B2CF9AE}" pid="4" name="LastSaved">
    <vt:filetime>2020-05-13T00:00:00Z</vt:filetime>
  </property>
  <property fmtid="{D5CDD505-2E9C-101B-9397-08002B2CF9AE}" pid="5" name="KSOProductBuildVer">
    <vt:lpwstr>2052-11.1.0.9999</vt:lpwstr>
  </property>
</Properties>
</file>