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Arial" w:hAnsi="Arial"/>
          <w:b/>
          <w:i w:val="0"/>
          <w:color w:val="0078D4"/>
          <w:sz w:val="18"/>
        </w:rPr>
        <w:t>EXECUTIVE DECISION BRIEF</w:t>
      </w:r>
    </w:p>
    <w:p>
      <w:pPr>
        <w:keepNext/>
        <w:spacing w:before="0" w:after="80"/>
      </w:pPr>
      <w:r>
        <w:rPr>
          <w:rFonts w:ascii="Arial" w:hAnsi="Arial"/>
          <w:b/>
          <w:i w:val="0"/>
          <w:color w:val="17365D"/>
          <w:sz w:val="48"/>
        </w:rPr>
        <w:t>Azure VM Backup Policy</w:t>
      </w:r>
    </w:p>
    <w:p>
      <w:pPr>
        <w:spacing w:before="0" w:after="240"/>
      </w:pPr>
      <w:r>
        <w:rPr>
          <w:rFonts w:ascii="Arial" w:hAnsi="Arial"/>
          <w:b w:val="0"/>
          <w:i w:val="0"/>
          <w:color w:val="5F6B7A"/>
          <w:sz w:val="25"/>
        </w:rPr>
        <w:t>Decision on migrating production VMs from Default to Enhanced policy</w:t>
      </w:r>
    </w:p>
    <w:p>
      <w:pPr>
        <w:spacing w:before="0" w:after="40"/>
      </w:pPr>
      <w:r>
        <w:rPr>
          <w:rFonts w:ascii="Arial" w:hAnsi="Arial"/>
          <w:b/>
          <w:i w:val="0"/>
          <w:color w:val="5F6B7A"/>
          <w:sz w:val="20"/>
        </w:rPr>
        <w:t xml:space="preserve">Status: </w:t>
      </w:r>
      <w:r>
        <w:rPr>
          <w:rFonts w:ascii="Arial" w:hAnsi="Arial"/>
          <w:b w:val="0"/>
          <w:i w:val="0"/>
          <w:color w:val="1F2937"/>
          <w:sz w:val="20"/>
        </w:rPr>
        <w:t>Decision required</w:t>
      </w:r>
    </w:p>
    <w:p>
      <w:pPr>
        <w:spacing w:before="0" w:after="40"/>
      </w:pPr>
      <w:r>
        <w:rPr>
          <w:rFonts w:ascii="Arial" w:hAnsi="Arial"/>
          <w:b/>
          <w:i w:val="0"/>
          <w:color w:val="5F6B7A"/>
          <w:sz w:val="20"/>
        </w:rPr>
        <w:t xml:space="preserve">Scope: </w:t>
      </w:r>
      <w:r>
        <w:rPr>
          <w:rFonts w:ascii="Arial" w:hAnsi="Arial"/>
          <w:b w:val="0"/>
          <w:i w:val="0"/>
          <w:color w:val="1F2937"/>
          <w:sz w:val="20"/>
        </w:rPr>
        <w:t>Production Azure virtual machines</w:t>
      </w:r>
    </w:p>
    <w:p>
      <w:pPr>
        <w:spacing w:before="0" w:after="40"/>
      </w:pPr>
      <w:r>
        <w:rPr>
          <w:rFonts w:ascii="Arial" w:hAnsi="Arial"/>
          <w:b/>
          <w:i w:val="0"/>
          <w:color w:val="5F6B7A"/>
          <w:sz w:val="20"/>
        </w:rPr>
        <w:t xml:space="preserve">Requirement: </w:t>
      </w:r>
      <w:r>
        <w:rPr>
          <w:rFonts w:ascii="Arial" w:hAnsi="Arial"/>
          <w:b w:val="0"/>
          <w:i w:val="0"/>
          <w:color w:val="1F2937"/>
          <w:sz w:val="20"/>
        </w:rPr>
        <w:t>17- or 30-day instant recovery snapshot retention</w:t>
      </w:r>
    </w:p>
    <w:p>
      <w:pPr>
        <w:spacing w:before="240" w:after="200" w:line="264" w:lineRule="auto"/>
        <w:ind w:left="173" w:right="115"/>
        <w:shd w:fill="EAF3FB"/>
        <w:pBdr>
          <w:left w:val="single" w:sz="18" w:space="8" w:color="0078D4"/>
        </w:pBdr>
      </w:pPr>
      <w:r>
        <w:rPr>
          <w:rFonts w:ascii="Arial" w:hAnsi="Arial"/>
          <w:b/>
          <w:i w:val="0"/>
          <w:color w:val="0078D4"/>
          <w:sz w:val="21"/>
        </w:rPr>
        <w:t xml:space="preserve">RECOMMENDATION  </w:t>
      </w:r>
      <w:r>
        <w:rPr>
          <w:rFonts w:ascii="Arial" w:hAnsi="Arial"/>
          <w:b w:val="0"/>
          <w:i w:val="0"/>
          <w:color w:val="1F2937"/>
          <w:sz w:val="21"/>
        </w:rPr>
        <w:t>Approve a controlled migration to the Enhanced Backup Policy, subject to confirmation of the long-term backup strategy, cost approval, and formal acceptance of the one-way migration and data-protection risks.</w:t>
      </w:r>
    </w:p>
    <w:p>
      <w:pPr>
        <w:pStyle w:val="Heading1"/>
        <w:keepNext/>
      </w:pPr>
      <w:r>
        <w:t>Problem Statement</w:t>
      </w:r>
    </w:p>
    <w:p>
      <w:pPr>
        <w:spacing w:before="0" w:after="120" w:line="264" w:lineRule="auto"/>
      </w:pPr>
      <w:r>
        <w:rPr>
          <w:rFonts w:ascii="Arial" w:hAnsi="Arial"/>
          <w:b w:val="0"/>
          <w:i w:val="0"/>
          <w:color w:val="1F2937"/>
          <w:sz w:val="22"/>
        </w:rPr>
        <w:t>Production Azure VMs are currently protected using the Default Backup Policy. Azure limits instant recovery (Instant Restore) snapshot retention under this policy to a maximum of five days.</w:t>
      </w:r>
    </w:p>
    <w:p>
      <w:pPr>
        <w:spacing w:before="0" w:after="120" w:line="264" w:lineRule="auto"/>
      </w:pPr>
      <w:r>
        <w:rPr>
          <w:rFonts w:ascii="Arial" w:hAnsi="Arial"/>
          <w:b w:val="0"/>
          <w:i w:val="0"/>
          <w:color w:val="1F2937"/>
          <w:sz w:val="22"/>
        </w:rPr>
        <w:t>This is a product-level limitation and cannot be extended through a configuration change to the existing Default Policy. The requirement for 17 or 30 days of instant recovery snapshot retention can therefore only be met by migrating the VMs to the Enhanced Backup Policy.</w:t>
      </w:r>
    </w:p>
    <w:p>
      <w:pPr>
        <w:pStyle w:val="Heading1"/>
        <w:keepNext/>
      </w:pPr>
      <w:r>
        <w:t>Decision Required</w:t>
      </w:r>
    </w:p>
    <w:p>
      <w:pPr>
        <w:numPr>
          <w:ilvl w:val="0"/>
          <w:numId w:val="10"/>
        </w:numPr>
        <w:spacing w:before="0" w:after="80" w:line="280" w:lineRule="auto"/>
      </w:pPr>
      <w:r>
        <w:rPr>
          <w:rFonts w:ascii="Arial" w:hAnsi="Arial"/>
          <w:b w:val="0"/>
          <w:i w:val="0"/>
          <w:color w:val="1F2937"/>
          <w:sz w:val="22"/>
        </w:rPr>
        <w:t>Migrate existing production VMs from the Default Policy to the Enhanced Policy.</w:t>
      </w:r>
    </w:p>
    <w:p>
      <w:pPr>
        <w:numPr>
          <w:ilvl w:val="0"/>
          <w:numId w:val="10"/>
        </w:numPr>
        <w:spacing w:before="0" w:after="80" w:line="280" w:lineRule="auto"/>
      </w:pPr>
      <w:r>
        <w:rPr>
          <w:rFonts w:ascii="Arial" w:hAnsi="Arial"/>
          <w:b w:val="0"/>
          <w:i w:val="0"/>
          <w:color w:val="1F2937"/>
          <w:sz w:val="22"/>
        </w:rPr>
        <w:t>Configure the approved 17- or 30-day instant recovery snapshot retention period.</w:t>
      </w:r>
    </w:p>
    <w:p>
      <w:pPr>
        <w:numPr>
          <w:ilvl w:val="0"/>
          <w:numId w:val="10"/>
        </w:numPr>
        <w:spacing w:before="0" w:after="80" w:line="280" w:lineRule="auto"/>
      </w:pPr>
      <w:r>
        <w:rPr>
          <w:rFonts w:ascii="Arial" w:hAnsi="Arial"/>
          <w:b w:val="0"/>
          <w:i w:val="0"/>
          <w:color w:val="1F2937"/>
          <w:sz w:val="22"/>
        </w:rPr>
        <w:t>Update platform policy-assignment and tagging logic so newly provisioned VMs use the Enhanced Policy.</w:t>
      </w:r>
    </w:p>
    <w:p>
      <w:pPr>
        <w:numPr>
          <w:ilvl w:val="0"/>
          <w:numId w:val="10"/>
        </w:numPr>
        <w:spacing w:before="0" w:after="80" w:line="280" w:lineRule="auto"/>
      </w:pPr>
      <w:r>
        <w:rPr>
          <w:rFonts w:ascii="Arial" w:hAnsi="Arial"/>
          <w:b w:val="0"/>
          <w:i w:val="0"/>
          <w:color w:val="1F2937"/>
          <w:sz w:val="22"/>
        </w:rPr>
        <w:t>Approve the additional Azure storage cost created by the extended snapshot-retention period.</w:t>
      </w:r>
    </w:p>
    <w:p>
      <w:pPr>
        <w:numPr>
          <w:ilvl w:val="0"/>
          <w:numId w:val="10"/>
        </w:numPr>
        <w:spacing w:before="0" w:after="80" w:line="280" w:lineRule="auto"/>
      </w:pPr>
      <w:r>
        <w:rPr>
          <w:rFonts w:ascii="Arial" w:hAnsi="Arial"/>
          <w:b w:val="0"/>
          <w:i w:val="0"/>
          <w:color w:val="1F2937"/>
          <w:sz w:val="22"/>
        </w:rPr>
        <w:t>Accept the operational and data-protection risks associated with the one-way migration.</w:t>
      </w:r>
    </w:p>
    <w:p>
      <w:pPr>
        <w:pStyle w:val="Heading1"/>
        <w:keepNext/>
      </w:pPr>
      <w:r>
        <w:t>Sandbox Testing Outcome</w:t>
      </w:r>
    </w:p>
    <w:p>
      <w:pPr>
        <w:spacing w:before="0" w:after="120" w:line="264" w:lineRule="auto"/>
      </w:pPr>
      <w:r>
        <w:rPr>
          <w:rFonts w:ascii="Arial" w:hAnsi="Arial"/>
          <w:b w:val="0"/>
          <w:i w:val="0"/>
          <w:color w:val="1F2937"/>
          <w:sz w:val="22"/>
        </w:rPr>
        <w:t>The migration was tested successfully in the sandbox environment. A vanilla test VM took approximately 3.5 hours to migrate from the Default Policy to the Enhanced Policy.</w:t>
      </w:r>
    </w:p>
    <w:p>
      <w:pPr>
        <w:spacing w:before="0" w:after="120" w:line="264" w:lineRule="auto"/>
      </w:pPr>
      <w:r>
        <w:rPr>
          <w:rFonts w:ascii="Arial" w:hAnsi="Arial"/>
          <w:b w:val="0"/>
          <w:i w:val="0"/>
          <w:color w:val="1F2937"/>
          <w:sz w:val="22"/>
        </w:rPr>
        <w:t>Production duration may vary based on VM configuration, backup activity, data volume, and Azure platform conditions. Migration cannot be initiated while an active backup job is running, so each VM must be checked and scheduled around its existing backup window.</w:t>
      </w:r>
    </w:p>
    <w:tbl>
      <w:tblPr>
        <w:tblW w:type="dxa" w:w="9360"/>
        <w:tblLayout w:type="fixed"/>
        <w:tblLook w:firstColumn="1" w:firstRow="1" w:lastColumn="0" w:lastRow="0" w:noHBand="0" w:noVBand="1" w:val="04A0"/>
        <w:tblInd w:w="120" w:type="dxa"/>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Pr>
      <w:tblGrid>
        <w:gridCol w:w="3120"/>
        <w:gridCol w:w="3120"/>
        <w:gridCol w:w="3120"/>
      </w:tblGrid>
      <w:tr>
        <w:trPr>
          <w:tblHeader w:val="true"/>
        </w:trPr>
        <w:tc>
          <w:tcPr>
            <w:tcW w:type="dxa" w:w="3120"/>
            <w:tcMar>
              <w:top w:w="80" w:type="dxa"/>
              <w:start w:w="120" w:type="dxa"/>
              <w:bottom w:w="80" w:type="dxa"/>
              <w:end w:w="120" w:type="dxa"/>
            </w:tcMar>
            <w:vAlign w:val="center"/>
            <w:shd w:fill="EAF3FB"/>
          </w:tcPr>
          <w:p>
            <w:pPr>
              <w:jc w:val="center"/>
            </w:pPr>
            <w:r>
              <w:rPr>
                <w:rFonts w:ascii="Arial" w:hAnsi="Arial"/>
                <w:b/>
                <w:i w:val="0"/>
                <w:color w:val="0078D4"/>
                <w:sz w:val="24"/>
              </w:rPr>
              <w:t>5 DAYS</w:t>
            </w:r>
          </w:p>
        </w:tc>
        <w:tc>
          <w:tcPr>
            <w:tcW w:type="dxa" w:w="3120"/>
            <w:tcMar>
              <w:top w:w="80" w:type="dxa"/>
              <w:start w:w="120" w:type="dxa"/>
              <w:bottom w:w="80" w:type="dxa"/>
              <w:end w:w="120" w:type="dxa"/>
            </w:tcMar>
            <w:vAlign w:val="center"/>
            <w:shd w:fill="EAF3FB"/>
          </w:tcPr>
          <w:p>
            <w:pPr>
              <w:jc w:val="center"/>
            </w:pPr>
            <w:r>
              <w:rPr>
                <w:rFonts w:ascii="Arial" w:hAnsi="Arial"/>
                <w:b/>
                <w:i w:val="0"/>
                <w:color w:val="0078D4"/>
                <w:sz w:val="24"/>
              </w:rPr>
              <w:t>17 / 30 DAYS</w:t>
            </w:r>
          </w:p>
        </w:tc>
        <w:tc>
          <w:tcPr>
            <w:tcW w:type="dxa" w:w="3120"/>
            <w:tcMar>
              <w:top w:w="80" w:type="dxa"/>
              <w:start w:w="120" w:type="dxa"/>
              <w:bottom w:w="80" w:type="dxa"/>
              <w:end w:w="120" w:type="dxa"/>
            </w:tcMar>
            <w:vAlign w:val="center"/>
            <w:shd w:fill="EAF3FB"/>
          </w:tcPr>
          <w:p>
            <w:pPr>
              <w:jc w:val="center"/>
            </w:pPr>
            <w:r>
              <w:rPr>
                <w:rFonts w:ascii="Arial" w:hAnsi="Arial"/>
                <w:b/>
                <w:i w:val="0"/>
                <w:color w:val="0078D4"/>
                <w:sz w:val="24"/>
              </w:rPr>
              <w:t>3.5 HOURS</w:t>
            </w:r>
          </w:p>
        </w:tc>
      </w:tr>
      <w:tr>
        <w:tc>
          <w:tcPr>
            <w:tcW w:type="dxa" w:w="3120"/>
            <w:tcMar>
              <w:top w:w="80" w:type="dxa"/>
              <w:start w:w="120" w:type="dxa"/>
              <w:bottom w:w="80" w:type="dxa"/>
              <w:end w:w="120" w:type="dxa"/>
            </w:tcMar>
            <w:vAlign w:val="center"/>
          </w:tcPr>
          <w:p>
            <w:pPr>
              <w:jc w:val="center"/>
            </w:pPr>
            <w:r>
              <w:rPr>
                <w:rFonts w:ascii="Arial" w:hAnsi="Arial"/>
                <w:b w:val="0"/>
                <w:i w:val="0"/>
                <w:color w:val="5F6B7A"/>
                <w:sz w:val="17"/>
              </w:rPr>
              <w:t>Default Policy maximum</w:t>
            </w:r>
          </w:p>
        </w:tc>
        <w:tc>
          <w:tcPr>
            <w:tcW w:type="dxa" w:w="3120"/>
            <w:tcMar>
              <w:top w:w="80" w:type="dxa"/>
              <w:start w:w="120" w:type="dxa"/>
              <w:bottom w:w="80" w:type="dxa"/>
              <w:end w:w="120" w:type="dxa"/>
            </w:tcMar>
            <w:vAlign w:val="center"/>
          </w:tcPr>
          <w:p>
            <w:pPr>
              <w:jc w:val="center"/>
            </w:pPr>
            <w:r>
              <w:rPr>
                <w:rFonts w:ascii="Arial" w:hAnsi="Arial"/>
                <w:b w:val="0"/>
                <w:i w:val="0"/>
                <w:color w:val="5F6B7A"/>
                <w:sz w:val="17"/>
              </w:rPr>
              <w:t>Required retention</w:t>
            </w:r>
          </w:p>
        </w:tc>
        <w:tc>
          <w:tcPr>
            <w:tcW w:type="dxa" w:w="3120"/>
            <w:tcMar>
              <w:top w:w="80" w:type="dxa"/>
              <w:start w:w="120" w:type="dxa"/>
              <w:bottom w:w="80" w:type="dxa"/>
              <w:end w:w="120" w:type="dxa"/>
            </w:tcMar>
            <w:vAlign w:val="center"/>
          </w:tcPr>
          <w:p>
            <w:pPr>
              <w:jc w:val="center"/>
            </w:pPr>
            <w:r>
              <w:rPr>
                <w:rFonts w:ascii="Arial" w:hAnsi="Arial"/>
                <w:b w:val="0"/>
                <w:i w:val="0"/>
                <w:color w:val="5F6B7A"/>
                <w:sz w:val="17"/>
              </w:rPr>
              <w:t>Sandbox migration test</w:t>
            </w:r>
          </w:p>
        </w:tc>
      </w:tr>
    </w:tbl>
    <w:p>
      <w:pPr>
        <w:pStyle w:val="Heading1"/>
        <w:keepNext/>
        <w:pageBreakBefore/>
      </w:pPr>
      <w:r>
        <w:t>Risk and Impact Assessment</w:t>
      </w:r>
    </w:p>
    <w:tbl>
      <w:tblPr>
        <w:tblW w:type="dxa" w:w="9360"/>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160"/>
        <w:gridCol w:w="4080"/>
        <w:gridCol w:w="3120"/>
      </w:tblGrid>
      <w:tr>
        <w:trPr>
          <w:tblHeader w:val="true"/>
        </w:trPr>
        <w:tc>
          <w:tcPr>
            <w:tcW w:type="dxa" w:w="2160"/>
            <w:tcMar>
              <w:top w:w="80" w:type="dxa"/>
              <w:start w:w="120" w:type="dxa"/>
              <w:bottom w:w="80" w:type="dxa"/>
              <w:end w:w="120" w:type="dxa"/>
            </w:tcMar>
            <w:vAlign w:val="center"/>
            <w:shd w:fill="17365D"/>
          </w:tcPr>
          <w:p>
            <w:pPr>
              <w:spacing w:after="0"/>
            </w:pPr>
            <w:r>
              <w:rPr>
                <w:rFonts w:ascii="Arial" w:hAnsi="Arial"/>
                <w:b/>
                <w:i w:val="0"/>
                <w:color w:val="FFFFFF"/>
                <w:sz w:val="18"/>
              </w:rPr>
              <w:t>Risk / consideration</w:t>
            </w:r>
          </w:p>
        </w:tc>
        <w:tc>
          <w:tcPr>
            <w:tcW w:type="dxa" w:w="4080"/>
            <w:tcMar>
              <w:top w:w="80" w:type="dxa"/>
              <w:start w:w="120" w:type="dxa"/>
              <w:bottom w:w="80" w:type="dxa"/>
              <w:end w:w="120" w:type="dxa"/>
            </w:tcMar>
            <w:vAlign w:val="center"/>
            <w:shd w:fill="17365D"/>
          </w:tcPr>
          <w:p>
            <w:pPr>
              <w:spacing w:after="0"/>
            </w:pPr>
            <w:r>
              <w:rPr>
                <w:rFonts w:ascii="Arial" w:hAnsi="Arial"/>
                <w:b/>
                <w:i w:val="0"/>
                <w:color w:val="FFFFFF"/>
                <w:sz w:val="18"/>
              </w:rPr>
              <w:t>Potential impact</w:t>
            </w:r>
          </w:p>
        </w:tc>
        <w:tc>
          <w:tcPr>
            <w:tcW w:type="dxa" w:w="3120"/>
            <w:tcMar>
              <w:top w:w="80" w:type="dxa"/>
              <w:start w:w="120" w:type="dxa"/>
              <w:bottom w:w="80" w:type="dxa"/>
              <w:end w:w="120" w:type="dxa"/>
            </w:tcMar>
            <w:vAlign w:val="center"/>
            <w:shd w:fill="17365D"/>
          </w:tcPr>
          <w:p>
            <w:pPr>
              <w:spacing w:after="0"/>
            </w:pPr>
            <w:r>
              <w:rPr>
                <w:rFonts w:ascii="Arial" w:hAnsi="Arial"/>
                <w:b/>
                <w:i w:val="0"/>
                <w:color w:val="FFFFFF"/>
                <w:sz w:val="18"/>
              </w:rPr>
              <w:t>Proposed mitigation</w:t>
            </w:r>
          </w:p>
        </w:tc>
      </w:tr>
      <w:tr>
        <w:trPr>
          <w:cantSplit/>
        </w:trPr>
        <w:tc>
          <w:tcPr>
            <w:tcW w:type="dxa" w:w="2160"/>
            <w:shd w:fill="FFFFFF"/>
            <w:tcMar>
              <w:top w:w="80" w:type="dxa"/>
              <w:start w:w="120" w:type="dxa"/>
              <w:bottom w:w="80" w:type="dxa"/>
              <w:end w:w="120" w:type="dxa"/>
            </w:tcMar>
            <w:vAlign w:val="center"/>
          </w:tcPr>
          <w:p>
            <w:pPr>
              <w:spacing w:before="0" w:after="0" w:line="264" w:lineRule="auto"/>
            </w:pPr>
            <w:r>
              <w:rPr>
                <w:rFonts w:ascii="Arial" w:hAnsi="Arial"/>
                <w:b/>
                <w:i w:val="0"/>
                <w:color w:val="1F2937"/>
                <w:sz w:val="18"/>
              </w:rPr>
              <w:t>Production workload impact</w:t>
            </w:r>
          </w:p>
        </w:tc>
        <w:tc>
          <w:tcPr>
            <w:tcW w:type="dxa" w:w="408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Microsoft advises that no workload impact is expected. In a worst-case scenario, a VM reboot may be required, causing application interruption.</w:t>
            </w:r>
          </w:p>
        </w:tc>
        <w:tc>
          <w:tcPr>
            <w:tcW w:type="dxa" w:w="312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Use approved change windows, notify application owners, and maintain recovery and escalation plans.</w:t>
            </w:r>
          </w:p>
        </w:tc>
      </w:tr>
      <w:tr>
        <w:trPr>
          <w:cantSplit/>
        </w:trPr>
        <w:tc>
          <w:tcPr>
            <w:tcW w:type="dxa" w:w="2160"/>
            <w:shd w:fill="FFFFFF"/>
            <w:tcMar>
              <w:top w:w="80" w:type="dxa"/>
              <w:start w:w="120" w:type="dxa"/>
              <w:bottom w:w="80" w:type="dxa"/>
              <w:end w:w="120" w:type="dxa"/>
            </w:tcMar>
            <w:vAlign w:val="center"/>
          </w:tcPr>
          <w:p>
            <w:pPr>
              <w:spacing w:before="0" w:after="0" w:line="264" w:lineRule="auto"/>
            </w:pPr>
            <w:r>
              <w:rPr>
                <w:rFonts w:ascii="Arial" w:hAnsi="Arial"/>
                <w:b/>
                <w:i w:val="0"/>
                <w:color w:val="1F2937"/>
                <w:sz w:val="18"/>
              </w:rPr>
              <w:t>Migration duration</w:t>
            </w:r>
          </w:p>
        </w:tc>
        <w:tc>
          <w:tcPr>
            <w:tcW w:type="dxa" w:w="408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A vanilla sandbox VM took approximately 3.5 hours. Production migrations may take longer and may require multiple change windows.</w:t>
            </w:r>
          </w:p>
        </w:tc>
        <w:tc>
          <w:tcPr>
            <w:tcW w:type="dxa" w:w="312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Pilot with lower-risk production VMs, establish expected timings, and migrate the estate in controlled waves.</w:t>
            </w:r>
          </w:p>
        </w:tc>
      </w:tr>
      <w:tr>
        <w:trPr>
          <w:cantSplit/>
        </w:trPr>
        <w:tc>
          <w:tcPr>
            <w:tcW w:type="dxa" w:w="2160"/>
            <w:shd w:fill="FFFFFF"/>
            <w:tcMar>
              <w:top w:w="80" w:type="dxa"/>
              <w:start w:w="120" w:type="dxa"/>
              <w:bottom w:w="80" w:type="dxa"/>
              <w:end w:w="120" w:type="dxa"/>
            </w:tcMar>
            <w:vAlign w:val="center"/>
          </w:tcPr>
          <w:p>
            <w:pPr>
              <w:spacing w:before="0" w:after="0" w:line="264" w:lineRule="auto"/>
            </w:pPr>
            <w:r>
              <w:rPr>
                <w:rFonts w:ascii="Arial" w:hAnsi="Arial"/>
                <w:b/>
                <w:i w:val="0"/>
                <w:color w:val="1F2937"/>
                <w:sz w:val="18"/>
              </w:rPr>
              <w:t>Active backup job dependency</w:t>
            </w:r>
          </w:p>
        </w:tc>
        <w:tc>
          <w:tcPr>
            <w:tcW w:type="dxa" w:w="408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Migration cannot start while a backup job is active. This may delay execution or cause a planned change window to be missed.</w:t>
            </w:r>
          </w:p>
        </w:tc>
        <w:tc>
          <w:tcPr>
            <w:tcW w:type="dxa" w:w="312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Review schedules, verify job status immediately before migration, and work outside active backup windows.</w:t>
            </w:r>
          </w:p>
        </w:tc>
      </w:tr>
      <w:tr>
        <w:trPr>
          <w:cantSplit/>
        </w:trPr>
        <w:tc>
          <w:tcPr>
            <w:tcW w:type="dxa" w:w="2160"/>
            <w:shd w:fill="FFFFFF"/>
            <w:tcMar>
              <w:top w:w="80" w:type="dxa"/>
              <w:start w:w="120" w:type="dxa"/>
              <w:bottom w:w="80" w:type="dxa"/>
              <w:end w:w="120" w:type="dxa"/>
            </w:tcMar>
            <w:vAlign w:val="center"/>
          </w:tcPr>
          <w:p>
            <w:pPr>
              <w:spacing w:before="0" w:after="0" w:line="264" w:lineRule="auto"/>
            </w:pPr>
            <w:r>
              <w:rPr>
                <w:rFonts w:ascii="Arial" w:hAnsi="Arial"/>
                <w:b/>
                <w:i w:val="0"/>
                <w:color w:val="1F2937"/>
                <w:sz w:val="18"/>
              </w:rPr>
              <w:t>Increased Azure cost</w:t>
            </w:r>
          </w:p>
        </w:tc>
        <w:tc>
          <w:tcPr>
            <w:tcW w:type="dxa" w:w="408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Extending instant recovery snapshots from five days to 17 or 30 days will increase snapshot storage consumption and Azure charges.</w:t>
            </w:r>
          </w:p>
        </w:tc>
        <w:tc>
          <w:tcPr>
            <w:tcW w:type="dxa" w:w="312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Model both retention options and obtain financial approval before production implementation.</w:t>
            </w:r>
          </w:p>
        </w:tc>
      </w:tr>
      <w:tr>
        <w:trPr>
          <w:cantSplit/>
        </w:trPr>
        <w:tc>
          <w:tcPr>
            <w:tcW w:type="dxa" w:w="2160"/>
            <w:shd w:fill="FFFFFF"/>
            <w:tcMar>
              <w:top w:w="80" w:type="dxa"/>
              <w:start w:w="120" w:type="dxa"/>
              <w:bottom w:w="80" w:type="dxa"/>
              <w:end w:w="120" w:type="dxa"/>
            </w:tcMar>
            <w:vAlign w:val="center"/>
          </w:tcPr>
          <w:p>
            <w:pPr>
              <w:spacing w:before="0" w:after="0" w:line="264" w:lineRule="auto"/>
            </w:pPr>
            <w:r>
              <w:rPr>
                <w:rFonts w:ascii="Arial" w:hAnsi="Arial"/>
                <w:b/>
                <w:i w:val="0"/>
                <w:color w:val="1F2937"/>
                <w:sz w:val="18"/>
              </w:rPr>
              <w:t>One-way migration</w:t>
            </w:r>
          </w:p>
        </w:tc>
        <w:tc>
          <w:tcPr>
            <w:tcW w:type="dxa" w:w="408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After migration to the Enhanced Policy, a VM cannot be moved directly back to the Default Policy.</w:t>
            </w:r>
          </w:p>
        </w:tc>
        <w:tc>
          <w:tcPr>
            <w:tcW w:type="dxa" w:w="312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Confirm the long-term backup architecture and obtain formal acceptance before migration begins.</w:t>
            </w:r>
          </w:p>
        </w:tc>
      </w:tr>
      <w:tr>
        <w:trPr>
          <w:cantSplit/>
        </w:trPr>
        <w:tc>
          <w:tcPr>
            <w:tcW w:type="dxa" w:w="2160"/>
            <w:shd w:fill="FDECEC"/>
            <w:tcMar>
              <w:top w:w="80" w:type="dxa"/>
              <w:start w:w="120" w:type="dxa"/>
              <w:bottom w:w="80" w:type="dxa"/>
              <w:end w:w="120" w:type="dxa"/>
            </w:tcMar>
            <w:vAlign w:val="center"/>
          </w:tcPr>
          <w:p>
            <w:pPr>
              <w:spacing w:before="0" w:after="0" w:line="264" w:lineRule="auto"/>
            </w:pPr>
            <w:r>
              <w:rPr>
                <w:rFonts w:ascii="Arial" w:hAnsi="Arial"/>
                <w:b/>
                <w:i w:val="0"/>
                <w:color w:val="9B1C1C"/>
                <w:sz w:val="18"/>
              </w:rPr>
              <w:t>Loss of historical backup data if reversal is required</w:t>
            </w:r>
          </w:p>
        </w:tc>
        <w:tc>
          <w:tcPr>
            <w:tcW w:type="dxa" w:w="4080"/>
            <w:shd w:fill="FDECEC"/>
            <w:tcMar>
              <w:top w:w="80" w:type="dxa"/>
              <w:start w:w="120" w:type="dxa"/>
              <w:bottom w:w="80" w:type="dxa"/>
              <w:end w:w="120" w:type="dxa"/>
            </w:tcMar>
            <w:vAlign w:val="center"/>
          </w:tcPr>
          <w:p>
            <w:pPr>
              <w:spacing w:before="0" w:after="0" w:line="264" w:lineRule="auto"/>
            </w:pPr>
            <w:r>
              <w:rPr>
                <w:rFonts w:ascii="Arial" w:hAnsi="Arial"/>
                <w:b w:val="0"/>
                <w:i w:val="0"/>
                <w:color w:val="1F2937"/>
                <w:sz w:val="18"/>
              </w:rPr>
              <w:t>If the organization later returns to the Default Policy, backup policies and Recovery Services Vaults would need to be deleted and recreated. Existing backup history and restore points would be lost and unavailable for recovery.</w:t>
            </w:r>
          </w:p>
        </w:tc>
        <w:tc>
          <w:tcPr>
            <w:tcW w:type="dxa" w:w="3120"/>
            <w:shd w:fill="FDECEC"/>
            <w:tcMar>
              <w:top w:w="80" w:type="dxa"/>
              <w:start w:w="120" w:type="dxa"/>
              <w:bottom w:w="80" w:type="dxa"/>
              <w:end w:w="120" w:type="dxa"/>
            </w:tcMar>
            <w:vAlign w:val="center"/>
          </w:tcPr>
          <w:p>
            <w:pPr>
              <w:spacing w:before="0" w:after="0" w:line="264" w:lineRule="auto"/>
            </w:pPr>
            <w:r>
              <w:rPr>
                <w:rFonts w:ascii="Arial" w:hAnsi="Arial"/>
                <w:b w:val="0"/>
                <w:i w:val="0"/>
                <w:color w:val="1F2937"/>
                <w:sz w:val="18"/>
              </w:rPr>
              <w:t>Obtain formal risk acceptance and assess whether required historical backups need an alternative retention approach.</w:t>
            </w:r>
          </w:p>
        </w:tc>
      </w:tr>
      <w:tr>
        <w:trPr>
          <w:cantSplit/>
        </w:trPr>
        <w:tc>
          <w:tcPr>
            <w:tcW w:type="dxa" w:w="2160"/>
            <w:shd w:fill="FFFFFF"/>
            <w:tcMar>
              <w:top w:w="80" w:type="dxa"/>
              <w:start w:w="120" w:type="dxa"/>
              <w:bottom w:w="80" w:type="dxa"/>
              <w:end w:w="120" w:type="dxa"/>
            </w:tcMar>
            <w:vAlign w:val="center"/>
          </w:tcPr>
          <w:p>
            <w:pPr>
              <w:spacing w:before="0" w:after="0" w:line="264" w:lineRule="auto"/>
            </w:pPr>
            <w:r>
              <w:rPr>
                <w:rFonts w:ascii="Arial" w:hAnsi="Arial"/>
                <w:b/>
                <w:i w:val="0"/>
                <w:color w:val="1F2937"/>
                <w:sz w:val="18"/>
              </w:rPr>
              <w:t>Platform assignment drift</w:t>
            </w:r>
          </w:p>
        </w:tc>
        <w:tc>
          <w:tcPr>
            <w:tcW w:type="dxa" w:w="408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If policy-assignment or tagging logic is not updated correctly, new production VMs may remain on the Default Policy and fail the retention requirement.</w:t>
            </w:r>
          </w:p>
        </w:tc>
        <w:tc>
          <w:tcPr>
            <w:tcW w:type="dxa" w:w="312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Test the platform change in non-production and monitor policy compliance after implementation.</w:t>
            </w:r>
          </w:p>
        </w:tc>
      </w:tr>
      <w:tr>
        <w:trPr>
          <w:cantSplit/>
        </w:trPr>
        <w:tc>
          <w:tcPr>
            <w:tcW w:type="dxa" w:w="2160"/>
            <w:shd w:fill="FFFFFF"/>
            <w:tcMar>
              <w:top w:w="80" w:type="dxa"/>
              <w:start w:w="120" w:type="dxa"/>
              <w:bottom w:w="80" w:type="dxa"/>
              <w:end w:w="120" w:type="dxa"/>
            </w:tcMar>
            <w:vAlign w:val="center"/>
          </w:tcPr>
          <w:p>
            <w:pPr>
              <w:spacing w:before="0" w:after="0" w:line="264" w:lineRule="auto"/>
            </w:pPr>
            <w:r>
              <w:rPr>
                <w:rFonts w:ascii="Arial" w:hAnsi="Arial"/>
                <w:b/>
                <w:i w:val="0"/>
                <w:color w:val="1F2937"/>
                <w:sz w:val="18"/>
              </w:rPr>
              <w:t>Backup protection validation</w:t>
            </w:r>
          </w:p>
        </w:tc>
        <w:tc>
          <w:tcPr>
            <w:tcW w:type="dxa" w:w="408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A migration issue could leave a VM without the expected policy protection or recovery points.</w:t>
            </w:r>
          </w:p>
        </w:tc>
        <w:tc>
          <w:tcPr>
            <w:tcW w:type="dxa" w:w="3120"/>
            <w:shd w:fill="FFFFFF"/>
            <w:tcMar>
              <w:top w:w="80" w:type="dxa"/>
              <w:start w:w="120" w:type="dxa"/>
              <w:bottom w:w="80" w:type="dxa"/>
              <w:end w:w="120" w:type="dxa"/>
            </w:tcMar>
            <w:vAlign w:val="center"/>
          </w:tcPr>
          <w:p>
            <w:pPr>
              <w:spacing w:before="0" w:after="0" w:line="264" w:lineRule="auto"/>
            </w:pPr>
            <w:r>
              <w:rPr>
                <w:rFonts w:ascii="Arial" w:hAnsi="Arial"/>
                <w:b w:val="0"/>
                <w:i w:val="0"/>
                <w:color w:val="1F2937"/>
                <w:sz w:val="18"/>
              </w:rPr>
              <w:t>Validate backup health before and after migration and monitor the first scheduled backup under the Enhanced Policy.</w:t>
            </w:r>
          </w:p>
        </w:tc>
      </w:tr>
    </w:tbl>
    <w:p>
      <w:pPr>
        <w:pStyle w:val="Heading1"/>
        <w:keepNext/>
      </w:pPr>
      <w:r>
        <w:t>Cost Consideration</w:t>
      </w:r>
    </w:p>
    <w:p>
      <w:pPr>
        <w:spacing w:before="0" w:after="120" w:line="264" w:lineRule="auto"/>
      </w:pPr>
      <w:r>
        <w:rPr>
          <w:rFonts w:ascii="Arial" w:hAnsi="Arial"/>
          <w:b w:val="0"/>
          <w:i w:val="0"/>
          <w:color w:val="1F2937"/>
          <w:sz w:val="22"/>
        </w:rPr>
        <w:t>The cost increase will be driven by the number and size of protected disks, the selected 17- or 30-day retention period, daily data-change rates, and Azure snapshot-storage pricing in the applicable regions. A cost estimate for both options should be presented with the approval request.</w:t>
      </w:r>
    </w:p>
    <w:p>
      <w:pPr>
        <w:pStyle w:val="Heading1"/>
        <w:keepNext/>
      </w:pPr>
      <w:r>
        <w:t>Implementation Approach</w:t>
      </w:r>
    </w:p>
    <w:p>
      <w:pPr>
        <w:numPr>
          <w:ilvl w:val="0"/>
          <w:numId w:val="11"/>
        </w:numPr>
        <w:spacing w:before="0" w:after="100" w:line="280" w:lineRule="auto"/>
      </w:pPr>
      <w:r>
        <w:rPr>
          <w:rFonts w:ascii="Arial" w:hAnsi="Arial"/>
          <w:b w:val="0"/>
          <w:i w:val="0"/>
          <w:color w:val="1F2937"/>
          <w:sz w:val="21"/>
        </w:rPr>
        <w:t>Confirm that the Enhanced Policy supports the approved long-term Azure backup architecture.</w:t>
      </w:r>
    </w:p>
    <w:p>
      <w:pPr>
        <w:numPr>
          <w:ilvl w:val="0"/>
          <w:numId w:val="11"/>
        </w:numPr>
        <w:spacing w:before="0" w:after="100" w:line="280" w:lineRule="auto"/>
      </w:pPr>
      <w:r>
        <w:rPr>
          <w:rFonts w:ascii="Arial" w:hAnsi="Arial"/>
          <w:b w:val="0"/>
          <w:i w:val="0"/>
          <w:color w:val="1F2937"/>
          <w:sz w:val="21"/>
        </w:rPr>
        <w:t>Complete the 17-day versus 30-day cost comparison and obtain budget approval.</w:t>
      </w:r>
    </w:p>
    <w:p>
      <w:pPr>
        <w:numPr>
          <w:ilvl w:val="0"/>
          <w:numId w:val="11"/>
        </w:numPr>
        <w:spacing w:before="0" w:after="100" w:line="280" w:lineRule="auto"/>
      </w:pPr>
      <w:r>
        <w:rPr>
          <w:rFonts w:ascii="Arial" w:hAnsi="Arial"/>
          <w:b w:val="0"/>
          <w:i w:val="0"/>
          <w:color w:val="1F2937"/>
          <w:sz w:val="21"/>
        </w:rPr>
        <w:t>Obtain formal acceptance of the one-way migration and potential loss of backup history if reversal is required.</w:t>
      </w:r>
    </w:p>
    <w:p>
      <w:pPr>
        <w:numPr>
          <w:ilvl w:val="0"/>
          <w:numId w:val="11"/>
        </w:numPr>
        <w:spacing w:before="0" w:after="100" w:line="280" w:lineRule="auto"/>
      </w:pPr>
      <w:r>
        <w:rPr>
          <w:rFonts w:ascii="Arial" w:hAnsi="Arial"/>
          <w:b w:val="0"/>
          <w:i w:val="0"/>
          <w:color w:val="1F2937"/>
          <w:sz w:val="21"/>
        </w:rPr>
        <w:t>Update and test the platform policy-assignment and tagging logic in non-production.</w:t>
      </w:r>
    </w:p>
    <w:p>
      <w:pPr>
        <w:numPr>
          <w:ilvl w:val="0"/>
          <w:numId w:val="11"/>
        </w:numPr>
        <w:spacing w:before="0" w:after="100" w:line="280" w:lineRule="auto"/>
      </w:pPr>
      <w:r>
        <w:rPr>
          <w:rFonts w:ascii="Arial" w:hAnsi="Arial"/>
          <w:b w:val="0"/>
          <w:i w:val="0"/>
          <w:color w:val="1F2937"/>
          <w:sz w:val="21"/>
        </w:rPr>
        <w:t>Pilot the production migration using a small group of lower-risk VMs.</w:t>
      </w:r>
    </w:p>
    <w:p>
      <w:pPr>
        <w:numPr>
          <w:ilvl w:val="0"/>
          <w:numId w:val="11"/>
        </w:numPr>
        <w:spacing w:before="0" w:after="100" w:line="280" w:lineRule="auto"/>
      </w:pPr>
      <w:r>
        <w:rPr>
          <w:rFonts w:ascii="Arial" w:hAnsi="Arial"/>
          <w:b w:val="0"/>
          <w:i w:val="0"/>
          <w:color w:val="1F2937"/>
          <w:sz w:val="21"/>
        </w:rPr>
        <w:t>Review backup schedules and verify that no backup job is active before each migration.</w:t>
      </w:r>
    </w:p>
    <w:p>
      <w:pPr>
        <w:numPr>
          <w:ilvl w:val="0"/>
          <w:numId w:val="11"/>
        </w:numPr>
        <w:spacing w:before="0" w:after="100" w:line="280" w:lineRule="auto"/>
      </w:pPr>
      <w:r>
        <w:rPr>
          <w:rFonts w:ascii="Arial" w:hAnsi="Arial"/>
          <w:b w:val="0"/>
          <w:i w:val="0"/>
          <w:color w:val="1F2937"/>
          <w:sz w:val="21"/>
        </w:rPr>
        <w:t>Migrate the remaining production VMs in controlled waves and within approved change windows.</w:t>
      </w:r>
    </w:p>
    <w:p>
      <w:pPr>
        <w:numPr>
          <w:ilvl w:val="0"/>
          <w:numId w:val="11"/>
        </w:numPr>
        <w:spacing w:before="0" w:after="100" w:line="280" w:lineRule="auto"/>
      </w:pPr>
      <w:r>
        <w:rPr>
          <w:rFonts w:ascii="Arial" w:hAnsi="Arial"/>
          <w:b w:val="0"/>
          <w:i w:val="0"/>
          <w:color w:val="1F2937"/>
          <w:sz w:val="21"/>
        </w:rPr>
        <w:t>Validate policy assignment, backup health, and recovery-point availability after each migration wave.</w:t>
      </w:r>
    </w:p>
    <w:p>
      <w:pPr>
        <w:pStyle w:val="Heading1"/>
        <w:keepNext/>
      </w:pPr>
      <w:r>
        <w:t>Consequence of Not Proceeding</w:t>
      </w:r>
    </w:p>
    <w:p>
      <w:pPr>
        <w:spacing w:before="0" w:after="120" w:line="264" w:lineRule="auto"/>
      </w:pPr>
      <w:r>
        <w:rPr>
          <w:rFonts w:ascii="Arial" w:hAnsi="Arial"/>
          <w:b w:val="0"/>
          <w:i w:val="0"/>
          <w:color w:val="1F2937"/>
          <w:sz w:val="22"/>
        </w:rPr>
        <w:t>Remaining on the Default Backup Policy would retain the five-day product limit. The platform would therefore be unable to meet the stated 17- or 30-day instant recovery requirement.</w:t>
      </w:r>
    </w:p>
    <w:p>
      <w:pPr>
        <w:spacing w:before="200" w:after="0" w:line="264" w:lineRule="auto"/>
        <w:ind w:left="173" w:right="115"/>
        <w:shd w:fill="EAF3FB"/>
        <w:pBdr>
          <w:left w:val="single" w:sz="18" w:space="8" w:color="0078D4"/>
        </w:pBdr>
      </w:pPr>
      <w:r>
        <w:rPr>
          <w:rFonts w:ascii="Arial" w:hAnsi="Arial"/>
          <w:b/>
          <w:i w:val="0"/>
          <w:color w:val="0078D4"/>
          <w:sz w:val="21"/>
        </w:rPr>
        <w:t xml:space="preserve">APPROVAL REQUEST  </w:t>
      </w:r>
      <w:r>
        <w:rPr>
          <w:rFonts w:ascii="Arial" w:hAnsi="Arial"/>
          <w:b w:val="0"/>
          <w:i w:val="0"/>
          <w:color w:val="1F2937"/>
          <w:sz w:val="21"/>
        </w:rPr>
        <w:t>Approve the controlled migration of existing production VMs to the Enhanced Backup Policy and the platform change that makes the Enhanced Policy standard for newly provisioned VMs, including acceptance of the additional cost, migration constraints, possible reboot, one-way conversion, and potential loss of historical backup data if a future reversal requires the vaults and policies to be recreated.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Arial" w:hAnsi="Arial"/>
        <w:b w:val="0"/>
        <w:i w:val="0"/>
        <w:color w:val="5F6B7A"/>
        <w:sz w:val="17"/>
      </w:rPr>
      <w:t>Azure VM Backup Policy</w:t>
    </w:r>
    <w:r>
      <w:rPr>
        <w:rFonts w:ascii="Arial" w:hAnsi="Arial"/>
        <w:b w:val="0"/>
        <w:i w:val="0"/>
        <w:color w:val="5F6B7A"/>
        <w:sz w:val="17"/>
      </w:rPr>
      <w:tab/>
      <w:t xml:space="preserve">Page </w:t>
    </w:r>
    <w:r>
      <w:rPr>
        <w:rFonts w:ascii="Arial" w:hAnsi="Arial"/>
        <w:b w:val="0"/>
        <w:i w:val="0"/>
        <w:color w:val="5F6B7A"/>
        <w:sz w:val="17"/>
      </w:rPr>
      <w:fldChar w:fldCharType="begin"/>
      <w:instrText xml:space="preserve"> PAGE </w:instrText>
      <w:fldChar w:fldCharType="separate"/>
      <w:t>1</w:t>
      <w:fldChar w:fldCharType="end"/>
    </w:r>
    <w:r>
      <w:rPr>
        <w:rFonts w:ascii="Arial" w:hAnsi="Arial"/>
        <w:b w:val="0"/>
        <w:i w:val="0"/>
        <w:color w:val="5F6B7A"/>
        <w:sz w:val="17"/>
      </w:rPr>
      <w:t xml:space="preserve"> of </w:t>
    </w:r>
    <w:r>
      <w:rPr>
        <w:rFonts w:ascii="Arial" w:hAnsi="Arial"/>
        <w:b w:val="0"/>
        <w:i w:val="0"/>
        <w:color w:val="5F6B7A"/>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i w:val="0"/>
        <w:color w:val="5F6B7A"/>
        <w:sz w:val="17"/>
      </w:rPr>
      <w:t>AZURE PLATFORM  |  DECISION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78D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78D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VM Backup Policy - Executive Decision Brief</dc:title>
  <dc:subject>Decision on production VM migration from Default to Enhanced Azure Backup policy</dc:subject>
  <dc:creator>python-docx</dc:creator>
  <cp:keywords>Azure Backup, Enhanced Policy, production VMs, instant recovery, decision brief</cp:keywords>
  <dc:description>generated by python-docx</dc:description>
  <cp:lastModifiedBy/>
  <cp:revision>1</cp:revision>
  <dcterms:created xsi:type="dcterms:W3CDTF">2013-12-23T23:15:00Z</dcterms:created>
  <dcterms:modified xsi:type="dcterms:W3CDTF">2013-12-23T23:15:00Z</dcterms:modified>
  <cp:category/>
</cp:coreProperties>
</file>