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Proposal for CSA Approval</w:t>
        <w:br/>
      </w:r>
      <w:r>
        <w:rPr>
          <w:sz w:val="32"/>
        </w:rPr>
        <w:t>ADO Workload Identity Federation, Platform-Owned Immutable SPNs, and AIB Staging Guardrails</w:t>
      </w:r>
    </w:p>
    <w:p>
      <w:pPr>
        <w:jc w:val="center"/>
      </w:pPr>
      <w:r>
        <w:rPr>
          <w:i/>
        </w:rPr>
        <w:t>Prepared for: Cloud Solution Architects | Date: July 7, 2026 | Status: Proposed pattern for implementation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  <w:vAlign w:val="top"/>
          </w:tcPr>
          <w:p>
            <w:r>
              <w:rPr>
                <w:rFonts w:ascii="Aptos" w:hAnsi="Aptos"/>
                <w:b/>
                <w:sz w:val="17"/>
              </w:rPr>
              <w:t xml:space="preserve">Decision requested: </w:t>
            </w:r>
            <w:r>
              <w:rPr>
                <w:rFonts w:ascii="Aptos" w:hAnsi="Aptos"/>
                <w:sz w:val="17"/>
              </w:rPr>
              <w:t>Approve the target architecture to move Azure DevOps authentication to workload identity federation, centralize immutable image-builder identities per subscription, and enforce least-privilege plus Azure Policy guardrails for the 12 AIB staging resource groups.</w:t>
            </w:r>
          </w:p>
        </w:tc>
      </w:tr>
    </w:tbl>
    <w:p/>
    <w:p>
      <w:pPr>
        <w:pStyle w:val="Heading1"/>
      </w:pPr>
      <w:r>
        <w:t>1. Executive summary</w:t>
      </w:r>
    </w:p>
    <w:p>
      <w:r>
        <w:t>We have three related challenges: Azure DevOps currently authenticates to Azure using service principal secrets; CIO teams were asked to create and maintain their own service principals; and Azure Image Builder needs broad permissions during image builds.</w:t>
      </w:r>
    </w:p>
    <w:p>
      <w:r>
        <w:t>The proposed solution is to remove stored secrets, reduce identity sprawl, and contain AIB build permissions by using platform-owned immutable service principals, Workload Identity Federation, custom RBAC, and Azure Policy guardrails.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  <w:vAlign w:val="top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/>
                <w:sz w:val="17"/>
              </w:rPr>
              <w:t>Challenge</w:t>
            </w:r>
          </w:p>
        </w:tc>
        <w:tc>
          <w:tcPr>
            <w:tcW w:type="dxa" w:w="2556"/>
            <w:shd w:fill="D9EAF7"/>
            <w:vAlign w:val="top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/>
                <w:sz w:val="17"/>
              </w:rPr>
              <w:t>Current risk / concern</w:t>
            </w:r>
          </w:p>
        </w:tc>
        <w:tc>
          <w:tcPr>
            <w:tcW w:type="dxa" w:w="2556"/>
            <w:shd w:fill="D9EAF7"/>
            <w:vAlign w:val="top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/>
                <w:sz w:val="17"/>
              </w:rPr>
              <w:t>Proposed solution</w:t>
            </w:r>
          </w:p>
        </w:tc>
        <w:tc>
          <w:tcPr>
            <w:tcW w:type="dxa" w:w="2556"/>
            <w:shd w:fill="D9EAF7"/>
            <w:vAlign w:val="top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/>
                <w:sz w:val="17"/>
              </w:rPr>
              <w:t>Primary outcome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1. ADO SPN secret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Long-lived secret stored for Azure authentication; rotation and leakage risk.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Use Azure DevOps ARM service connection with Workload Identity Federation (WIF) against an app registration/SPN.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Secretless Azure authentication for pipelines.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2. Too many CIO-owned SPNs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CSA concern: each CIO creating/maintaining SPNs creates governance and operational overhead.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Create one platform-owned immutable SPN per subscription and expose it through controlled ADO service connections.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Reduced SPN sprawl with clear ownership.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3. AIB needs broad rights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AIB image builds need permissions to create build resources; Contributor is broader than desired.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Use least-privilege custom RBAC for AIB actions and Azure Policy to restrict resource types in the 12 staging RGs.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AIB can build images, but staging RGs cannot be used for unrelated resources.</w:t>
            </w:r>
          </w:p>
        </w:tc>
      </w:tr>
    </w:tbl>
    <w:p>
      <w:pPr>
        <w:pStyle w:val="Heading1"/>
      </w:pPr>
      <w:r>
        <w:t>2. Design principles</w:t>
      </w:r>
    </w:p>
    <w:p>
      <w:pPr>
        <w:pStyle w:val="ListBullet"/>
      </w:pPr>
      <w:r>
        <w:rPr>
          <w:b/>
        </w:rPr>
        <w:t xml:space="preserve">Secretless first: </w:t>
      </w:r>
      <w:r>
        <w:t>Pipelines should not store or rotate Azure client secrets where a supported federated option exists.</w:t>
      </w:r>
    </w:p>
    <w:p>
      <w:pPr>
        <w:pStyle w:val="ListBullet"/>
      </w:pPr>
      <w:r>
        <w:rPr>
          <w:b/>
        </w:rPr>
        <w:t xml:space="preserve">Platform-owned identities: </w:t>
      </w:r>
      <w:r>
        <w:t>The platform/image team owns and maintains the immutable SPNs and federated credentials; CIO teams use approved service connections and templates.</w:t>
      </w:r>
    </w:p>
    <w:p>
      <w:pPr>
        <w:pStyle w:val="ListBullet"/>
      </w:pPr>
      <w:r>
        <w:rPr>
          <w:b/>
        </w:rPr>
        <w:t xml:space="preserve">Least privilege at the narrowest practical scope: </w:t>
      </w:r>
      <w:r>
        <w:t>Assign only the permissions needed and scope them to the subscription/resource groups/resources required for image development.</w:t>
      </w:r>
    </w:p>
    <w:p>
      <w:pPr>
        <w:pStyle w:val="ListBullet"/>
      </w:pPr>
      <w:r>
        <w:rPr>
          <w:b/>
        </w:rPr>
        <w:t xml:space="preserve">RBAC and Policy together: </w:t>
      </w:r>
      <w:r>
        <w:t>RBAC controls what the identity can do; Azure Policy controls what resource types can be deployed in staging. NotActions is not a hard deny if another role grants the same action.</w:t>
      </w:r>
    </w:p>
    <w:p>
      <w:pPr>
        <w:pStyle w:val="ListBullet"/>
      </w:pPr>
      <w:r>
        <w:rPr>
          <w:b/>
        </w:rPr>
        <w:t xml:space="preserve">Evidence-driven rollout: </w:t>
      </w:r>
      <w:r>
        <w:t>Move to Deny only after a successful pilot and validation of required AIB resource types and operations from activity logs/build evidence.</w:t>
      </w:r>
    </w:p>
    <w:p>
      <w:pPr>
        <w:pStyle w:val="Heading1"/>
      </w:pPr>
      <w:r>
        <w:t>3. Challenge 1 - Azure DevOps uses SPN secret</w:t>
      </w:r>
    </w:p>
    <w:p>
      <w:pPr>
        <w:pStyle w:val="Heading2"/>
      </w:pPr>
      <w:r>
        <w:t>Current state</w:t>
      </w:r>
    </w:p>
    <w:p>
      <w:r>
        <w:t>ADO service connections authenticate to Azure using an SPN client secret. This works, but creates a credential lifecycle problem: secrets must be stored, rotated, protected, and removed from legacy configurations.</w:t>
      </w:r>
    </w:p>
    <w:p>
      <w:pPr>
        <w:pStyle w:val="Heading2"/>
      </w:pPr>
      <w:r>
        <w:t>Proposed solution</w:t>
      </w:r>
    </w:p>
    <w:p>
      <w:r>
        <w:t>Move Azure DevOps Azure Resource Manager service connections to Workload Identity Federation using an app registration/SPN. Azure DevOps obtains a short-lived token through a federated trust instead of storing a long-lived client secret.</w:t>
      </w:r>
    </w:p>
    <w:p>
      <w:pPr>
        <w:pStyle w:val="ListBullet"/>
      </w:pPr>
      <w:r>
        <w:t>Use Microsoft Entra issuer based WIF for new service connections.</w:t>
      </w:r>
    </w:p>
    <w:p>
      <w:pPr>
        <w:pStyle w:val="ListBullet"/>
      </w:pPr>
      <w:r>
        <w:t>For existing service connections, convert to WIF where supported, then remove the secret after validation.</w:t>
      </w:r>
    </w:p>
    <w:p>
      <w:pPr>
        <w:pStyle w:val="ListBullet"/>
      </w:pPr>
      <w:r>
        <w:t>Keep the same RBAC model: the SPN still receives Azure RBAC assignments; only the credential method changes.</w:t>
      </w:r>
    </w:p>
    <w:p>
      <w:pPr>
        <w:pStyle w:val="ListBullet"/>
      </w:pPr>
      <w:r>
        <w:t>Use service connection pipeline permissions so only approved pipelines can use the connection. Do not grant access to all pipelines by default.</w:t>
      </w:r>
    </w:p>
    <w:p>
      <w:pPr>
        <w:pStyle w:val="Heading2"/>
      </w:pPr>
      <w:r>
        <w:t>How authentication will work</w:t>
      </w:r>
    </w:p>
    <w:p>
      <w:pPr>
        <w:pStyle w:val="ListNumber"/>
      </w:pPr>
      <w:r>
        <w:t>Pipeline starts and requests access through the Azure DevOps service connection.</w:t>
      </w:r>
    </w:p>
    <w:p>
      <w:pPr>
        <w:pStyle w:val="ListNumber"/>
      </w:pPr>
      <w:r>
        <w:t>Azure DevOps presents an OIDC/federated token to Microsoft Entra ID.</w:t>
      </w:r>
    </w:p>
    <w:p>
      <w:pPr>
        <w:pStyle w:val="ListNumber"/>
      </w:pPr>
      <w:r>
        <w:t>Microsoft Entra validates issuer, subject, and audience against the federated credential configured on the app registration/SPN.</w:t>
      </w:r>
    </w:p>
    <w:p>
      <w:pPr>
        <w:pStyle w:val="ListNumber"/>
      </w:pPr>
      <w:r>
        <w:t>If the trust matches, Entra issues an access token for Azure Resource Manager.</w:t>
      </w:r>
    </w:p>
    <w:p>
      <w:pPr>
        <w:pStyle w:val="ListNumber"/>
      </w:pPr>
      <w:r>
        <w:t>Azure RBAC permissions on the SPN determine which Azure operations are allowed.</w:t>
      </w:r>
    </w:p>
    <w:p>
      <w:pPr>
        <w:pStyle w:val="Heading2"/>
      </w:pPr>
      <w:r>
        <w:t>Acceptance criteria</w:t>
      </w:r>
    </w:p>
    <w:p>
      <w:pPr>
        <w:pStyle w:val="ListBullet"/>
      </w:pPr>
      <w:r>
        <w:t>No ADO service connection stores a client secret for Azure authentication.</w:t>
      </w:r>
    </w:p>
    <w:p>
      <w:pPr>
        <w:pStyle w:val="ListBullet"/>
      </w:pPr>
      <w:r>
        <w:t>Service connection verifies successfully and pipeline can deploy/build as expected.</w:t>
      </w:r>
    </w:p>
    <w:p>
      <w:pPr>
        <w:pStyle w:val="ListBullet"/>
      </w:pPr>
      <w:r>
        <w:t>Federated credential values are documented and owned by the platform/image team.</w:t>
      </w:r>
    </w:p>
    <w:p>
      <w:pPr>
        <w:pStyle w:val="ListBullet"/>
      </w:pPr>
      <w:r>
        <w:t>Old secrets are removed or expired after migration validation.</w:t>
      </w:r>
    </w:p>
    <w:p>
      <w:pPr>
        <w:pStyle w:val="Heading1"/>
      </w:pPr>
      <w:r>
        <w:t>4. Challenge 2 - CIO-owned SPNs create identity sprawl</w:t>
      </w:r>
    </w:p>
    <w:p>
      <w:pPr>
        <w:pStyle w:val="Heading2"/>
      </w:pPr>
      <w:r>
        <w:t>CSA concern</w:t>
      </w:r>
    </w:p>
    <w:p>
      <w:r>
        <w:t>If every CIO team creates and maintains their own SPNs, the environment will accumulate many identities with different owners, inconsistent permissions, unclear expiry/rotation posture, and uneven auditability.</w:t>
      </w:r>
    </w:p>
    <w:p>
      <w:pPr>
        <w:pStyle w:val="Heading2"/>
      </w:pPr>
      <w:r>
        <w:t>Proposed operating model</w:t>
      </w:r>
    </w:p>
    <w:p>
      <w:r>
        <w:t>Create a standardized immutable image-builder SPN per subscription. These SPNs are owned and maintained by the platform/image team. CIO teams do not create their own SPNs for this pattern; they use the approved Azure DevOps service connection associated with the subscription they are targeting.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top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/>
                <w:sz w:val="17"/>
              </w:rPr>
              <w:t>Item</w:t>
            </w:r>
          </w:p>
        </w:tc>
        <w:tc>
          <w:tcPr>
            <w:tcW w:type="dxa" w:w="3408"/>
            <w:shd w:fill="D9EAF7"/>
            <w:vAlign w:val="top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/>
                <w:sz w:val="17"/>
              </w:rPr>
              <w:t>Proposed standard</w:t>
            </w:r>
          </w:p>
        </w:tc>
        <w:tc>
          <w:tcPr>
            <w:tcW w:type="dxa" w:w="3408"/>
            <w:shd w:fill="D9EAF7"/>
            <w:vAlign w:val="top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/>
                <w:sz w:val="17"/>
              </w:rPr>
              <w:t>Owner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Identity pattern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One immutable image-builder SPN/app registration per subscription.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Platform/image team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Credential pattern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Federated credential only; no client secret for ADO usage.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Platform/image team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ADO access pattern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One or more protected service connections mapped to the immutable SPN.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Platform/image team + ADO admins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CIO usage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CIO pipeline references approved service connection and extends approved YAML template.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CIO team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Review cadence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Quarterly access review of RBAC assignments, federated credentials, and service connection permissions.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Platform/image team</w:t>
            </w:r>
          </w:p>
        </w:tc>
      </w:tr>
    </w:tbl>
    <w:p>
      <w:pPr>
        <w:pStyle w:val="Heading2"/>
      </w:pPr>
      <w:r>
        <w:t>Example naming convention</w:t>
      </w:r>
    </w:p>
    <w:p>
      <w:pPr>
        <w:pStyle w:val="ListBullet"/>
      </w:pPr>
      <w:r>
        <w:t>SPN/app registration: spn-aib-immutable-&lt;subscriptionAlias&gt;-&lt;environment&gt;</w:t>
      </w:r>
    </w:p>
    <w:p>
      <w:pPr>
        <w:pStyle w:val="ListBullet"/>
      </w:pPr>
      <w:r>
        <w:t>ADO service connection: sc-aib-immutable-&lt;subscriptionAlias&gt;-wif</w:t>
      </w:r>
    </w:p>
    <w:p>
      <w:pPr>
        <w:pStyle w:val="ListBullet"/>
      </w:pPr>
      <w:r>
        <w:t>Custom role: role-aib-image-build-limited</w:t>
      </w:r>
    </w:p>
    <w:p>
      <w:pPr>
        <w:pStyle w:val="ListBullet"/>
      </w:pPr>
      <w:r>
        <w:t>Policy assignment: pa-aib-staging-allowed-resource-types-&lt;subscriptionAlias&gt;</w:t>
      </w:r>
    </w:p>
    <w:p>
      <w:pPr>
        <w:pStyle w:val="Heading2"/>
      </w:pPr>
      <w:r>
        <w:t>Controls to prevent misuse</w:t>
      </w:r>
    </w:p>
    <w:p>
      <w:pPr>
        <w:pStyle w:val="ListBullet"/>
      </w:pPr>
      <w:r>
        <w:t>Disable “grant access to all pipelines”; explicitly authorize approved pipelines only.</w:t>
      </w:r>
    </w:p>
    <w:p>
      <w:pPr>
        <w:pStyle w:val="ListBullet"/>
      </w:pPr>
      <w:r>
        <w:t>Apply ADO approvals/checks where appropriate, especially for production or privileged image publication.</w:t>
      </w:r>
    </w:p>
    <w:p>
      <w:pPr>
        <w:pStyle w:val="ListBullet"/>
      </w:pPr>
      <w:r>
        <w:t>Require pipelines to extend an approved YAML template for image build/release steps.</w:t>
      </w:r>
    </w:p>
    <w:p>
      <w:pPr>
        <w:pStyle w:val="ListBullet"/>
      </w:pPr>
      <w:r>
        <w:t>Assign RBAC only at required scopes; avoid Owner and avoid broad subscription-level Contributor unless temporarily approved as an exception.</w:t>
      </w:r>
    </w:p>
    <w:p>
      <w:pPr>
        <w:pStyle w:val="ListBullet"/>
      </w:pPr>
      <w:r>
        <w:t>Log and review service connection usage and Azure Activity Log operations by the immutable SPN.</w:t>
      </w:r>
    </w:p>
    <w:p>
      <w:pPr>
        <w:pStyle w:val="Heading1"/>
      </w:pPr>
      <w:r>
        <w:t>5. Challenge 3 - AIB needs broad permissions for image creation</w:t>
      </w:r>
    </w:p>
    <w:p>
      <w:pPr>
        <w:pStyle w:val="Heading2"/>
      </w:pPr>
      <w:r>
        <w:t>Current state</w:t>
      </w:r>
    </w:p>
    <w:p>
      <w:r>
        <w:t>AIB builds create temporary Azure resources such as a build VM, network interface, disk, and network resources. Contributor is commonly used because it makes the build succeed, but it grants more permissions than image development requires.</w:t>
      </w:r>
    </w:p>
    <w:p>
      <w:pPr>
        <w:pStyle w:val="Heading2"/>
      </w:pPr>
      <w:r>
        <w:t>Proposed solution</w:t>
      </w:r>
    </w:p>
    <w:p>
      <w:r>
        <w:t>Use a custom RBAC role for AIB/image development and pair it with Azure Policy on the 12 staging RGs. The custom role will allow the required image-build operations; the policy will prevent non-image resource types from being created in those staging RGs.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top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/>
                <w:sz w:val="17"/>
              </w:rPr>
              <w:t>Area</w:t>
            </w:r>
          </w:p>
        </w:tc>
        <w:tc>
          <w:tcPr>
            <w:tcW w:type="dxa" w:w="3408"/>
            <w:shd w:fill="D9EAF7"/>
            <w:vAlign w:val="top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/>
                <w:sz w:val="17"/>
              </w:rPr>
              <w:t>Permission approach</w:t>
            </w:r>
          </w:p>
        </w:tc>
        <w:tc>
          <w:tcPr>
            <w:tcW w:type="dxa" w:w="3408"/>
            <w:shd w:fill="D9EAF7"/>
            <w:vAlign w:val="top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/>
                <w:sz w:val="17"/>
              </w:rPr>
              <w:t>Notes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Build/staging RGs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Allow only AIB build resource actions required for VM, disk, NIC, deployment, and related resources.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Scope to the 12 staging RGs where image builds occur.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Source image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Read-only access to managed images or Compute Gallery source versions.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Scope to source image/gallery RG where possible.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Image distribution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Write/read image version permissions for target managed image or Compute Gallery.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Microsoft docs list required image/gallery actions for distribution.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Network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VNet read and subnet join/action for approved build subnet.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Use existing private VNet path; avoid public IP creation if private build is standard.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Storage/scripts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Read access to approved script/artifact storage only if needed.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Use data-plane role where applicable; avoid storage account key/listKey unless required.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Key Vault/secrets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Use specific Key Vault data-plane permissions only if image build needs secrets.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Avoid broad Key Vault Contributor for secret access.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Authorization/RBAC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No role assignment write/delete in the AIB runtime role.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AIB runtime identity should not be able to grant itself or others access.</w:t>
            </w:r>
          </w:p>
        </w:tc>
      </w:tr>
    </w:tbl>
    <w:p>
      <w:pPr>
        <w:pStyle w:val="Heading2"/>
      </w:pPr>
      <w:r>
        <w:t>Important RBAC caveat</w:t>
      </w:r>
    </w:p>
    <w:p>
      <w:r>
        <w:t>Prefer a positive allow-list of required Actions. Use NotActions only when subtracting from a wildcard is unavoidable. NotActions is not a deny rule; if the same identity receives another role that grants the excluded action, the identity can still perform that action. Therefore, Policy is required as a separate guardrail for the staging RGs.</w:t>
      </w:r>
    </w:p>
    <w:p>
      <w:pPr>
        <w:pStyle w:val="Heading2"/>
      </w:pPr>
      <w:r>
        <w:t>Staging resource group Azure Policy guardrail</w:t>
      </w:r>
    </w:p>
    <w:p>
      <w:r>
        <w:t>Assign an Azure Policy initiative to the 12 staging RGs to deny resource types that are not part of the AIB image development process. Start in Audit/DoNotEnforce during pilot, then move to Deny after confirming the required AIB resource types from successful builds.</w:t>
      </w:r>
    </w:p>
    <w:p>
      <w:pPr>
        <w:pStyle w:val="ListBullet"/>
      </w:pPr>
      <w:r>
        <w:t>Use the built-in Allowed resource types or Not allowed resource types policy as the baseline; duplicate/customize with mode = All if required to cover all resource types.</w:t>
      </w:r>
    </w:p>
    <w:p>
      <w:pPr>
        <w:pStyle w:val="ListBullet"/>
      </w:pPr>
      <w:r>
        <w:t>Maintain an allow-list of resource types required for AIB builds, approved networking, managed identities, deployments, storage used by AIB, and image distribution.</w:t>
      </w:r>
    </w:p>
    <w:p>
      <w:pPr>
        <w:pStyle w:val="ListBullet"/>
      </w:pPr>
      <w:r>
        <w:t>Deny resource types unrelated to image creation, such as application services, databases, unrelated public networking, or ad hoc compute outside the AIB process.</w:t>
      </w:r>
    </w:p>
    <w:p>
      <w:pPr>
        <w:pStyle w:val="ListBullet"/>
      </w:pPr>
      <w:r>
        <w:t>Use policy exemptions only for approved break-glass or time-bound exceptions.</w:t>
      </w:r>
    </w:p>
    <w:p>
      <w:pPr>
        <w:pStyle w:val="Heading1"/>
      </w:pPr>
      <w:r>
        <w:t>6. Simplified target architecture</w:t>
      </w:r>
    </w:p>
    <w:p>
      <w:pPr>
        <w:pStyle w:val="ListNumber"/>
      </w:pPr>
      <w:r>
        <w:t>CIO pipeline calls an approved AIB build template.</w:t>
      </w:r>
    </w:p>
    <w:p>
      <w:pPr>
        <w:pStyle w:val="ListNumber"/>
      </w:pPr>
      <w:r>
        <w:t>Pipeline uses a protected ADO service connection backed by WIF.</w:t>
      </w:r>
    </w:p>
    <w:p>
      <w:pPr>
        <w:pStyle w:val="ListNumber"/>
      </w:pPr>
      <w:r>
        <w:t>The service connection federates to the platform-owned immutable SPN for that subscription.</w:t>
      </w:r>
    </w:p>
    <w:p>
      <w:pPr>
        <w:pStyle w:val="ListNumber"/>
      </w:pPr>
      <w:r>
        <w:t>The immutable SPN has custom RBAC assignments scoped to the image/build resources it needs.</w:t>
      </w:r>
    </w:p>
    <w:p>
      <w:pPr>
        <w:pStyle w:val="ListNumber"/>
      </w:pPr>
      <w:r>
        <w:t>AIB creates required temporary build resources only in the approved staging RGs.</w:t>
      </w:r>
    </w:p>
    <w:p>
      <w:pPr>
        <w:pStyle w:val="ListNumber"/>
      </w:pPr>
      <w:r>
        <w:t>Azure Policy on the 12 staging RGs denies resource types outside the approved AIB allow-list.</w:t>
      </w:r>
    </w:p>
    <w:p>
      <w:pPr>
        <w:pStyle w:val="ListNumber"/>
      </w:pPr>
      <w:r>
        <w:t>Images are published to the approved managed image or Azure Compute Gallery target.</w:t>
      </w:r>
    </w:p>
    <w:p>
      <w:pPr>
        <w:pStyle w:val="Heading1"/>
      </w:pPr>
      <w:r>
        <w:t>7. Implementation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  <w:vAlign w:val="top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/>
                <w:sz w:val="17"/>
              </w:rPr>
              <w:t>Phase</w:t>
            </w:r>
          </w:p>
        </w:tc>
        <w:tc>
          <w:tcPr>
            <w:tcW w:type="dxa" w:w="2556"/>
            <w:shd w:fill="D9EAF7"/>
            <w:vAlign w:val="top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/>
                <w:sz w:val="17"/>
              </w:rPr>
              <w:t>Activity</w:t>
            </w:r>
          </w:p>
        </w:tc>
        <w:tc>
          <w:tcPr>
            <w:tcW w:type="dxa" w:w="2556"/>
            <w:shd w:fill="D9EAF7"/>
            <w:vAlign w:val="top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/>
                <w:sz w:val="17"/>
              </w:rPr>
              <w:t>Output</w:t>
            </w:r>
          </w:p>
        </w:tc>
        <w:tc>
          <w:tcPr>
            <w:tcW w:type="dxa" w:w="2556"/>
            <w:shd w:fill="D9EAF7"/>
            <w:vAlign w:val="top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/>
                <w:sz w:val="17"/>
              </w:rPr>
              <w:t>CSA evidence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0. Baseline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Inventory current ADO service connections, SPNs, RBAC assignments, AIB build scopes, and staging RG contents.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Current-state report.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Inventory of secrets, service connections, RBAC, and RG resources.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1. Pilot WIF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Convert one non-prod service connection to WIF using one immutable SPN.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Successful pipeline run without client secret.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ADO service connection screenshot/export and successful run logs.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2. Define RBAC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Derive required AIB actions from Microsoft docs and successful build activity logs; create limited custom role.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Validated custom role.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Role JSON, assignment scope, and successful image build.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3. Apply Policy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Apply staging RG resource-type policy in Audit/DoNotEnforce, review impact, then switch to Deny.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Policy compliance and deny guardrail.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Policy assignment, compliance result, and test denied deployment.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4. Rollout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Create immutable SPNs and service connections per subscription; migrate CIO pipelines.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Standardized identity model.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SPN inventory and service connection mapping.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5. Operate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Quarterly access review, service connection review, policy compliance review, and exception cleanup.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Sustainable control model.</w:t>
            </w:r>
          </w:p>
        </w:tc>
        <w:tc>
          <w:tcPr>
            <w:tcW w:type="dxa" w:w="2556"/>
            <w:vAlign w:val="top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Review evidence and exception register.</w:t>
            </w:r>
          </w:p>
        </w:tc>
      </w:tr>
    </w:tbl>
    <w:p>
      <w:pPr>
        <w:pStyle w:val="Heading1"/>
      </w:pPr>
      <w:r>
        <w:t>8. Acceptance criteria for CSA approval</w:t>
      </w:r>
    </w:p>
    <w:p>
      <w:pPr>
        <w:pStyle w:val="ListBullet"/>
      </w:pPr>
      <w:r>
        <w:t>ADO Azure authentication uses WIF and no client secret is stored for the approved pattern.</w:t>
      </w:r>
    </w:p>
    <w:p>
      <w:pPr>
        <w:pStyle w:val="ListBullet"/>
      </w:pPr>
      <w:r>
        <w:t>Each subscription has a clearly named, platform-owned immutable SPN with documented owner and purpose.</w:t>
      </w:r>
    </w:p>
    <w:p>
      <w:pPr>
        <w:pStyle w:val="ListBullet"/>
      </w:pPr>
      <w:r>
        <w:t>CIO teams are not required to create or maintain their own SPNs for image development.</w:t>
      </w:r>
    </w:p>
    <w:p>
      <w:pPr>
        <w:pStyle w:val="ListBullet"/>
      </w:pPr>
      <w:r>
        <w:t>Service connection access is restricted to approved pipelines; open access to all pipelines is not used by default.</w:t>
      </w:r>
    </w:p>
    <w:p>
      <w:pPr>
        <w:pStyle w:val="ListBullet"/>
      </w:pPr>
      <w:r>
        <w:t>AIB build succeeds with custom RBAC, or any temporary broader permission is documented with expiry and remediation plan.</w:t>
      </w:r>
    </w:p>
    <w:p>
      <w:pPr>
        <w:pStyle w:val="ListBullet"/>
      </w:pPr>
      <w:r>
        <w:t>The 12 staging RGs have Azure Policy guardrails that deny non-approved resource types after pilot validation.</w:t>
      </w:r>
    </w:p>
    <w:p>
      <w:pPr>
        <w:pStyle w:val="ListBullet"/>
      </w:pPr>
      <w:r>
        <w:t>RBAC and policy assignments are documented and reviewable by CSA/security.</w:t>
      </w:r>
    </w:p>
    <w:p>
      <w:pPr>
        <w:pStyle w:val="Heading1"/>
      </w:pPr>
      <w:r>
        <w:t>9. Risks and mitigations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top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/>
                <w:sz w:val="17"/>
              </w:rPr>
              <w:t>Risk</w:t>
            </w:r>
          </w:p>
        </w:tc>
        <w:tc>
          <w:tcPr>
            <w:tcW w:type="dxa" w:w="3408"/>
            <w:shd w:fill="D9EAF7"/>
            <w:vAlign w:val="top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/>
                <w:sz w:val="17"/>
              </w:rPr>
              <w:t>Impact</w:t>
            </w:r>
          </w:p>
        </w:tc>
        <w:tc>
          <w:tcPr>
            <w:tcW w:type="dxa" w:w="3408"/>
            <w:shd w:fill="D9EAF7"/>
            <w:vAlign w:val="top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/>
                <w:sz w:val="17"/>
              </w:rPr>
              <w:t>Mitigation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Missing AIB permission in custom role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Image build fails.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Pilot in non-prod; collect Activity Log failures; add only the required action and retest.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Policy allow-list too restrictive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AIB cannot create required staging resource.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Start with Audit/DoNotEnforce and confirm required resource types before Deny.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NotActions misunderstood as deny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Unexpected access if another role grants action.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Use explicit allow-list where possible; remove conflicting role assignments; rely on Azure Policy for resource-type denies.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Service connection misuse by unapproved pipeline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Unauthorized deployment/build path.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Do not grant access to all pipelines; use pipeline permissions, checks, and required template controls.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Identity ownership ambiguity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Delayed support or audit findings.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Platform/image team is named owner; document contact, scope, and review cadence.</w:t>
            </w:r>
          </w:p>
        </w:tc>
      </w:tr>
    </w:tbl>
    <w:p>
      <w:pPr>
        <w:pStyle w:val="Heading1"/>
      </w:pPr>
      <w:r>
        <w:t>10. Decision ask</w:t>
      </w:r>
    </w:p>
    <w:p>
      <w:pPr>
        <w:pStyle w:val="ListBullet"/>
      </w:pPr>
      <w:r>
        <w:t>Approve Workload Identity Federation as the target authentication pattern for ADO-to-Azure service connections.</w:t>
      </w:r>
    </w:p>
    <w:p>
      <w:pPr>
        <w:pStyle w:val="ListBullet"/>
      </w:pPr>
      <w:r>
        <w:t>Approve platform-owned immutable SPNs per subscription as the operating model for CIO image-development pipelines.</w:t>
      </w:r>
    </w:p>
    <w:p>
      <w:pPr>
        <w:pStyle w:val="ListBullet"/>
      </w:pPr>
      <w:r>
        <w:t>Approve custom RBAC plus Azure Policy guardrails for the 12 AIB staging RGs.</w:t>
      </w:r>
    </w:p>
    <w:p>
      <w:pPr>
        <w:pStyle w:val="ListBullet"/>
      </w:pPr>
      <w:r>
        <w:t>Approve pilot-first rollout: non-prod WIF + custom RBAC + Audit policy, followed by Deny policy and wider migration after evidence review.</w:t>
      </w:r>
    </w:p>
    <w:p>
      <w:pPr>
        <w:pStyle w:val="Heading1"/>
      </w:pPr>
      <w:r>
        <w:t>Appendix A - Microsoft documentation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top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/>
                <w:sz w:val="17"/>
              </w:rPr>
              <w:t>Reference</w:t>
            </w:r>
          </w:p>
        </w:tc>
        <w:tc>
          <w:tcPr>
            <w:tcW w:type="dxa" w:w="3408"/>
            <w:shd w:fill="D9EAF7"/>
            <w:vAlign w:val="top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/>
                <w:sz w:val="17"/>
              </w:rPr>
              <w:t>Why it supports this proposal</w:t>
            </w:r>
          </w:p>
        </w:tc>
        <w:tc>
          <w:tcPr>
            <w:tcW w:type="dxa" w:w="3408"/>
            <w:shd w:fill="D9EAF7"/>
            <w:vAlign w:val="top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/>
                <w:sz w:val="17"/>
              </w:rPr>
              <w:t>Link</w:t>
            </w:r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Azure DevOps ARM service connection with WIF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Microsoft recommends workload identity federation for Azure Resource Manager service connections and states it eliminates the need for secrets and secret management.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Aptos" w:hAnsi="Aptos"/>
                <w:sz w:val="17"/>
              </w:rPr>
            </w:r>
            <w:hyperlink r:id="rId9">
              <w:r>
                <w:rPr>
                  <w:color w:val="0563C1"/>
                  <w:u w:val="single"/>
                </w:rPr>
                <w:t>Microsoft Learn</w:t>
              </w:r>
            </w:hyperlink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Microsoft Entra Workload Identity Federation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Explains the trust relationship, token exchange, and how WIF removes the maintenance burden of manually managed credentials and leaked/expired secrets.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Aptos" w:hAnsi="Aptos"/>
                <w:sz w:val="17"/>
              </w:rPr>
            </w:r>
            <w:hyperlink r:id="rId10">
              <w:r>
                <w:rPr>
                  <w:color w:val="0563C1"/>
                  <w:u w:val="single"/>
                </w:rPr>
                <w:t>Microsoft Learn</w:t>
              </w:r>
            </w:hyperlink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Register Microsoft Entra app/service principal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Explains that the service principal is the app identity in the tenant and access is controlled by RBAC roles assigned to it.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Aptos" w:hAnsi="Aptos"/>
                <w:sz w:val="17"/>
              </w:rPr>
            </w:r>
            <w:hyperlink r:id="rId11">
              <w:r>
                <w:rPr>
                  <w:color w:val="0563C1"/>
                  <w:u w:val="single"/>
                </w:rPr>
                <w:t>Microsoft Learn</w:t>
              </w:r>
            </w:hyperlink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Azure RBAC role assignment and scope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States least privilege is best practice and Azure scopes include resource, resource group, subscription, and management group.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Aptos" w:hAnsi="Aptos"/>
                <w:sz w:val="17"/>
              </w:rPr>
            </w:r>
            <w:hyperlink r:id="rId12">
              <w:r>
                <w:rPr>
                  <w:color w:val="0563C1"/>
                  <w:u w:val="single"/>
                </w:rPr>
                <w:t>Microsoft Learn</w:t>
              </w:r>
            </w:hyperlink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Azure DevOps service connection authorization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Explains that service connections can be authorized per pipeline and granting all pipelines is not recommended.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Aptos" w:hAnsi="Aptos"/>
                <w:sz w:val="17"/>
              </w:rPr>
            </w:r>
            <w:hyperlink r:id="rId13">
              <w:r>
                <w:rPr>
                  <w:color w:val="0563C1"/>
                  <w:u w:val="single"/>
                </w:rPr>
                <w:t>Microsoft Learn</w:t>
              </w:r>
            </w:hyperlink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Azure Pipeline resource security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Explains protected resources such as service connections can use permissions, checks, and approvals.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Aptos" w:hAnsi="Aptos"/>
                <w:sz w:val="17"/>
              </w:rPr>
            </w:r>
            <w:hyperlink r:id="rId14">
              <w:r>
                <w:rPr>
                  <w:color w:val="0563C1"/>
                  <w:u w:val="single"/>
                </w:rPr>
                <w:t>Microsoft Learn</w:t>
              </w:r>
            </w:hyperlink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Azure VM Image Builder overview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Explains AIB creates build resources such as VM, network, disk, and NIC; and AIB permissions require a user-assigned identity for distribution.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Aptos" w:hAnsi="Aptos"/>
                <w:sz w:val="17"/>
              </w:rPr>
            </w:r>
            <w:hyperlink r:id="rId15">
              <w:r>
                <w:rPr>
                  <w:color w:val="0563C1"/>
                  <w:u w:val="single"/>
                </w:rPr>
                <w:t>Microsoft Learn</w:t>
              </w:r>
            </w:hyperlink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Configure VM Image Builder permissions by CLI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Lists required AIB actions for image distribution, gallery distribution, source image read, and VNet subnet join.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Aptos" w:hAnsi="Aptos"/>
                <w:sz w:val="17"/>
              </w:rPr>
            </w:r>
            <w:hyperlink r:id="rId16">
              <w:r>
                <w:rPr>
                  <w:color w:val="0563C1"/>
                  <w:u w:val="single"/>
                </w:rPr>
                <w:t>Microsoft Learn</w:t>
              </w:r>
            </w:hyperlink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AIB triggers/how-to managed identity note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Shows Contributor as an example but explicitly notes the permissions or role can be refined if required permissions are included.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Aptos" w:hAnsi="Aptos"/>
                <w:sz w:val="17"/>
              </w:rPr>
            </w:r>
            <w:hyperlink r:id="rId17">
              <w:r>
                <w:rPr>
                  <w:color w:val="0563C1"/>
                  <w:u w:val="single"/>
                </w:rPr>
                <w:t>Microsoft Learn</w:t>
              </w:r>
            </w:hyperlink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Understand Azure role definitions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Explains Actions, NotActions, effective permissions, and that NotActions is not a deny rule.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Aptos" w:hAnsi="Aptos"/>
                <w:sz w:val="17"/>
              </w:rPr>
            </w:r>
            <w:hyperlink r:id="rId18">
              <w:r>
                <w:rPr>
                  <w:color w:val="0563C1"/>
                  <w:u w:val="single"/>
                </w:rPr>
                <w:t>Microsoft Learn</w:t>
              </w:r>
            </w:hyperlink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Azure Policy disallowed resource types tutorial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Explains Allowed resource types and Not allowed resource types policies and their Deny effect.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Aptos" w:hAnsi="Aptos"/>
                <w:sz w:val="17"/>
              </w:rPr>
            </w:r>
            <w:hyperlink r:id="rId19">
              <w:r>
                <w:rPr>
                  <w:color w:val="0563C1"/>
                  <w:u w:val="single"/>
                </w:rPr>
                <w:t>Microsoft Learn</w:t>
              </w:r>
            </w:hyperlink>
          </w:p>
        </w:tc>
      </w:tr>
      <w:tr>
        <w:tc>
          <w:tcPr>
            <w:tcW w:type="dxa" w:w="3408"/>
            <w:vAlign w:val="top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Azure Policy effects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Aptos" w:hAnsi="Aptos"/>
                <w:sz w:val="17"/>
              </w:rPr>
            </w:r>
            <w:r>
              <w:rPr>
                <w:rFonts w:ascii="Aptos" w:hAnsi="Aptos"/>
                <w:b w:val="0"/>
                <w:sz w:val="17"/>
              </w:rPr>
              <w:t>Explains policy effects such as Deny and how policy evaluation determines behavior.</w:t>
            </w:r>
          </w:p>
        </w:tc>
        <w:tc>
          <w:tcPr>
            <w:tcW w:type="dxa" w:w="3408"/>
            <w:vAlign w:val="top"/>
          </w:tcPr>
          <w:p>
            <w:r>
              <w:rPr>
                <w:rFonts w:ascii="Aptos" w:hAnsi="Aptos"/>
                <w:sz w:val="17"/>
              </w:rPr>
            </w:r>
            <w:hyperlink r:id="rId20">
              <w:r>
                <w:rPr>
                  <w:color w:val="0563C1"/>
                  <w:u w:val="single"/>
                </w:rPr>
                <w:t>Microsoft Learn</w:t>
              </w:r>
            </w:hyperlink>
          </w:p>
        </w:tc>
      </w:tr>
    </w:tbl>
    <w:sectPr w:rsidR="00FC693F" w:rsidRPr="0006063C" w:rsidSect="00034616">
      <w:footerReference w:type="default" r:id="rId21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CSA Proposal - ADO WIF, Immutable SPNs, and AIB Guardrails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earn.microsoft.com/en-us/azure/devops/pipelines/library/connect-to-azure?view=azure-devops" TargetMode="External"/><Relationship Id="rId10" Type="http://schemas.openxmlformats.org/officeDocument/2006/relationships/hyperlink" Target="https://learn.microsoft.com/en-us/entra/workload-id/workload-identity-federation" TargetMode="External"/><Relationship Id="rId11" Type="http://schemas.openxmlformats.org/officeDocument/2006/relationships/hyperlink" Target="https://learn.microsoft.com/en-us/entra/identity-platform/howto-create-service-principal-portal" TargetMode="External"/><Relationship Id="rId12" Type="http://schemas.openxmlformats.org/officeDocument/2006/relationships/hyperlink" Target="https://learn.microsoft.com/en-us/azure/role-based-access-control/role-assignments-cli" TargetMode="External"/><Relationship Id="rId13" Type="http://schemas.openxmlformats.org/officeDocument/2006/relationships/hyperlink" Target="https://learn.microsoft.com/en-us/azure/devops/pipelines/library/service-endpoints?view=azure-devops" TargetMode="External"/><Relationship Id="rId14" Type="http://schemas.openxmlformats.org/officeDocument/2006/relationships/hyperlink" Target="https://learn.microsoft.com/en-us/azure/devops/pipelines/security/resources?view=azure-devops" TargetMode="External"/><Relationship Id="rId15" Type="http://schemas.openxmlformats.org/officeDocument/2006/relationships/hyperlink" Target="https://learn.microsoft.com/en-us/azure/virtual-machines/image-builder-overview" TargetMode="External"/><Relationship Id="rId16" Type="http://schemas.openxmlformats.org/officeDocument/2006/relationships/hyperlink" Target="https://learn.microsoft.com/en-us/azure/virtual-machines/linux/image-builder-permissions-cli" TargetMode="External"/><Relationship Id="rId17" Type="http://schemas.openxmlformats.org/officeDocument/2006/relationships/hyperlink" Target="https://learn.microsoft.com/en-us/azure/virtual-machines/image-builder-triggers-how-to" TargetMode="External"/><Relationship Id="rId18" Type="http://schemas.openxmlformats.org/officeDocument/2006/relationships/hyperlink" Target="https://learn.microsoft.com/en-us/azure/role-based-access-control/role-definitions" TargetMode="External"/><Relationship Id="rId19" Type="http://schemas.openxmlformats.org/officeDocument/2006/relationships/hyperlink" Target="https://learn.microsoft.com/en-us/azure/governance/policy/tutorials/disallowed-resources" TargetMode="External"/><Relationship Id="rId20" Type="http://schemas.openxmlformats.org/officeDocument/2006/relationships/hyperlink" Target="https://learn.microsoft.com/en-us/azure/governance/policy/concepts/effect-basics" TargetMode="External"/><Relationship Id="rId2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