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3895A" w14:textId="77777777" w:rsidR="00EA3024" w:rsidRPr="00A85AE3" w:rsidRDefault="00EA3024" w:rsidP="00EA3024">
      <w:pPr>
        <w:jc w:val="both"/>
        <w:rPr>
          <w:b/>
          <w:bCs/>
        </w:rPr>
      </w:pPr>
      <w:r w:rsidRPr="00A85AE3">
        <w:rPr>
          <w:b/>
          <w:bCs/>
        </w:rPr>
        <w:t>4. Experimental Result &amp; Discussion</w:t>
      </w:r>
    </w:p>
    <w:p w14:paraId="2F43D6C0" w14:textId="173CEF69" w:rsidR="00EA3024" w:rsidRDefault="00EA3024" w:rsidP="00EA3024">
      <w:pPr>
        <w:jc w:val="both"/>
      </w:pPr>
      <w:r>
        <w:t xml:space="preserve">In the course of the experiment, the proposed meta model has been experimented with the open access data from Stock Bangladesh </w:t>
      </w:r>
      <w:r w:rsidR="00A85AE3">
        <w:t>[1</w:t>
      </w:r>
      <w:r>
        <w:t>].</w:t>
      </w:r>
      <w:r w:rsidR="004E683F">
        <w:t xml:space="preserve"> </w:t>
      </w:r>
      <w:r>
        <w:t>This experimental design was employed to evaluate proposed meta model.</w:t>
      </w:r>
    </w:p>
    <w:p w14:paraId="4EEB1E29" w14:textId="77777777" w:rsidR="00EA3024" w:rsidRPr="00A85AE3" w:rsidRDefault="00EA3024" w:rsidP="00EA3024">
      <w:pPr>
        <w:jc w:val="both"/>
        <w:rPr>
          <w:b/>
          <w:bCs/>
        </w:rPr>
      </w:pPr>
      <w:r w:rsidRPr="00A85AE3">
        <w:rPr>
          <w:b/>
          <w:bCs/>
        </w:rPr>
        <w:t>4.1. Experimental Setup</w:t>
      </w:r>
    </w:p>
    <w:p w14:paraId="7F48EA80" w14:textId="2CF0DDEB" w:rsidR="00EA3024" w:rsidRDefault="00EA3024" w:rsidP="00EA3024">
      <w:pPr>
        <w:jc w:val="both"/>
      </w:pPr>
      <w:r>
        <w:t>To experiment the overall model the following materials are required.</w:t>
      </w:r>
    </w:p>
    <w:p w14:paraId="6635F191" w14:textId="402A57C5" w:rsidR="005D7043" w:rsidRDefault="00E104B2" w:rsidP="00A85AE3">
      <w:pPr>
        <w:jc w:val="both"/>
      </w:pPr>
      <w:r w:rsidRPr="00A85AE3">
        <w:rPr>
          <w:b/>
          <w:bCs/>
        </w:rPr>
        <w:t>Python:</w:t>
      </w:r>
      <w:r w:rsidR="00A85AE3">
        <w:t xml:space="preserve"> </w:t>
      </w:r>
      <w:r>
        <w:t>Python is the fastest-growing well-known programming language for built-in support for scientific computing as well as in the field of research and development works. Python has a wide variety of libraries like NumPy, SciPy, Pandas, and matplotlib which are extremely optimized, well documented and easy to compute. Most importantly it has strong support for data preprocessing and to better handle the data deluge.</w:t>
      </w:r>
    </w:p>
    <w:p w14:paraId="59552543" w14:textId="547938AF" w:rsidR="00D70150" w:rsidRDefault="00732D58" w:rsidP="00194482">
      <w:pPr>
        <w:jc w:val="both"/>
      </w:pPr>
      <w:proofErr w:type="spellStart"/>
      <w:r w:rsidRPr="00A85AE3">
        <w:rPr>
          <w:b/>
          <w:bCs/>
        </w:rPr>
        <w:t>Jupyter</w:t>
      </w:r>
      <w:proofErr w:type="spellEnd"/>
      <w:r w:rsidRPr="00A85AE3">
        <w:rPr>
          <w:b/>
          <w:bCs/>
        </w:rPr>
        <w:t xml:space="preserve"> </w:t>
      </w:r>
      <w:proofErr w:type="gramStart"/>
      <w:r w:rsidRPr="00A85AE3">
        <w:rPr>
          <w:b/>
          <w:bCs/>
        </w:rPr>
        <w:t>Notebook</w:t>
      </w:r>
      <w:r>
        <w:t xml:space="preserve"> :</w:t>
      </w:r>
      <w:r w:rsidR="006A2A88">
        <w:t>To</w:t>
      </w:r>
      <w:proofErr w:type="gramEnd"/>
      <w:r w:rsidR="006A2A88">
        <w:t xml:space="preserve"> work with </w:t>
      </w:r>
      <w:r>
        <w:t>python,</w:t>
      </w:r>
      <w:r w:rsidR="006A2A88">
        <w:t xml:space="preserve"> </w:t>
      </w:r>
      <w:r>
        <w:t>we</w:t>
      </w:r>
      <w:r w:rsidR="006A2A88">
        <w:t xml:space="preserve"> used </w:t>
      </w:r>
      <w:proofErr w:type="spellStart"/>
      <w:r w:rsidRPr="00732D58">
        <w:t>Jupyter</w:t>
      </w:r>
      <w:proofErr w:type="spellEnd"/>
      <w:r w:rsidRPr="00732D58">
        <w:t xml:space="preserve"> Notebook</w:t>
      </w:r>
      <w:r>
        <w:t xml:space="preserve"> </w:t>
      </w:r>
      <w:r w:rsidR="006A2A88">
        <w:t xml:space="preserve">as </w:t>
      </w:r>
      <w:r>
        <w:t>an IDE</w:t>
      </w:r>
      <w:r w:rsidR="006A2A88">
        <w:t xml:space="preserve"> which is an open-source web </w:t>
      </w:r>
      <w:r>
        <w:t>application. It</w:t>
      </w:r>
      <w:r w:rsidR="006A2A88">
        <w:t xml:space="preserve"> is extremely useful for data </w:t>
      </w:r>
      <w:r>
        <w:t>cleaning,</w:t>
      </w:r>
      <w:r w:rsidR="006A2A88">
        <w:t xml:space="preserve"> transformation, numerical simulation, statistical modeling</w:t>
      </w:r>
      <w:r>
        <w:t xml:space="preserve"> and </w:t>
      </w:r>
      <w:r w:rsidR="006A2A88">
        <w:t xml:space="preserve">data visualization. Alongside it allows us to write expressive code, present </w:t>
      </w:r>
      <w:r>
        <w:t>our findings</w:t>
      </w:r>
      <w:r w:rsidR="006A2A88">
        <w:t xml:space="preserve"> and embed results/graphs in the same document as with code.</w:t>
      </w:r>
    </w:p>
    <w:p w14:paraId="5FFEFD73" w14:textId="2A564543" w:rsidR="00045BD8" w:rsidRPr="00045BD8" w:rsidRDefault="00045BD8" w:rsidP="00045BD8">
      <w:pPr>
        <w:jc w:val="both"/>
        <w:rPr>
          <w:rFonts w:cstheme="minorHAnsi"/>
        </w:rPr>
      </w:pPr>
      <w:r w:rsidRPr="00A85AE3">
        <w:rPr>
          <w:rFonts w:cstheme="minorHAnsi"/>
          <w:b/>
          <w:bCs/>
        </w:rPr>
        <w:t>Workstation</w:t>
      </w:r>
      <w:r>
        <w:rPr>
          <w:rFonts w:cstheme="minorHAnsi"/>
        </w:rPr>
        <w:t xml:space="preserve">: </w:t>
      </w:r>
      <w:r w:rsidRPr="00045BD8">
        <w:rPr>
          <w:rFonts w:eastAsia="Gulliver" w:cstheme="minorHAnsi"/>
          <w:color w:val="000000"/>
        </w:rPr>
        <w:t xml:space="preserve">In the time of experiment the workstation configuration was: </w:t>
      </w:r>
    </w:p>
    <w:p w14:paraId="544E0D27" w14:textId="7BEABEAC" w:rsidR="00045BD8" w:rsidRPr="00045BD8" w:rsidRDefault="00045BD8" w:rsidP="00045BD8">
      <w:pPr>
        <w:pStyle w:val="Normal1"/>
        <w:numPr>
          <w:ilvl w:val="0"/>
          <w:numId w:val="1"/>
        </w:numPr>
        <w:pBdr>
          <w:top w:val="nil"/>
          <w:left w:val="nil"/>
          <w:bottom w:val="nil"/>
          <w:right w:val="nil"/>
          <w:between w:val="nil"/>
        </w:pBdr>
        <w:spacing w:line="220" w:lineRule="exact"/>
        <w:ind w:left="360" w:firstLine="180"/>
        <w:jc w:val="both"/>
        <w:rPr>
          <w:rFonts w:asciiTheme="minorHAnsi" w:eastAsia="Gulliver" w:hAnsiTheme="minorHAnsi" w:cstheme="minorHAnsi"/>
          <w:color w:val="000000"/>
          <w:sz w:val="22"/>
          <w:szCs w:val="22"/>
        </w:rPr>
      </w:pPr>
      <w:r w:rsidRPr="00045BD8">
        <w:rPr>
          <w:rFonts w:asciiTheme="minorHAnsi" w:eastAsia="Gulliver" w:hAnsiTheme="minorHAnsi" w:cstheme="minorHAnsi"/>
          <w:color w:val="000000"/>
          <w:sz w:val="22"/>
          <w:szCs w:val="22"/>
        </w:rPr>
        <w:t xml:space="preserve">Operating System: </w:t>
      </w:r>
      <w:r w:rsidR="0038329F">
        <w:rPr>
          <w:rFonts w:asciiTheme="minorHAnsi" w:eastAsia="Gulliver" w:hAnsiTheme="minorHAnsi" w:cstheme="minorHAnsi"/>
          <w:color w:val="000000"/>
          <w:sz w:val="22"/>
          <w:szCs w:val="22"/>
        </w:rPr>
        <w:t>Windows 10 Enterprise</w:t>
      </w:r>
    </w:p>
    <w:p w14:paraId="515B82FC" w14:textId="6FFB4C73" w:rsidR="00045BD8" w:rsidRPr="00045BD8" w:rsidRDefault="00045BD8" w:rsidP="00045BD8">
      <w:pPr>
        <w:pStyle w:val="Normal1"/>
        <w:numPr>
          <w:ilvl w:val="0"/>
          <w:numId w:val="1"/>
        </w:numPr>
        <w:pBdr>
          <w:top w:val="nil"/>
          <w:left w:val="nil"/>
          <w:bottom w:val="nil"/>
          <w:right w:val="nil"/>
          <w:between w:val="nil"/>
        </w:pBdr>
        <w:spacing w:line="220" w:lineRule="exact"/>
        <w:ind w:left="360" w:firstLine="180"/>
        <w:jc w:val="both"/>
        <w:rPr>
          <w:rFonts w:asciiTheme="minorHAnsi" w:eastAsia="Gulliver" w:hAnsiTheme="minorHAnsi" w:cstheme="minorHAnsi"/>
          <w:color w:val="000000"/>
          <w:sz w:val="22"/>
          <w:szCs w:val="22"/>
        </w:rPr>
      </w:pPr>
      <w:r w:rsidRPr="00045BD8">
        <w:rPr>
          <w:rFonts w:asciiTheme="minorHAnsi" w:eastAsia="Gulliver" w:hAnsiTheme="minorHAnsi" w:cstheme="minorHAnsi"/>
          <w:color w:val="000000"/>
          <w:sz w:val="22"/>
          <w:szCs w:val="22"/>
        </w:rPr>
        <w:t xml:space="preserve">Processor: </w:t>
      </w:r>
      <w:r>
        <w:rPr>
          <w:rFonts w:asciiTheme="minorHAnsi" w:eastAsia="Gulliver" w:hAnsiTheme="minorHAnsi" w:cstheme="minorHAnsi"/>
          <w:color w:val="000000"/>
          <w:sz w:val="22"/>
          <w:szCs w:val="22"/>
        </w:rPr>
        <w:t>Intel(R) Core</w:t>
      </w:r>
      <w:r w:rsidR="0038329F">
        <w:rPr>
          <w:rFonts w:asciiTheme="minorHAnsi" w:eastAsia="Gulliver" w:hAnsiTheme="minorHAnsi" w:cstheme="minorHAnsi"/>
          <w:color w:val="000000"/>
          <w:sz w:val="22"/>
          <w:szCs w:val="22"/>
        </w:rPr>
        <w:t xml:space="preserve"> </w:t>
      </w:r>
      <w:r>
        <w:rPr>
          <w:rFonts w:asciiTheme="minorHAnsi" w:eastAsia="Gulliver" w:hAnsiTheme="minorHAnsi" w:cstheme="minorHAnsi"/>
          <w:color w:val="000000"/>
          <w:sz w:val="22"/>
          <w:szCs w:val="22"/>
        </w:rPr>
        <w:t>(TM)</w:t>
      </w:r>
      <w:r w:rsidR="0038329F">
        <w:rPr>
          <w:rFonts w:asciiTheme="minorHAnsi" w:eastAsia="Gulliver" w:hAnsiTheme="minorHAnsi" w:cstheme="minorHAnsi"/>
          <w:color w:val="000000"/>
          <w:sz w:val="22"/>
          <w:szCs w:val="22"/>
        </w:rPr>
        <w:t xml:space="preserve"> i5-7200U CPU @ 2.50GHz</w:t>
      </w:r>
    </w:p>
    <w:p w14:paraId="3EBCD404" w14:textId="43B5B142" w:rsidR="00045BD8" w:rsidRPr="00045BD8" w:rsidRDefault="00045BD8" w:rsidP="00045BD8">
      <w:pPr>
        <w:pStyle w:val="Normal1"/>
        <w:numPr>
          <w:ilvl w:val="0"/>
          <w:numId w:val="1"/>
        </w:numPr>
        <w:pBdr>
          <w:top w:val="nil"/>
          <w:left w:val="nil"/>
          <w:bottom w:val="nil"/>
          <w:right w:val="nil"/>
          <w:between w:val="nil"/>
        </w:pBdr>
        <w:spacing w:line="220" w:lineRule="exact"/>
        <w:ind w:left="360" w:firstLine="180"/>
        <w:jc w:val="both"/>
        <w:rPr>
          <w:rFonts w:asciiTheme="minorHAnsi" w:eastAsia="Gulliver" w:hAnsiTheme="minorHAnsi" w:cstheme="minorHAnsi"/>
          <w:color w:val="000000"/>
          <w:sz w:val="22"/>
          <w:szCs w:val="22"/>
        </w:rPr>
      </w:pPr>
      <w:r w:rsidRPr="00045BD8">
        <w:rPr>
          <w:rFonts w:asciiTheme="minorHAnsi" w:eastAsia="Gulliver" w:hAnsiTheme="minorHAnsi" w:cstheme="minorHAnsi"/>
          <w:color w:val="000000"/>
          <w:sz w:val="22"/>
          <w:szCs w:val="22"/>
        </w:rPr>
        <w:t xml:space="preserve">Memory: </w:t>
      </w:r>
      <w:r w:rsidR="0038329F">
        <w:rPr>
          <w:rFonts w:asciiTheme="minorHAnsi" w:eastAsia="Gulliver" w:hAnsiTheme="minorHAnsi" w:cstheme="minorHAnsi"/>
          <w:color w:val="000000"/>
          <w:sz w:val="22"/>
          <w:szCs w:val="22"/>
        </w:rPr>
        <w:t>8</w:t>
      </w:r>
      <w:r w:rsidRPr="00045BD8">
        <w:rPr>
          <w:rFonts w:asciiTheme="minorHAnsi" w:eastAsia="Gulliver" w:hAnsiTheme="minorHAnsi" w:cstheme="minorHAnsi"/>
          <w:color w:val="000000"/>
          <w:sz w:val="22"/>
          <w:szCs w:val="22"/>
        </w:rPr>
        <w:t xml:space="preserve"> GB DDR3</w:t>
      </w:r>
    </w:p>
    <w:p w14:paraId="6D1E6874" w14:textId="4A6120F1" w:rsidR="00045BD8" w:rsidRPr="00045BD8" w:rsidRDefault="00045BD8" w:rsidP="00045BD8">
      <w:pPr>
        <w:pStyle w:val="Normal1"/>
        <w:numPr>
          <w:ilvl w:val="0"/>
          <w:numId w:val="1"/>
        </w:numPr>
        <w:pBdr>
          <w:top w:val="nil"/>
          <w:left w:val="nil"/>
          <w:bottom w:val="nil"/>
          <w:right w:val="nil"/>
          <w:between w:val="nil"/>
        </w:pBdr>
        <w:spacing w:line="220" w:lineRule="exact"/>
        <w:ind w:left="360" w:firstLine="180"/>
        <w:jc w:val="both"/>
        <w:rPr>
          <w:rFonts w:asciiTheme="minorHAnsi" w:eastAsia="Gulliver" w:hAnsiTheme="minorHAnsi" w:cstheme="minorHAnsi"/>
          <w:color w:val="000000"/>
          <w:sz w:val="22"/>
          <w:szCs w:val="22"/>
        </w:rPr>
      </w:pPr>
      <w:r w:rsidRPr="00045BD8">
        <w:rPr>
          <w:rFonts w:asciiTheme="minorHAnsi" w:eastAsia="Gulliver" w:hAnsiTheme="minorHAnsi" w:cstheme="minorHAnsi"/>
          <w:color w:val="000000"/>
          <w:sz w:val="22"/>
          <w:szCs w:val="22"/>
        </w:rPr>
        <w:t xml:space="preserve">Secondary Storage: SSD </w:t>
      </w:r>
      <w:r w:rsidR="0038329F">
        <w:rPr>
          <w:rFonts w:asciiTheme="minorHAnsi" w:eastAsia="Gulliver" w:hAnsiTheme="minorHAnsi" w:cstheme="minorHAnsi"/>
          <w:color w:val="000000"/>
          <w:sz w:val="22"/>
          <w:szCs w:val="22"/>
        </w:rPr>
        <w:t>224</w:t>
      </w:r>
      <w:r w:rsidRPr="00045BD8">
        <w:rPr>
          <w:rFonts w:asciiTheme="minorHAnsi" w:eastAsia="Gulliver" w:hAnsiTheme="minorHAnsi" w:cstheme="minorHAnsi"/>
          <w:color w:val="000000"/>
          <w:sz w:val="22"/>
          <w:szCs w:val="22"/>
        </w:rPr>
        <w:t>GB (Flash Storage)</w:t>
      </w:r>
    </w:p>
    <w:p w14:paraId="429A2386" w14:textId="2C5E080B" w:rsidR="00045BD8" w:rsidRPr="00045BD8" w:rsidRDefault="00045BD8" w:rsidP="00045BD8">
      <w:pPr>
        <w:pStyle w:val="Normal1"/>
        <w:numPr>
          <w:ilvl w:val="0"/>
          <w:numId w:val="1"/>
        </w:numPr>
        <w:pBdr>
          <w:top w:val="nil"/>
          <w:left w:val="nil"/>
          <w:bottom w:val="nil"/>
          <w:right w:val="nil"/>
          <w:between w:val="nil"/>
        </w:pBdr>
        <w:spacing w:line="220" w:lineRule="exact"/>
        <w:ind w:left="360" w:firstLine="180"/>
        <w:jc w:val="both"/>
        <w:rPr>
          <w:rFonts w:asciiTheme="minorHAnsi" w:eastAsia="Gulliver" w:hAnsiTheme="minorHAnsi" w:cstheme="minorHAnsi"/>
          <w:color w:val="000000"/>
          <w:sz w:val="22"/>
          <w:szCs w:val="22"/>
        </w:rPr>
      </w:pPr>
      <w:r w:rsidRPr="00045BD8">
        <w:rPr>
          <w:rFonts w:asciiTheme="minorHAnsi" w:eastAsia="Gulliver" w:hAnsiTheme="minorHAnsi" w:cstheme="minorHAnsi"/>
          <w:color w:val="000000"/>
          <w:sz w:val="22"/>
          <w:szCs w:val="22"/>
        </w:rPr>
        <w:t>Graphics: Intel</w:t>
      </w:r>
      <w:r>
        <w:rPr>
          <w:rFonts w:asciiTheme="minorHAnsi" w:eastAsia="Gulliver" w:hAnsiTheme="minorHAnsi" w:cstheme="minorHAnsi"/>
          <w:color w:val="000000"/>
          <w:sz w:val="22"/>
          <w:szCs w:val="22"/>
        </w:rPr>
        <w:t xml:space="preserve">(R) </w:t>
      </w:r>
      <w:r w:rsidRPr="00045BD8">
        <w:rPr>
          <w:rFonts w:asciiTheme="minorHAnsi" w:eastAsia="Gulliver" w:hAnsiTheme="minorHAnsi" w:cstheme="minorHAnsi"/>
          <w:color w:val="000000"/>
          <w:sz w:val="22"/>
          <w:szCs w:val="22"/>
        </w:rPr>
        <w:t>HD Graphics 6</w:t>
      </w:r>
      <w:r>
        <w:rPr>
          <w:rFonts w:asciiTheme="minorHAnsi" w:eastAsia="Gulliver" w:hAnsiTheme="minorHAnsi" w:cstheme="minorHAnsi"/>
          <w:color w:val="000000"/>
          <w:sz w:val="22"/>
          <w:szCs w:val="22"/>
        </w:rPr>
        <w:t>20</w:t>
      </w:r>
      <w:r w:rsidRPr="00045BD8">
        <w:rPr>
          <w:rFonts w:asciiTheme="minorHAnsi" w:eastAsia="Gulliver" w:hAnsiTheme="minorHAnsi" w:cstheme="minorHAnsi"/>
          <w:color w:val="000000"/>
          <w:sz w:val="22"/>
          <w:szCs w:val="22"/>
        </w:rPr>
        <w:t xml:space="preserve"> </w:t>
      </w:r>
      <w:r>
        <w:rPr>
          <w:rFonts w:asciiTheme="minorHAnsi" w:eastAsia="Gulliver" w:hAnsiTheme="minorHAnsi" w:cstheme="minorHAnsi"/>
          <w:color w:val="000000"/>
          <w:sz w:val="22"/>
          <w:szCs w:val="22"/>
        </w:rPr>
        <w:t>8073</w:t>
      </w:r>
      <w:r w:rsidRPr="00045BD8">
        <w:rPr>
          <w:rFonts w:asciiTheme="minorHAnsi" w:eastAsia="Gulliver" w:hAnsiTheme="minorHAnsi" w:cstheme="minorHAnsi"/>
          <w:color w:val="000000"/>
          <w:sz w:val="22"/>
          <w:szCs w:val="22"/>
        </w:rPr>
        <w:t xml:space="preserve"> MB</w:t>
      </w:r>
    </w:p>
    <w:p w14:paraId="0339EB28" w14:textId="77777777" w:rsidR="00045BD8" w:rsidRDefault="00045BD8" w:rsidP="00194482">
      <w:pPr>
        <w:jc w:val="both"/>
      </w:pPr>
    </w:p>
    <w:p w14:paraId="10EDCA89" w14:textId="77777777" w:rsidR="00A93848" w:rsidRDefault="00A93848" w:rsidP="00C67224">
      <w:pPr>
        <w:jc w:val="both"/>
      </w:pPr>
    </w:p>
    <w:p w14:paraId="1DBAF1F2" w14:textId="7E288C20" w:rsidR="00A85AE3" w:rsidRPr="002C6ED1" w:rsidRDefault="00A85AE3" w:rsidP="00C67224">
      <w:pPr>
        <w:jc w:val="both"/>
        <w:rPr>
          <w:b/>
          <w:bCs/>
          <w:sz w:val="16"/>
          <w:szCs w:val="16"/>
        </w:rPr>
        <w:sectPr w:rsidR="00A85AE3" w:rsidRPr="002C6ED1" w:rsidSect="003061AF">
          <w:pgSz w:w="12240" w:h="15840"/>
          <w:pgMar w:top="1440" w:right="1440" w:bottom="1440" w:left="1440" w:header="720" w:footer="720" w:gutter="0"/>
          <w:cols w:space="720"/>
          <w:docGrid w:linePitch="360"/>
        </w:sectPr>
      </w:pPr>
      <w:r w:rsidRPr="002C6ED1">
        <w:rPr>
          <w:b/>
          <w:bCs/>
        </w:rPr>
        <w:t>4.2. Dataset</w:t>
      </w:r>
    </w:p>
    <w:p w14:paraId="057A0178" w14:textId="1F3638AA" w:rsidR="00A93848" w:rsidRPr="00A93848" w:rsidRDefault="00777082" w:rsidP="00A93848">
      <w:pPr>
        <w:jc w:val="both"/>
      </w:pPr>
      <w:r w:rsidRPr="00A93848">
        <w:t xml:space="preserve">We collected the stock price data </w:t>
      </w:r>
      <w:r w:rsidR="00C67224" w:rsidRPr="00A93848">
        <w:t>form an</w:t>
      </w:r>
      <w:r w:rsidRPr="00A93848">
        <w:t xml:space="preserve"> open source website Stock </w:t>
      </w:r>
      <w:proofErr w:type="gramStart"/>
      <w:r w:rsidRPr="00A93848">
        <w:t>Bangladesh</w:t>
      </w:r>
      <w:r w:rsidR="00A85AE3">
        <w:t>[</w:t>
      </w:r>
      <w:proofErr w:type="gramEnd"/>
      <w:r w:rsidR="00A85AE3">
        <w:t>1]</w:t>
      </w:r>
      <w:r w:rsidRPr="00A93848">
        <w:t>.</w:t>
      </w:r>
      <w:r w:rsidR="00C67224" w:rsidRPr="00A93848">
        <w:t xml:space="preserve"> </w:t>
      </w:r>
      <w:r w:rsidRPr="00A93848">
        <w:t>This website contains the historical stock price data of all the companies listed in Dhaka Stock Exchange.</w:t>
      </w:r>
      <w:r w:rsidR="00C67224" w:rsidRPr="00A93848">
        <w:t xml:space="preserve"> This historical data includes financial statements of different sectors like: Insurance, Telecommunication, Ceramics, </w:t>
      </w:r>
      <w:r w:rsidR="00A93848" w:rsidRPr="00A93848">
        <w:t>Engineering,</w:t>
      </w:r>
      <w:r w:rsidR="00C67224" w:rsidRPr="00A93848">
        <w:t xml:space="preserve"> </w:t>
      </w:r>
      <w:r w:rsidR="00A93848" w:rsidRPr="00A93848">
        <w:t>Cement, Tannery</w:t>
      </w:r>
      <w:r w:rsidR="00C67224" w:rsidRPr="00A93848">
        <w:t>, Textiles, Travel etc.</w:t>
      </w:r>
    </w:p>
    <w:p w14:paraId="47B92F36" w14:textId="45F68667" w:rsidR="005A3CF0" w:rsidRDefault="00777082" w:rsidP="005A3CF0">
      <w:pPr>
        <w:jc w:val="both"/>
      </w:pPr>
      <w:r w:rsidRPr="00A93848">
        <w:t>We</w:t>
      </w:r>
      <w:r w:rsidR="00C67224" w:rsidRPr="00A93848">
        <w:t xml:space="preserve"> </w:t>
      </w:r>
      <w:r w:rsidRPr="00A93848">
        <w:t xml:space="preserve">have collected the price data of many popular </w:t>
      </w:r>
      <w:r w:rsidR="00EA3024" w:rsidRPr="00A93848">
        <w:t>Bangladeshi</w:t>
      </w:r>
      <w:r w:rsidRPr="00A93848">
        <w:t xml:space="preserve"> company like</w:t>
      </w:r>
      <w:r w:rsidR="00C67224" w:rsidRPr="00A93848">
        <w:t xml:space="preserve">:  Prime </w:t>
      </w:r>
      <w:r w:rsidR="00A93848" w:rsidRPr="00A93848">
        <w:t xml:space="preserve">Bank, </w:t>
      </w:r>
      <w:proofErr w:type="spellStart"/>
      <w:r w:rsidR="00A93848" w:rsidRPr="00A93848">
        <w:t>Saif</w:t>
      </w:r>
      <w:proofErr w:type="spellEnd"/>
      <w:r w:rsidR="00C67224" w:rsidRPr="00A93848">
        <w:t xml:space="preserve"> </w:t>
      </w:r>
      <w:r w:rsidR="00A93848" w:rsidRPr="00A93848">
        <w:t>Power, South</w:t>
      </w:r>
      <w:r w:rsidR="00C67224" w:rsidRPr="00A93848">
        <w:t xml:space="preserve"> East, BBS Cables, </w:t>
      </w:r>
      <w:proofErr w:type="spellStart"/>
      <w:r w:rsidR="00C67224" w:rsidRPr="00A93848">
        <w:t>Nploymar</w:t>
      </w:r>
      <w:proofErr w:type="spellEnd"/>
      <w:r w:rsidR="00C67224" w:rsidRPr="00A93848">
        <w:t xml:space="preserve">, </w:t>
      </w:r>
      <w:proofErr w:type="spellStart"/>
      <w:r w:rsidR="00C67224" w:rsidRPr="00A93848">
        <w:t>Aramit</w:t>
      </w:r>
      <w:proofErr w:type="spellEnd"/>
      <w:r w:rsidR="00C67224" w:rsidRPr="00A93848">
        <w:t xml:space="preserve"> Cement, Linde Bangladesh Limited, </w:t>
      </w:r>
      <w:r w:rsidR="00EA3024" w:rsidRPr="00A93848">
        <w:t>Grameenphone</w:t>
      </w:r>
      <w:r w:rsidR="00A93848" w:rsidRPr="00A93848">
        <w:t>, Dutch</w:t>
      </w:r>
      <w:r w:rsidR="00C67224" w:rsidRPr="00A93848">
        <w:t xml:space="preserve"> Bangla Bank Limited (</w:t>
      </w:r>
      <w:r w:rsidR="00A93848" w:rsidRPr="00A93848">
        <w:t>DBBL), Rahim</w:t>
      </w:r>
      <w:r w:rsidR="00C67224" w:rsidRPr="00A93848">
        <w:t xml:space="preserve"> </w:t>
      </w:r>
      <w:r w:rsidR="00EA3024" w:rsidRPr="00A93848">
        <w:t>Textile</w:t>
      </w:r>
      <w:r w:rsidR="00C67224" w:rsidRPr="00A93848">
        <w:t xml:space="preserve"> Company, Ibn </w:t>
      </w:r>
      <w:proofErr w:type="spellStart"/>
      <w:r w:rsidR="00C67224" w:rsidRPr="00A93848">
        <w:t>Sina</w:t>
      </w:r>
      <w:proofErr w:type="spellEnd"/>
      <w:r w:rsidR="00C67224" w:rsidRPr="00A93848">
        <w:t xml:space="preserve"> </w:t>
      </w:r>
      <w:proofErr w:type="spellStart"/>
      <w:r w:rsidR="00A93848" w:rsidRPr="00A93848">
        <w:t>etc</w:t>
      </w:r>
      <w:proofErr w:type="spellEnd"/>
      <w:r w:rsidR="00A93848" w:rsidRPr="00A93848">
        <w:t xml:space="preserve"> from 1st December 2018 to 25 December 2020.</w:t>
      </w:r>
      <w:r w:rsidR="00811A3E" w:rsidRPr="00811A3E">
        <w:t xml:space="preserve">Because of covid-19 </w:t>
      </w:r>
      <w:r w:rsidR="00080A77" w:rsidRPr="00811A3E">
        <w:t>pandemic</w:t>
      </w:r>
      <w:r w:rsidR="00811A3E" w:rsidRPr="00811A3E">
        <w:t xml:space="preserve"> the year 2019-2020 had been very challenging year for Bangladesh share market.</w:t>
      </w:r>
    </w:p>
    <w:p w14:paraId="06CD098E" w14:textId="715E3F8E" w:rsidR="005A3CF0" w:rsidRDefault="005A3CF0" w:rsidP="005A3CF0">
      <w:pPr>
        <w:jc w:val="both"/>
      </w:pPr>
      <w:r>
        <w:t>After collecting dataset, we have considered the close value as an indicator for divide the whole dataset into multiple ranges single dataset. Then from each single dataset we have extracted 10 companies’ data and convert it into individual single dataset. Later for each company, data from December 2018 to October 2020 used as the training dataset and November 2020 used as the test dataset.</w:t>
      </w:r>
    </w:p>
    <w:p w14:paraId="6DD044A4" w14:textId="01C9A604" w:rsidR="005A3CF0" w:rsidRDefault="005A3CF0" w:rsidP="00194482">
      <w:pPr>
        <w:jc w:val="both"/>
        <w:sectPr w:rsidR="005A3CF0" w:rsidSect="00A93848">
          <w:type w:val="continuous"/>
          <w:pgSz w:w="12240" w:h="15840"/>
          <w:pgMar w:top="1440" w:right="1440" w:bottom="1440" w:left="1440" w:header="720" w:footer="720" w:gutter="0"/>
          <w:cols w:space="720"/>
          <w:docGrid w:linePitch="360"/>
        </w:sectPr>
      </w:pPr>
    </w:p>
    <w:p w14:paraId="44F5483E" w14:textId="6F35B57F" w:rsidR="00A85AE3" w:rsidRDefault="00A85AE3" w:rsidP="00A85AE3">
      <w:pPr>
        <w:pStyle w:val="Caption"/>
        <w:keepNext/>
      </w:pPr>
    </w:p>
    <w:tbl>
      <w:tblPr>
        <w:tblStyle w:val="TableGrid"/>
        <w:tblpPr w:leftFromText="180" w:rightFromText="180" w:vertAnchor="text" w:horzAnchor="page" w:tblpX="2173" w:tblpY="1453"/>
        <w:tblW w:w="0" w:type="auto"/>
        <w:tblLook w:val="04A0" w:firstRow="1" w:lastRow="0" w:firstColumn="1" w:lastColumn="0" w:noHBand="0" w:noVBand="1"/>
      </w:tblPr>
      <w:tblGrid>
        <w:gridCol w:w="1606"/>
        <w:gridCol w:w="967"/>
        <w:gridCol w:w="967"/>
        <w:gridCol w:w="967"/>
        <w:gridCol w:w="967"/>
        <w:gridCol w:w="1039"/>
      </w:tblGrid>
      <w:tr w:rsidR="00CF5127" w:rsidRPr="00EA3024" w14:paraId="596637DC" w14:textId="77777777" w:rsidTr="00CF5127">
        <w:trPr>
          <w:trHeight w:val="286"/>
        </w:trPr>
        <w:tc>
          <w:tcPr>
            <w:tcW w:w="1606" w:type="dxa"/>
            <w:noWrap/>
          </w:tcPr>
          <w:p w14:paraId="4AD035AB" w14:textId="77777777" w:rsidR="00CF5127" w:rsidRPr="00EA3024" w:rsidRDefault="00CF5127" w:rsidP="00CF5127">
            <w:pPr>
              <w:jc w:val="both"/>
              <w:rPr>
                <w:b/>
                <w:bCs/>
              </w:rPr>
            </w:pPr>
            <w:r w:rsidRPr="00EA3024">
              <w:rPr>
                <w:b/>
                <w:bCs/>
              </w:rPr>
              <w:t>DATE</w:t>
            </w:r>
          </w:p>
        </w:tc>
        <w:tc>
          <w:tcPr>
            <w:tcW w:w="967" w:type="dxa"/>
            <w:noWrap/>
          </w:tcPr>
          <w:p w14:paraId="30A7CEE4" w14:textId="77777777" w:rsidR="00CF5127" w:rsidRPr="00EA3024" w:rsidRDefault="00CF5127" w:rsidP="00CF5127">
            <w:pPr>
              <w:jc w:val="both"/>
              <w:rPr>
                <w:b/>
                <w:bCs/>
              </w:rPr>
            </w:pPr>
            <w:r w:rsidRPr="00EA3024">
              <w:rPr>
                <w:b/>
                <w:bCs/>
              </w:rPr>
              <w:t>OPEN</w:t>
            </w:r>
          </w:p>
        </w:tc>
        <w:tc>
          <w:tcPr>
            <w:tcW w:w="967" w:type="dxa"/>
            <w:noWrap/>
          </w:tcPr>
          <w:p w14:paraId="30B8DEA4" w14:textId="77777777" w:rsidR="00CF5127" w:rsidRPr="00EA3024" w:rsidRDefault="00CF5127" w:rsidP="00CF5127">
            <w:pPr>
              <w:jc w:val="both"/>
              <w:rPr>
                <w:b/>
                <w:bCs/>
              </w:rPr>
            </w:pPr>
            <w:r w:rsidRPr="00EA3024">
              <w:rPr>
                <w:b/>
                <w:bCs/>
              </w:rPr>
              <w:t>HIGH</w:t>
            </w:r>
          </w:p>
        </w:tc>
        <w:tc>
          <w:tcPr>
            <w:tcW w:w="967" w:type="dxa"/>
            <w:noWrap/>
          </w:tcPr>
          <w:p w14:paraId="3F41FCF0" w14:textId="77777777" w:rsidR="00CF5127" w:rsidRPr="00EA3024" w:rsidRDefault="00CF5127" w:rsidP="00CF5127">
            <w:pPr>
              <w:jc w:val="both"/>
              <w:rPr>
                <w:b/>
                <w:bCs/>
              </w:rPr>
            </w:pPr>
            <w:r w:rsidRPr="00EA3024">
              <w:rPr>
                <w:b/>
                <w:bCs/>
              </w:rPr>
              <w:t>LOW</w:t>
            </w:r>
          </w:p>
        </w:tc>
        <w:tc>
          <w:tcPr>
            <w:tcW w:w="967" w:type="dxa"/>
            <w:noWrap/>
          </w:tcPr>
          <w:p w14:paraId="61916857" w14:textId="77777777" w:rsidR="00CF5127" w:rsidRPr="00EA3024" w:rsidRDefault="00CF5127" w:rsidP="00CF5127">
            <w:pPr>
              <w:jc w:val="both"/>
              <w:rPr>
                <w:b/>
                <w:bCs/>
              </w:rPr>
            </w:pPr>
            <w:r w:rsidRPr="00EA3024">
              <w:rPr>
                <w:b/>
                <w:bCs/>
              </w:rPr>
              <w:t>CLOSE</w:t>
            </w:r>
          </w:p>
        </w:tc>
        <w:tc>
          <w:tcPr>
            <w:tcW w:w="1039" w:type="dxa"/>
            <w:noWrap/>
          </w:tcPr>
          <w:p w14:paraId="225CB3B0" w14:textId="77777777" w:rsidR="00CF5127" w:rsidRPr="00EA3024" w:rsidRDefault="00CF5127" w:rsidP="00CF5127">
            <w:pPr>
              <w:jc w:val="both"/>
              <w:rPr>
                <w:b/>
                <w:bCs/>
              </w:rPr>
            </w:pPr>
            <w:r w:rsidRPr="00EA3024">
              <w:rPr>
                <w:b/>
                <w:bCs/>
              </w:rPr>
              <w:t>VOLUME</w:t>
            </w:r>
          </w:p>
        </w:tc>
      </w:tr>
      <w:tr w:rsidR="00CF5127" w:rsidRPr="00EA3024" w14:paraId="1ED3D516" w14:textId="77777777" w:rsidTr="00CF5127">
        <w:trPr>
          <w:trHeight w:val="286"/>
        </w:trPr>
        <w:tc>
          <w:tcPr>
            <w:tcW w:w="1606" w:type="dxa"/>
            <w:noWrap/>
            <w:hideMark/>
          </w:tcPr>
          <w:p w14:paraId="4179D35B" w14:textId="728411BD" w:rsidR="00CF5127" w:rsidRPr="00EA3024" w:rsidRDefault="00CF5127" w:rsidP="00CF5127">
            <w:pPr>
              <w:jc w:val="both"/>
            </w:pPr>
            <w:r w:rsidRPr="00EA3024">
              <w:t>1-</w:t>
            </w:r>
            <w:r w:rsidR="00114742">
              <w:t>10</w:t>
            </w:r>
            <w:r w:rsidRPr="00EA3024">
              <w:t>-19</w:t>
            </w:r>
          </w:p>
        </w:tc>
        <w:tc>
          <w:tcPr>
            <w:tcW w:w="967" w:type="dxa"/>
            <w:noWrap/>
            <w:hideMark/>
          </w:tcPr>
          <w:p w14:paraId="79AE1B21" w14:textId="77777777" w:rsidR="00CF5127" w:rsidRPr="00EA3024" w:rsidRDefault="00CF5127" w:rsidP="00CF5127">
            <w:pPr>
              <w:jc w:val="both"/>
            </w:pPr>
            <w:r w:rsidRPr="00EA3024">
              <w:t>72.36</w:t>
            </w:r>
          </w:p>
        </w:tc>
        <w:tc>
          <w:tcPr>
            <w:tcW w:w="967" w:type="dxa"/>
            <w:noWrap/>
            <w:hideMark/>
          </w:tcPr>
          <w:p w14:paraId="2753AF5C" w14:textId="77777777" w:rsidR="00CF5127" w:rsidRPr="00EA3024" w:rsidRDefault="00CF5127" w:rsidP="00CF5127">
            <w:pPr>
              <w:jc w:val="both"/>
            </w:pPr>
            <w:r w:rsidRPr="00EA3024">
              <w:t>73.36</w:t>
            </w:r>
          </w:p>
        </w:tc>
        <w:tc>
          <w:tcPr>
            <w:tcW w:w="967" w:type="dxa"/>
            <w:noWrap/>
            <w:hideMark/>
          </w:tcPr>
          <w:p w14:paraId="507B2554" w14:textId="77777777" w:rsidR="00CF5127" w:rsidRPr="00EA3024" w:rsidRDefault="00CF5127" w:rsidP="00CF5127">
            <w:pPr>
              <w:jc w:val="both"/>
            </w:pPr>
            <w:r w:rsidRPr="00EA3024">
              <w:t>71.27</w:t>
            </w:r>
          </w:p>
        </w:tc>
        <w:tc>
          <w:tcPr>
            <w:tcW w:w="967" w:type="dxa"/>
            <w:noWrap/>
            <w:hideMark/>
          </w:tcPr>
          <w:p w14:paraId="1F53D73E" w14:textId="77777777" w:rsidR="00CF5127" w:rsidRPr="00EA3024" w:rsidRDefault="00CF5127" w:rsidP="00CF5127">
            <w:pPr>
              <w:jc w:val="both"/>
            </w:pPr>
            <w:r w:rsidRPr="00EA3024">
              <w:t>72.45</w:t>
            </w:r>
          </w:p>
        </w:tc>
        <w:tc>
          <w:tcPr>
            <w:tcW w:w="1039" w:type="dxa"/>
            <w:noWrap/>
            <w:hideMark/>
          </w:tcPr>
          <w:p w14:paraId="6E752330" w14:textId="77777777" w:rsidR="00CF5127" w:rsidRPr="00EA3024" w:rsidRDefault="00CF5127" w:rsidP="00CF5127">
            <w:pPr>
              <w:jc w:val="both"/>
            </w:pPr>
            <w:r w:rsidRPr="00EA3024">
              <w:t>246105</w:t>
            </w:r>
          </w:p>
        </w:tc>
      </w:tr>
      <w:tr w:rsidR="00CF5127" w:rsidRPr="00EA3024" w14:paraId="4B4B123D" w14:textId="77777777" w:rsidTr="00CF5127">
        <w:trPr>
          <w:trHeight w:val="286"/>
        </w:trPr>
        <w:tc>
          <w:tcPr>
            <w:tcW w:w="1606" w:type="dxa"/>
            <w:noWrap/>
            <w:hideMark/>
          </w:tcPr>
          <w:p w14:paraId="3FA26F27" w14:textId="26F97062" w:rsidR="00CF5127" w:rsidRPr="00EA3024" w:rsidRDefault="00080A77" w:rsidP="00CF5127">
            <w:pPr>
              <w:jc w:val="both"/>
            </w:pPr>
            <w:r>
              <w:t>2</w:t>
            </w:r>
            <w:r w:rsidR="00CF5127" w:rsidRPr="00EA3024">
              <w:t>-</w:t>
            </w:r>
            <w:r w:rsidR="00114742">
              <w:t>10</w:t>
            </w:r>
            <w:r w:rsidR="00CF5127" w:rsidRPr="00EA3024">
              <w:t>-19</w:t>
            </w:r>
          </w:p>
        </w:tc>
        <w:tc>
          <w:tcPr>
            <w:tcW w:w="967" w:type="dxa"/>
            <w:noWrap/>
            <w:hideMark/>
          </w:tcPr>
          <w:p w14:paraId="558F13EB" w14:textId="77777777" w:rsidR="00CF5127" w:rsidRPr="00EA3024" w:rsidRDefault="00CF5127" w:rsidP="00CF5127">
            <w:pPr>
              <w:jc w:val="both"/>
            </w:pPr>
            <w:r w:rsidRPr="00EA3024">
              <w:t>72.82</w:t>
            </w:r>
          </w:p>
        </w:tc>
        <w:tc>
          <w:tcPr>
            <w:tcW w:w="967" w:type="dxa"/>
            <w:noWrap/>
            <w:hideMark/>
          </w:tcPr>
          <w:p w14:paraId="6CFBF5A9" w14:textId="77777777" w:rsidR="00CF5127" w:rsidRPr="00EA3024" w:rsidRDefault="00CF5127" w:rsidP="00CF5127">
            <w:pPr>
              <w:jc w:val="both"/>
            </w:pPr>
            <w:r w:rsidRPr="00EA3024">
              <w:t>72.91</w:t>
            </w:r>
          </w:p>
        </w:tc>
        <w:tc>
          <w:tcPr>
            <w:tcW w:w="967" w:type="dxa"/>
            <w:noWrap/>
            <w:hideMark/>
          </w:tcPr>
          <w:p w14:paraId="190C45B0" w14:textId="77777777" w:rsidR="00CF5127" w:rsidRPr="00EA3024" w:rsidRDefault="00CF5127" w:rsidP="00CF5127">
            <w:pPr>
              <w:jc w:val="both"/>
            </w:pPr>
            <w:r w:rsidRPr="00EA3024">
              <w:t>71.91</w:t>
            </w:r>
          </w:p>
        </w:tc>
        <w:tc>
          <w:tcPr>
            <w:tcW w:w="967" w:type="dxa"/>
            <w:noWrap/>
            <w:hideMark/>
          </w:tcPr>
          <w:p w14:paraId="06DA3CFE" w14:textId="77777777" w:rsidR="00CF5127" w:rsidRPr="00EA3024" w:rsidRDefault="00CF5127" w:rsidP="00CF5127">
            <w:pPr>
              <w:jc w:val="both"/>
            </w:pPr>
            <w:r w:rsidRPr="00EA3024">
              <w:t>72.18</w:t>
            </w:r>
          </w:p>
        </w:tc>
        <w:tc>
          <w:tcPr>
            <w:tcW w:w="1039" w:type="dxa"/>
            <w:noWrap/>
            <w:hideMark/>
          </w:tcPr>
          <w:p w14:paraId="7D629DC2" w14:textId="77777777" w:rsidR="00CF5127" w:rsidRPr="00EA3024" w:rsidRDefault="00CF5127" w:rsidP="00CF5127">
            <w:pPr>
              <w:jc w:val="both"/>
            </w:pPr>
            <w:r w:rsidRPr="00EA3024">
              <w:t>182444</w:t>
            </w:r>
          </w:p>
        </w:tc>
      </w:tr>
      <w:tr w:rsidR="00CF5127" w:rsidRPr="00EA3024" w14:paraId="7301C885" w14:textId="77777777" w:rsidTr="00CF5127">
        <w:trPr>
          <w:trHeight w:val="286"/>
        </w:trPr>
        <w:tc>
          <w:tcPr>
            <w:tcW w:w="1606" w:type="dxa"/>
            <w:noWrap/>
            <w:hideMark/>
          </w:tcPr>
          <w:p w14:paraId="1A078441" w14:textId="1FA2529B" w:rsidR="00CF5127" w:rsidRPr="00EA3024" w:rsidRDefault="00080A77" w:rsidP="00CF5127">
            <w:pPr>
              <w:jc w:val="both"/>
            </w:pPr>
            <w:r>
              <w:t>3</w:t>
            </w:r>
            <w:r w:rsidR="00CF5127" w:rsidRPr="00EA3024">
              <w:t>-</w:t>
            </w:r>
            <w:r w:rsidR="00114742">
              <w:t>10</w:t>
            </w:r>
            <w:r w:rsidR="00CF5127" w:rsidRPr="00EA3024">
              <w:t>-19</w:t>
            </w:r>
          </w:p>
        </w:tc>
        <w:tc>
          <w:tcPr>
            <w:tcW w:w="967" w:type="dxa"/>
            <w:noWrap/>
            <w:hideMark/>
          </w:tcPr>
          <w:p w14:paraId="2D698024" w14:textId="77777777" w:rsidR="00CF5127" w:rsidRPr="00EA3024" w:rsidRDefault="00CF5127" w:rsidP="00CF5127">
            <w:pPr>
              <w:jc w:val="both"/>
            </w:pPr>
            <w:r w:rsidRPr="00EA3024">
              <w:t>72.45</w:t>
            </w:r>
          </w:p>
        </w:tc>
        <w:tc>
          <w:tcPr>
            <w:tcW w:w="967" w:type="dxa"/>
            <w:noWrap/>
            <w:hideMark/>
          </w:tcPr>
          <w:p w14:paraId="4365A657" w14:textId="77777777" w:rsidR="00CF5127" w:rsidRPr="00EA3024" w:rsidRDefault="00CF5127" w:rsidP="00CF5127">
            <w:pPr>
              <w:jc w:val="both"/>
            </w:pPr>
            <w:r w:rsidRPr="00EA3024">
              <w:t>72.64</w:t>
            </w:r>
          </w:p>
        </w:tc>
        <w:tc>
          <w:tcPr>
            <w:tcW w:w="967" w:type="dxa"/>
            <w:noWrap/>
            <w:hideMark/>
          </w:tcPr>
          <w:p w14:paraId="2DAB3977" w14:textId="77777777" w:rsidR="00CF5127" w:rsidRPr="00EA3024" w:rsidRDefault="00CF5127" w:rsidP="00CF5127">
            <w:pPr>
              <w:jc w:val="both"/>
            </w:pPr>
            <w:r w:rsidRPr="00EA3024">
              <w:t>71.55</w:t>
            </w:r>
          </w:p>
        </w:tc>
        <w:tc>
          <w:tcPr>
            <w:tcW w:w="967" w:type="dxa"/>
            <w:noWrap/>
            <w:hideMark/>
          </w:tcPr>
          <w:p w14:paraId="1CC84640" w14:textId="77777777" w:rsidR="00CF5127" w:rsidRPr="00EA3024" w:rsidRDefault="00CF5127" w:rsidP="00CF5127">
            <w:pPr>
              <w:jc w:val="both"/>
            </w:pPr>
            <w:r w:rsidRPr="00EA3024">
              <w:t>71.82</w:t>
            </w:r>
          </w:p>
        </w:tc>
        <w:tc>
          <w:tcPr>
            <w:tcW w:w="1039" w:type="dxa"/>
            <w:noWrap/>
            <w:hideMark/>
          </w:tcPr>
          <w:p w14:paraId="4A3BCBAF" w14:textId="77777777" w:rsidR="00CF5127" w:rsidRPr="00EA3024" w:rsidRDefault="00CF5127" w:rsidP="00CF5127">
            <w:pPr>
              <w:jc w:val="both"/>
            </w:pPr>
            <w:r w:rsidRPr="00EA3024">
              <w:t>179627</w:t>
            </w:r>
          </w:p>
        </w:tc>
      </w:tr>
      <w:tr w:rsidR="00CF5127" w:rsidRPr="00EA3024" w14:paraId="64BC8210" w14:textId="77777777" w:rsidTr="00CF5127">
        <w:trPr>
          <w:trHeight w:val="286"/>
        </w:trPr>
        <w:tc>
          <w:tcPr>
            <w:tcW w:w="1606" w:type="dxa"/>
            <w:noWrap/>
            <w:hideMark/>
          </w:tcPr>
          <w:p w14:paraId="26768F41" w14:textId="026C15C2" w:rsidR="00CF5127" w:rsidRPr="00EA3024" w:rsidRDefault="00080A77" w:rsidP="00CF5127">
            <w:pPr>
              <w:jc w:val="both"/>
            </w:pPr>
            <w:r>
              <w:t>6</w:t>
            </w:r>
            <w:r w:rsidR="00CF5127" w:rsidRPr="00EA3024">
              <w:t>-</w:t>
            </w:r>
            <w:r w:rsidR="00114742">
              <w:t>10</w:t>
            </w:r>
            <w:r w:rsidR="00CF5127" w:rsidRPr="00EA3024">
              <w:t>-19</w:t>
            </w:r>
          </w:p>
        </w:tc>
        <w:tc>
          <w:tcPr>
            <w:tcW w:w="967" w:type="dxa"/>
            <w:noWrap/>
            <w:hideMark/>
          </w:tcPr>
          <w:p w14:paraId="2D626AAF" w14:textId="77777777" w:rsidR="00CF5127" w:rsidRPr="00EA3024" w:rsidRDefault="00CF5127" w:rsidP="00CF5127">
            <w:pPr>
              <w:jc w:val="both"/>
            </w:pPr>
            <w:r w:rsidRPr="00EA3024">
              <w:t>72</w:t>
            </w:r>
          </w:p>
        </w:tc>
        <w:tc>
          <w:tcPr>
            <w:tcW w:w="967" w:type="dxa"/>
            <w:noWrap/>
            <w:hideMark/>
          </w:tcPr>
          <w:p w14:paraId="33A38CA6" w14:textId="77777777" w:rsidR="00CF5127" w:rsidRPr="00EA3024" w:rsidRDefault="00CF5127" w:rsidP="00CF5127">
            <w:pPr>
              <w:jc w:val="both"/>
            </w:pPr>
            <w:r w:rsidRPr="00EA3024">
              <w:t>72</w:t>
            </w:r>
          </w:p>
        </w:tc>
        <w:tc>
          <w:tcPr>
            <w:tcW w:w="967" w:type="dxa"/>
            <w:noWrap/>
            <w:hideMark/>
          </w:tcPr>
          <w:p w14:paraId="24578450" w14:textId="77777777" w:rsidR="00CF5127" w:rsidRPr="00EA3024" w:rsidRDefault="00CF5127" w:rsidP="00CF5127">
            <w:pPr>
              <w:jc w:val="both"/>
            </w:pPr>
            <w:r w:rsidRPr="00EA3024">
              <w:t>71.09</w:t>
            </w:r>
          </w:p>
        </w:tc>
        <w:tc>
          <w:tcPr>
            <w:tcW w:w="967" w:type="dxa"/>
            <w:noWrap/>
            <w:hideMark/>
          </w:tcPr>
          <w:p w14:paraId="4C7BB9E4" w14:textId="77777777" w:rsidR="00CF5127" w:rsidRPr="00EA3024" w:rsidRDefault="00CF5127" w:rsidP="00CF5127">
            <w:pPr>
              <w:jc w:val="both"/>
            </w:pPr>
            <w:r w:rsidRPr="00EA3024">
              <w:t>71.36</w:t>
            </w:r>
          </w:p>
        </w:tc>
        <w:tc>
          <w:tcPr>
            <w:tcW w:w="1039" w:type="dxa"/>
            <w:noWrap/>
            <w:hideMark/>
          </w:tcPr>
          <w:p w14:paraId="41974EF2" w14:textId="77777777" w:rsidR="00CF5127" w:rsidRPr="00EA3024" w:rsidRDefault="00CF5127" w:rsidP="00CF5127">
            <w:pPr>
              <w:jc w:val="both"/>
            </w:pPr>
            <w:r w:rsidRPr="00EA3024">
              <w:t>155922</w:t>
            </w:r>
          </w:p>
        </w:tc>
      </w:tr>
      <w:tr w:rsidR="00CF5127" w:rsidRPr="00EA3024" w14:paraId="00E2F9A6" w14:textId="77777777" w:rsidTr="00CF5127">
        <w:trPr>
          <w:trHeight w:val="286"/>
        </w:trPr>
        <w:tc>
          <w:tcPr>
            <w:tcW w:w="1606" w:type="dxa"/>
            <w:noWrap/>
            <w:hideMark/>
          </w:tcPr>
          <w:p w14:paraId="2ED68C16" w14:textId="6732FEAD" w:rsidR="00CF5127" w:rsidRPr="00EA3024" w:rsidRDefault="00080A77" w:rsidP="00CF5127">
            <w:pPr>
              <w:jc w:val="both"/>
            </w:pPr>
            <w:r>
              <w:t>7</w:t>
            </w:r>
            <w:r w:rsidR="00CF5127" w:rsidRPr="00EA3024">
              <w:t>-</w:t>
            </w:r>
            <w:r w:rsidR="00114742">
              <w:t>10</w:t>
            </w:r>
            <w:r w:rsidR="00CF5127" w:rsidRPr="00EA3024">
              <w:t>-19</w:t>
            </w:r>
          </w:p>
        </w:tc>
        <w:tc>
          <w:tcPr>
            <w:tcW w:w="967" w:type="dxa"/>
            <w:noWrap/>
            <w:hideMark/>
          </w:tcPr>
          <w:p w14:paraId="77C8ED86" w14:textId="77777777" w:rsidR="00CF5127" w:rsidRPr="00EA3024" w:rsidRDefault="00CF5127" w:rsidP="00CF5127">
            <w:pPr>
              <w:jc w:val="both"/>
            </w:pPr>
            <w:r w:rsidRPr="00EA3024">
              <w:t>71.64</w:t>
            </w:r>
          </w:p>
        </w:tc>
        <w:tc>
          <w:tcPr>
            <w:tcW w:w="967" w:type="dxa"/>
            <w:noWrap/>
            <w:hideMark/>
          </w:tcPr>
          <w:p w14:paraId="724D1D18" w14:textId="77777777" w:rsidR="00CF5127" w:rsidRPr="00EA3024" w:rsidRDefault="00CF5127" w:rsidP="00CF5127">
            <w:pPr>
              <w:jc w:val="both"/>
            </w:pPr>
            <w:r w:rsidRPr="00EA3024">
              <w:t>71.64</w:t>
            </w:r>
          </w:p>
        </w:tc>
        <w:tc>
          <w:tcPr>
            <w:tcW w:w="967" w:type="dxa"/>
            <w:noWrap/>
            <w:hideMark/>
          </w:tcPr>
          <w:p w14:paraId="136225D2" w14:textId="77777777" w:rsidR="00CF5127" w:rsidRPr="00EA3024" w:rsidRDefault="00CF5127" w:rsidP="00CF5127">
            <w:pPr>
              <w:jc w:val="both"/>
            </w:pPr>
            <w:r w:rsidRPr="00EA3024">
              <w:t>69.45</w:t>
            </w:r>
          </w:p>
        </w:tc>
        <w:tc>
          <w:tcPr>
            <w:tcW w:w="967" w:type="dxa"/>
            <w:noWrap/>
            <w:hideMark/>
          </w:tcPr>
          <w:p w14:paraId="3751A5C2" w14:textId="77777777" w:rsidR="00CF5127" w:rsidRPr="00EA3024" w:rsidRDefault="00CF5127" w:rsidP="00CF5127">
            <w:pPr>
              <w:jc w:val="both"/>
            </w:pPr>
            <w:r w:rsidRPr="00EA3024">
              <w:t>69.64</w:t>
            </w:r>
          </w:p>
        </w:tc>
        <w:tc>
          <w:tcPr>
            <w:tcW w:w="1039" w:type="dxa"/>
            <w:noWrap/>
            <w:hideMark/>
          </w:tcPr>
          <w:p w14:paraId="5250CD5B" w14:textId="77777777" w:rsidR="00CF5127" w:rsidRPr="00EA3024" w:rsidRDefault="00CF5127" w:rsidP="00CF5127">
            <w:pPr>
              <w:jc w:val="both"/>
            </w:pPr>
            <w:r w:rsidRPr="00EA3024">
              <w:t>256857</w:t>
            </w:r>
          </w:p>
        </w:tc>
      </w:tr>
      <w:tr w:rsidR="00CF5127" w:rsidRPr="00EA3024" w14:paraId="19147184" w14:textId="77777777" w:rsidTr="00CF5127">
        <w:trPr>
          <w:trHeight w:val="286"/>
        </w:trPr>
        <w:tc>
          <w:tcPr>
            <w:tcW w:w="1606" w:type="dxa"/>
            <w:noWrap/>
            <w:hideMark/>
          </w:tcPr>
          <w:p w14:paraId="1E9003C3" w14:textId="64DA5532" w:rsidR="00CF5127" w:rsidRPr="00EA3024" w:rsidRDefault="00080A77" w:rsidP="00CF5127">
            <w:pPr>
              <w:jc w:val="both"/>
            </w:pPr>
            <w:r>
              <w:t>9</w:t>
            </w:r>
            <w:r w:rsidR="00CF5127" w:rsidRPr="00EA3024">
              <w:t>-</w:t>
            </w:r>
            <w:r w:rsidR="00114742">
              <w:t>10</w:t>
            </w:r>
            <w:r w:rsidR="00CF5127" w:rsidRPr="00EA3024">
              <w:t>-19</w:t>
            </w:r>
          </w:p>
        </w:tc>
        <w:tc>
          <w:tcPr>
            <w:tcW w:w="967" w:type="dxa"/>
            <w:noWrap/>
            <w:hideMark/>
          </w:tcPr>
          <w:p w14:paraId="15ED1AFF" w14:textId="77777777" w:rsidR="00CF5127" w:rsidRPr="00EA3024" w:rsidRDefault="00CF5127" w:rsidP="00CF5127">
            <w:pPr>
              <w:jc w:val="both"/>
            </w:pPr>
            <w:r w:rsidRPr="00EA3024">
              <w:t>69.73</w:t>
            </w:r>
          </w:p>
        </w:tc>
        <w:tc>
          <w:tcPr>
            <w:tcW w:w="967" w:type="dxa"/>
            <w:noWrap/>
            <w:hideMark/>
          </w:tcPr>
          <w:p w14:paraId="44316EBB" w14:textId="77777777" w:rsidR="00CF5127" w:rsidRPr="00EA3024" w:rsidRDefault="00CF5127" w:rsidP="00CF5127">
            <w:pPr>
              <w:jc w:val="both"/>
            </w:pPr>
            <w:r w:rsidRPr="00EA3024">
              <w:t>69.73</w:t>
            </w:r>
          </w:p>
        </w:tc>
        <w:tc>
          <w:tcPr>
            <w:tcW w:w="967" w:type="dxa"/>
            <w:noWrap/>
            <w:hideMark/>
          </w:tcPr>
          <w:p w14:paraId="3771E612" w14:textId="77777777" w:rsidR="00CF5127" w:rsidRPr="00EA3024" w:rsidRDefault="00CF5127" w:rsidP="00CF5127">
            <w:pPr>
              <w:jc w:val="both"/>
            </w:pPr>
            <w:r w:rsidRPr="00EA3024">
              <w:t>65.36</w:t>
            </w:r>
          </w:p>
        </w:tc>
        <w:tc>
          <w:tcPr>
            <w:tcW w:w="967" w:type="dxa"/>
            <w:noWrap/>
            <w:hideMark/>
          </w:tcPr>
          <w:p w14:paraId="27941283" w14:textId="77777777" w:rsidR="00CF5127" w:rsidRPr="00EA3024" w:rsidRDefault="00CF5127" w:rsidP="00CF5127">
            <w:pPr>
              <w:jc w:val="both"/>
            </w:pPr>
            <w:r w:rsidRPr="00EA3024">
              <w:t>65.91</w:t>
            </w:r>
          </w:p>
        </w:tc>
        <w:tc>
          <w:tcPr>
            <w:tcW w:w="1039" w:type="dxa"/>
            <w:noWrap/>
            <w:hideMark/>
          </w:tcPr>
          <w:p w14:paraId="7696FA7D" w14:textId="77777777" w:rsidR="00CF5127" w:rsidRPr="00EA3024" w:rsidRDefault="00CF5127" w:rsidP="00CF5127">
            <w:pPr>
              <w:jc w:val="both"/>
            </w:pPr>
            <w:r w:rsidRPr="00EA3024">
              <w:t>490989</w:t>
            </w:r>
          </w:p>
        </w:tc>
      </w:tr>
      <w:tr w:rsidR="00CF5127" w:rsidRPr="00EA3024" w14:paraId="3FDCF01F" w14:textId="77777777" w:rsidTr="00CF5127">
        <w:trPr>
          <w:trHeight w:val="286"/>
        </w:trPr>
        <w:tc>
          <w:tcPr>
            <w:tcW w:w="1606" w:type="dxa"/>
            <w:noWrap/>
            <w:hideMark/>
          </w:tcPr>
          <w:p w14:paraId="4053A234" w14:textId="77777777" w:rsidR="00CF5127" w:rsidRPr="00EA3024" w:rsidRDefault="00CF5127" w:rsidP="00CF5127">
            <w:pPr>
              <w:jc w:val="both"/>
            </w:pPr>
            <w:r w:rsidRPr="00EA3024">
              <w:t>10-10-19</w:t>
            </w:r>
          </w:p>
        </w:tc>
        <w:tc>
          <w:tcPr>
            <w:tcW w:w="967" w:type="dxa"/>
            <w:noWrap/>
            <w:hideMark/>
          </w:tcPr>
          <w:p w14:paraId="63828925" w14:textId="77777777" w:rsidR="00CF5127" w:rsidRPr="00EA3024" w:rsidRDefault="00CF5127" w:rsidP="00CF5127">
            <w:pPr>
              <w:jc w:val="both"/>
            </w:pPr>
            <w:r w:rsidRPr="00EA3024">
              <w:t>67.09</w:t>
            </w:r>
          </w:p>
        </w:tc>
        <w:tc>
          <w:tcPr>
            <w:tcW w:w="967" w:type="dxa"/>
            <w:noWrap/>
            <w:hideMark/>
          </w:tcPr>
          <w:p w14:paraId="21D42BA2" w14:textId="77777777" w:rsidR="00CF5127" w:rsidRPr="00EA3024" w:rsidRDefault="00CF5127" w:rsidP="00CF5127">
            <w:pPr>
              <w:jc w:val="both"/>
            </w:pPr>
            <w:r w:rsidRPr="00EA3024">
              <w:t>67.09</w:t>
            </w:r>
          </w:p>
        </w:tc>
        <w:tc>
          <w:tcPr>
            <w:tcW w:w="967" w:type="dxa"/>
            <w:noWrap/>
            <w:hideMark/>
          </w:tcPr>
          <w:p w14:paraId="639A9B80" w14:textId="77777777" w:rsidR="00CF5127" w:rsidRPr="00EA3024" w:rsidRDefault="00CF5127" w:rsidP="00CF5127">
            <w:pPr>
              <w:jc w:val="both"/>
            </w:pPr>
            <w:r w:rsidRPr="00EA3024">
              <w:t>63.55</w:t>
            </w:r>
          </w:p>
        </w:tc>
        <w:tc>
          <w:tcPr>
            <w:tcW w:w="967" w:type="dxa"/>
            <w:noWrap/>
            <w:hideMark/>
          </w:tcPr>
          <w:p w14:paraId="3D4C5970" w14:textId="77777777" w:rsidR="00CF5127" w:rsidRPr="00EA3024" w:rsidRDefault="00CF5127" w:rsidP="00CF5127">
            <w:pPr>
              <w:jc w:val="both"/>
            </w:pPr>
            <w:r w:rsidRPr="00EA3024">
              <w:t>63.91</w:t>
            </w:r>
          </w:p>
        </w:tc>
        <w:tc>
          <w:tcPr>
            <w:tcW w:w="1039" w:type="dxa"/>
            <w:noWrap/>
            <w:hideMark/>
          </w:tcPr>
          <w:p w14:paraId="350FF2A8" w14:textId="77777777" w:rsidR="00CF5127" w:rsidRPr="00EA3024" w:rsidRDefault="00CF5127" w:rsidP="00CF5127">
            <w:pPr>
              <w:jc w:val="both"/>
            </w:pPr>
            <w:r w:rsidRPr="00EA3024">
              <w:t>427414</w:t>
            </w:r>
          </w:p>
        </w:tc>
      </w:tr>
      <w:tr w:rsidR="00CF5127" w:rsidRPr="00EA3024" w14:paraId="7D47FF77" w14:textId="77777777" w:rsidTr="00CF5127">
        <w:trPr>
          <w:trHeight w:val="286"/>
        </w:trPr>
        <w:tc>
          <w:tcPr>
            <w:tcW w:w="1606" w:type="dxa"/>
            <w:noWrap/>
            <w:hideMark/>
          </w:tcPr>
          <w:p w14:paraId="19F4ADFB" w14:textId="77777777" w:rsidR="00CF5127" w:rsidRPr="00EA3024" w:rsidRDefault="00CF5127" w:rsidP="00CF5127">
            <w:pPr>
              <w:jc w:val="both"/>
            </w:pPr>
            <w:r w:rsidRPr="00EA3024">
              <w:t>13-10-19</w:t>
            </w:r>
          </w:p>
        </w:tc>
        <w:tc>
          <w:tcPr>
            <w:tcW w:w="967" w:type="dxa"/>
            <w:noWrap/>
            <w:hideMark/>
          </w:tcPr>
          <w:p w14:paraId="5AC32C0E" w14:textId="77777777" w:rsidR="00CF5127" w:rsidRPr="00EA3024" w:rsidRDefault="00CF5127" w:rsidP="00CF5127">
            <w:pPr>
              <w:jc w:val="both"/>
            </w:pPr>
            <w:r w:rsidRPr="00EA3024">
              <w:t>64.64</w:t>
            </w:r>
          </w:p>
        </w:tc>
        <w:tc>
          <w:tcPr>
            <w:tcW w:w="967" w:type="dxa"/>
            <w:noWrap/>
            <w:hideMark/>
          </w:tcPr>
          <w:p w14:paraId="0C7E05EE" w14:textId="77777777" w:rsidR="00CF5127" w:rsidRPr="00EA3024" w:rsidRDefault="00CF5127" w:rsidP="00CF5127">
            <w:pPr>
              <w:jc w:val="both"/>
            </w:pPr>
            <w:r w:rsidRPr="00EA3024">
              <w:t>65.64</w:t>
            </w:r>
          </w:p>
        </w:tc>
        <w:tc>
          <w:tcPr>
            <w:tcW w:w="967" w:type="dxa"/>
            <w:noWrap/>
            <w:hideMark/>
          </w:tcPr>
          <w:p w14:paraId="59B64411" w14:textId="77777777" w:rsidR="00CF5127" w:rsidRPr="00EA3024" w:rsidRDefault="00CF5127" w:rsidP="00CF5127">
            <w:pPr>
              <w:jc w:val="both"/>
            </w:pPr>
            <w:r w:rsidRPr="00EA3024">
              <w:t>63.36</w:t>
            </w:r>
          </w:p>
        </w:tc>
        <w:tc>
          <w:tcPr>
            <w:tcW w:w="967" w:type="dxa"/>
            <w:noWrap/>
            <w:hideMark/>
          </w:tcPr>
          <w:p w14:paraId="405E1A64" w14:textId="77777777" w:rsidR="00CF5127" w:rsidRPr="00EA3024" w:rsidRDefault="00CF5127" w:rsidP="00CF5127">
            <w:pPr>
              <w:jc w:val="both"/>
            </w:pPr>
            <w:r w:rsidRPr="00EA3024">
              <w:t>63.82</w:t>
            </w:r>
          </w:p>
        </w:tc>
        <w:tc>
          <w:tcPr>
            <w:tcW w:w="1039" w:type="dxa"/>
            <w:noWrap/>
            <w:hideMark/>
          </w:tcPr>
          <w:p w14:paraId="75273C7A" w14:textId="77777777" w:rsidR="00CF5127" w:rsidRPr="00EA3024" w:rsidRDefault="00CF5127" w:rsidP="00CF5127">
            <w:pPr>
              <w:jc w:val="both"/>
            </w:pPr>
            <w:r w:rsidRPr="00EA3024">
              <w:t>297580</w:t>
            </w:r>
          </w:p>
        </w:tc>
      </w:tr>
      <w:tr w:rsidR="00CF5127" w:rsidRPr="00EA3024" w14:paraId="728A2A38" w14:textId="77777777" w:rsidTr="00CF5127">
        <w:trPr>
          <w:trHeight w:val="286"/>
        </w:trPr>
        <w:tc>
          <w:tcPr>
            <w:tcW w:w="1606" w:type="dxa"/>
            <w:noWrap/>
            <w:hideMark/>
          </w:tcPr>
          <w:p w14:paraId="4E206ED7" w14:textId="77777777" w:rsidR="00CF5127" w:rsidRPr="00EA3024" w:rsidRDefault="00CF5127" w:rsidP="00CF5127">
            <w:pPr>
              <w:jc w:val="both"/>
            </w:pPr>
            <w:r w:rsidRPr="00EA3024">
              <w:t>14-10-19</w:t>
            </w:r>
          </w:p>
        </w:tc>
        <w:tc>
          <w:tcPr>
            <w:tcW w:w="967" w:type="dxa"/>
            <w:noWrap/>
            <w:hideMark/>
          </w:tcPr>
          <w:p w14:paraId="4D491CA0" w14:textId="77777777" w:rsidR="00CF5127" w:rsidRPr="00EA3024" w:rsidRDefault="00CF5127" w:rsidP="00CF5127">
            <w:pPr>
              <w:jc w:val="both"/>
            </w:pPr>
            <w:r w:rsidRPr="00EA3024">
              <w:t>64</w:t>
            </w:r>
          </w:p>
        </w:tc>
        <w:tc>
          <w:tcPr>
            <w:tcW w:w="967" w:type="dxa"/>
            <w:noWrap/>
            <w:hideMark/>
          </w:tcPr>
          <w:p w14:paraId="08DBFCE5" w14:textId="77777777" w:rsidR="00CF5127" w:rsidRPr="00EA3024" w:rsidRDefault="00CF5127" w:rsidP="00CF5127">
            <w:pPr>
              <w:jc w:val="both"/>
            </w:pPr>
            <w:r w:rsidRPr="00EA3024">
              <w:t>65.18</w:t>
            </w:r>
          </w:p>
        </w:tc>
        <w:tc>
          <w:tcPr>
            <w:tcW w:w="967" w:type="dxa"/>
            <w:noWrap/>
            <w:hideMark/>
          </w:tcPr>
          <w:p w14:paraId="7A819DB4" w14:textId="77777777" w:rsidR="00CF5127" w:rsidRPr="00EA3024" w:rsidRDefault="00CF5127" w:rsidP="00CF5127">
            <w:pPr>
              <w:jc w:val="both"/>
            </w:pPr>
            <w:r w:rsidRPr="00EA3024">
              <w:t>63.27</w:t>
            </w:r>
          </w:p>
        </w:tc>
        <w:tc>
          <w:tcPr>
            <w:tcW w:w="967" w:type="dxa"/>
            <w:noWrap/>
            <w:hideMark/>
          </w:tcPr>
          <w:p w14:paraId="598BEB4A" w14:textId="77777777" w:rsidR="00CF5127" w:rsidRPr="00EA3024" w:rsidRDefault="00CF5127" w:rsidP="00CF5127">
            <w:pPr>
              <w:jc w:val="both"/>
            </w:pPr>
            <w:r w:rsidRPr="00EA3024">
              <w:t>64.36</w:t>
            </w:r>
          </w:p>
        </w:tc>
        <w:tc>
          <w:tcPr>
            <w:tcW w:w="1039" w:type="dxa"/>
            <w:noWrap/>
            <w:hideMark/>
          </w:tcPr>
          <w:p w14:paraId="67CE5B1C" w14:textId="77777777" w:rsidR="00CF5127" w:rsidRPr="00EA3024" w:rsidRDefault="00CF5127" w:rsidP="00CF5127">
            <w:pPr>
              <w:jc w:val="both"/>
            </w:pPr>
            <w:r w:rsidRPr="00EA3024">
              <w:t>292522</w:t>
            </w:r>
          </w:p>
        </w:tc>
      </w:tr>
      <w:tr w:rsidR="00CF5127" w:rsidRPr="00EA3024" w14:paraId="16351DD8" w14:textId="77777777" w:rsidTr="00CF5127">
        <w:trPr>
          <w:trHeight w:val="286"/>
        </w:trPr>
        <w:tc>
          <w:tcPr>
            <w:tcW w:w="1606" w:type="dxa"/>
            <w:noWrap/>
            <w:hideMark/>
          </w:tcPr>
          <w:p w14:paraId="39829982" w14:textId="77777777" w:rsidR="00CF5127" w:rsidRPr="00EA3024" w:rsidRDefault="00CF5127" w:rsidP="00CF5127">
            <w:pPr>
              <w:jc w:val="both"/>
            </w:pPr>
            <w:r w:rsidRPr="00EA3024">
              <w:t>15-10-19</w:t>
            </w:r>
          </w:p>
        </w:tc>
        <w:tc>
          <w:tcPr>
            <w:tcW w:w="967" w:type="dxa"/>
            <w:noWrap/>
            <w:hideMark/>
          </w:tcPr>
          <w:p w14:paraId="6247F11B" w14:textId="77777777" w:rsidR="00CF5127" w:rsidRPr="00EA3024" w:rsidRDefault="00CF5127" w:rsidP="00CF5127">
            <w:pPr>
              <w:jc w:val="both"/>
            </w:pPr>
            <w:r w:rsidRPr="00EA3024">
              <w:t>64.82</w:t>
            </w:r>
          </w:p>
        </w:tc>
        <w:tc>
          <w:tcPr>
            <w:tcW w:w="967" w:type="dxa"/>
            <w:noWrap/>
            <w:hideMark/>
          </w:tcPr>
          <w:p w14:paraId="7CF993B0" w14:textId="77777777" w:rsidR="00CF5127" w:rsidRPr="00EA3024" w:rsidRDefault="00CF5127" w:rsidP="00CF5127">
            <w:pPr>
              <w:jc w:val="both"/>
            </w:pPr>
            <w:r w:rsidRPr="00EA3024">
              <w:t>70.82</w:t>
            </w:r>
          </w:p>
        </w:tc>
        <w:tc>
          <w:tcPr>
            <w:tcW w:w="967" w:type="dxa"/>
            <w:noWrap/>
            <w:hideMark/>
          </w:tcPr>
          <w:p w14:paraId="0DA3C2F2" w14:textId="77777777" w:rsidR="00CF5127" w:rsidRPr="00EA3024" w:rsidRDefault="00CF5127" w:rsidP="00CF5127">
            <w:pPr>
              <w:jc w:val="both"/>
            </w:pPr>
            <w:r w:rsidRPr="00EA3024">
              <w:t>64.82</w:t>
            </w:r>
          </w:p>
        </w:tc>
        <w:tc>
          <w:tcPr>
            <w:tcW w:w="967" w:type="dxa"/>
            <w:noWrap/>
            <w:hideMark/>
          </w:tcPr>
          <w:p w14:paraId="5E7A8911" w14:textId="77777777" w:rsidR="00CF5127" w:rsidRPr="00EA3024" w:rsidRDefault="00CF5127" w:rsidP="00CF5127">
            <w:pPr>
              <w:jc w:val="both"/>
            </w:pPr>
            <w:r w:rsidRPr="00EA3024">
              <w:t>70.82</w:t>
            </w:r>
          </w:p>
        </w:tc>
        <w:tc>
          <w:tcPr>
            <w:tcW w:w="1039" w:type="dxa"/>
            <w:noWrap/>
            <w:hideMark/>
          </w:tcPr>
          <w:p w14:paraId="1DE93223" w14:textId="77777777" w:rsidR="00CF5127" w:rsidRPr="00EA3024" w:rsidRDefault="00CF5127" w:rsidP="00CF5127">
            <w:pPr>
              <w:jc w:val="both"/>
            </w:pPr>
            <w:r w:rsidRPr="00EA3024">
              <w:t>806610</w:t>
            </w:r>
          </w:p>
        </w:tc>
      </w:tr>
      <w:tr w:rsidR="00CF5127" w:rsidRPr="00EA3024" w14:paraId="7B701923" w14:textId="77777777" w:rsidTr="00CF5127">
        <w:trPr>
          <w:trHeight w:val="286"/>
        </w:trPr>
        <w:tc>
          <w:tcPr>
            <w:tcW w:w="1606" w:type="dxa"/>
            <w:noWrap/>
            <w:hideMark/>
          </w:tcPr>
          <w:p w14:paraId="0EC692A1" w14:textId="77777777" w:rsidR="00CF5127" w:rsidRPr="00EA3024" w:rsidRDefault="00CF5127" w:rsidP="00CF5127">
            <w:pPr>
              <w:jc w:val="both"/>
            </w:pPr>
            <w:r w:rsidRPr="00EA3024">
              <w:t>16-10-19</w:t>
            </w:r>
          </w:p>
        </w:tc>
        <w:tc>
          <w:tcPr>
            <w:tcW w:w="967" w:type="dxa"/>
            <w:noWrap/>
            <w:hideMark/>
          </w:tcPr>
          <w:p w14:paraId="72F3F5F0" w14:textId="77777777" w:rsidR="00CF5127" w:rsidRPr="00EA3024" w:rsidRDefault="00CF5127" w:rsidP="00CF5127">
            <w:pPr>
              <w:jc w:val="both"/>
            </w:pPr>
            <w:r w:rsidRPr="00EA3024">
              <w:t>71.55</w:t>
            </w:r>
          </w:p>
        </w:tc>
        <w:tc>
          <w:tcPr>
            <w:tcW w:w="967" w:type="dxa"/>
            <w:noWrap/>
            <w:hideMark/>
          </w:tcPr>
          <w:p w14:paraId="142EF505" w14:textId="77777777" w:rsidR="00CF5127" w:rsidRPr="00EA3024" w:rsidRDefault="00CF5127" w:rsidP="00CF5127">
            <w:pPr>
              <w:jc w:val="both"/>
            </w:pPr>
            <w:r w:rsidRPr="00EA3024">
              <w:t>72.64</w:t>
            </w:r>
          </w:p>
        </w:tc>
        <w:tc>
          <w:tcPr>
            <w:tcW w:w="967" w:type="dxa"/>
            <w:noWrap/>
            <w:hideMark/>
          </w:tcPr>
          <w:p w14:paraId="687A8BF8" w14:textId="77777777" w:rsidR="00CF5127" w:rsidRPr="00EA3024" w:rsidRDefault="00CF5127" w:rsidP="00CF5127">
            <w:pPr>
              <w:jc w:val="both"/>
            </w:pPr>
            <w:r w:rsidRPr="00EA3024">
              <w:t>67.64</w:t>
            </w:r>
          </w:p>
        </w:tc>
        <w:tc>
          <w:tcPr>
            <w:tcW w:w="967" w:type="dxa"/>
            <w:noWrap/>
            <w:hideMark/>
          </w:tcPr>
          <w:p w14:paraId="40588A0D" w14:textId="77777777" w:rsidR="00CF5127" w:rsidRPr="00EA3024" w:rsidRDefault="00CF5127" w:rsidP="00CF5127">
            <w:pPr>
              <w:jc w:val="both"/>
            </w:pPr>
            <w:r w:rsidRPr="00EA3024">
              <w:t>68.55</w:t>
            </w:r>
          </w:p>
        </w:tc>
        <w:tc>
          <w:tcPr>
            <w:tcW w:w="1039" w:type="dxa"/>
            <w:noWrap/>
            <w:hideMark/>
          </w:tcPr>
          <w:p w14:paraId="1FB4F036" w14:textId="77777777" w:rsidR="00CF5127" w:rsidRPr="00EA3024" w:rsidRDefault="00CF5127" w:rsidP="00CF5127">
            <w:pPr>
              <w:jc w:val="both"/>
            </w:pPr>
            <w:r w:rsidRPr="00EA3024">
              <w:t>767654</w:t>
            </w:r>
          </w:p>
        </w:tc>
      </w:tr>
      <w:tr w:rsidR="00CF5127" w:rsidRPr="00EA3024" w14:paraId="3D72399D" w14:textId="77777777" w:rsidTr="00CF5127">
        <w:trPr>
          <w:trHeight w:val="286"/>
        </w:trPr>
        <w:tc>
          <w:tcPr>
            <w:tcW w:w="1606" w:type="dxa"/>
            <w:noWrap/>
            <w:hideMark/>
          </w:tcPr>
          <w:p w14:paraId="16814589" w14:textId="77777777" w:rsidR="00CF5127" w:rsidRPr="00EA3024" w:rsidRDefault="00CF5127" w:rsidP="00CF5127">
            <w:pPr>
              <w:jc w:val="both"/>
            </w:pPr>
            <w:r w:rsidRPr="00EA3024">
              <w:t>17-10-19</w:t>
            </w:r>
          </w:p>
        </w:tc>
        <w:tc>
          <w:tcPr>
            <w:tcW w:w="967" w:type="dxa"/>
            <w:noWrap/>
            <w:hideMark/>
          </w:tcPr>
          <w:p w14:paraId="785548F2" w14:textId="77777777" w:rsidR="00CF5127" w:rsidRPr="00EA3024" w:rsidRDefault="00CF5127" w:rsidP="00CF5127">
            <w:pPr>
              <w:jc w:val="both"/>
            </w:pPr>
            <w:r w:rsidRPr="00EA3024">
              <w:t>68.55</w:t>
            </w:r>
          </w:p>
        </w:tc>
        <w:tc>
          <w:tcPr>
            <w:tcW w:w="967" w:type="dxa"/>
            <w:noWrap/>
            <w:hideMark/>
          </w:tcPr>
          <w:p w14:paraId="7ADC643F" w14:textId="77777777" w:rsidR="00CF5127" w:rsidRPr="00EA3024" w:rsidRDefault="00CF5127" w:rsidP="00CF5127">
            <w:pPr>
              <w:jc w:val="both"/>
            </w:pPr>
            <w:r w:rsidRPr="00EA3024">
              <w:t>68.55</w:t>
            </w:r>
          </w:p>
        </w:tc>
        <w:tc>
          <w:tcPr>
            <w:tcW w:w="967" w:type="dxa"/>
            <w:noWrap/>
            <w:hideMark/>
          </w:tcPr>
          <w:p w14:paraId="73FEBA4C" w14:textId="77777777" w:rsidR="00CF5127" w:rsidRPr="00EA3024" w:rsidRDefault="00CF5127" w:rsidP="00CF5127">
            <w:pPr>
              <w:jc w:val="both"/>
            </w:pPr>
            <w:r w:rsidRPr="00EA3024">
              <w:t>66.18</w:t>
            </w:r>
          </w:p>
        </w:tc>
        <w:tc>
          <w:tcPr>
            <w:tcW w:w="967" w:type="dxa"/>
            <w:noWrap/>
            <w:hideMark/>
          </w:tcPr>
          <w:p w14:paraId="0E3DE7BB" w14:textId="77777777" w:rsidR="00CF5127" w:rsidRPr="00EA3024" w:rsidRDefault="00CF5127" w:rsidP="00CF5127">
            <w:pPr>
              <w:jc w:val="both"/>
            </w:pPr>
            <w:r w:rsidRPr="00EA3024">
              <w:t>66.55</w:t>
            </w:r>
          </w:p>
        </w:tc>
        <w:tc>
          <w:tcPr>
            <w:tcW w:w="1039" w:type="dxa"/>
            <w:noWrap/>
            <w:hideMark/>
          </w:tcPr>
          <w:p w14:paraId="77EF969F" w14:textId="77777777" w:rsidR="00CF5127" w:rsidRPr="00EA3024" w:rsidRDefault="00CF5127" w:rsidP="00CF5127">
            <w:pPr>
              <w:jc w:val="both"/>
            </w:pPr>
            <w:r w:rsidRPr="00EA3024">
              <w:t>373765</w:t>
            </w:r>
          </w:p>
        </w:tc>
      </w:tr>
      <w:tr w:rsidR="00CF5127" w:rsidRPr="00EA3024" w14:paraId="64AB682B" w14:textId="77777777" w:rsidTr="00CF5127">
        <w:trPr>
          <w:trHeight w:val="286"/>
        </w:trPr>
        <w:tc>
          <w:tcPr>
            <w:tcW w:w="1606" w:type="dxa"/>
            <w:noWrap/>
            <w:hideMark/>
          </w:tcPr>
          <w:p w14:paraId="62190C95" w14:textId="77777777" w:rsidR="00CF5127" w:rsidRPr="00EA3024" w:rsidRDefault="00CF5127" w:rsidP="00CF5127">
            <w:pPr>
              <w:jc w:val="both"/>
            </w:pPr>
            <w:r w:rsidRPr="00EA3024">
              <w:t>20-10-19</w:t>
            </w:r>
          </w:p>
        </w:tc>
        <w:tc>
          <w:tcPr>
            <w:tcW w:w="967" w:type="dxa"/>
            <w:noWrap/>
            <w:hideMark/>
          </w:tcPr>
          <w:p w14:paraId="76049415" w14:textId="77777777" w:rsidR="00CF5127" w:rsidRPr="00EA3024" w:rsidRDefault="00CF5127" w:rsidP="00CF5127">
            <w:pPr>
              <w:jc w:val="both"/>
            </w:pPr>
            <w:r w:rsidRPr="00EA3024">
              <w:t>66.64</w:t>
            </w:r>
          </w:p>
        </w:tc>
        <w:tc>
          <w:tcPr>
            <w:tcW w:w="967" w:type="dxa"/>
            <w:noWrap/>
            <w:hideMark/>
          </w:tcPr>
          <w:p w14:paraId="28B1CF4F" w14:textId="77777777" w:rsidR="00CF5127" w:rsidRPr="00EA3024" w:rsidRDefault="00CF5127" w:rsidP="00CF5127">
            <w:pPr>
              <w:jc w:val="both"/>
            </w:pPr>
            <w:r w:rsidRPr="00EA3024">
              <w:t>68.09</w:t>
            </w:r>
          </w:p>
        </w:tc>
        <w:tc>
          <w:tcPr>
            <w:tcW w:w="967" w:type="dxa"/>
            <w:noWrap/>
            <w:hideMark/>
          </w:tcPr>
          <w:p w14:paraId="486ACFE8" w14:textId="77777777" w:rsidR="00CF5127" w:rsidRPr="00EA3024" w:rsidRDefault="00CF5127" w:rsidP="00CF5127">
            <w:pPr>
              <w:jc w:val="both"/>
            </w:pPr>
            <w:r w:rsidRPr="00EA3024">
              <w:t>66.55</w:t>
            </w:r>
          </w:p>
        </w:tc>
        <w:tc>
          <w:tcPr>
            <w:tcW w:w="967" w:type="dxa"/>
            <w:noWrap/>
            <w:hideMark/>
          </w:tcPr>
          <w:p w14:paraId="44B6D8B0" w14:textId="77777777" w:rsidR="00CF5127" w:rsidRPr="00EA3024" w:rsidRDefault="00CF5127" w:rsidP="00CF5127">
            <w:pPr>
              <w:jc w:val="both"/>
            </w:pPr>
            <w:r w:rsidRPr="00EA3024">
              <w:t>67</w:t>
            </w:r>
          </w:p>
        </w:tc>
        <w:tc>
          <w:tcPr>
            <w:tcW w:w="1039" w:type="dxa"/>
            <w:noWrap/>
            <w:hideMark/>
          </w:tcPr>
          <w:p w14:paraId="35A3B6DF" w14:textId="77777777" w:rsidR="00CF5127" w:rsidRPr="00EA3024" w:rsidRDefault="00CF5127" w:rsidP="00CF5127">
            <w:pPr>
              <w:jc w:val="both"/>
            </w:pPr>
            <w:r w:rsidRPr="00EA3024">
              <w:t>276455</w:t>
            </w:r>
          </w:p>
        </w:tc>
      </w:tr>
    </w:tbl>
    <w:p w14:paraId="7A04C6A3" w14:textId="61BEDEE0" w:rsidR="003061AF" w:rsidRDefault="00811A3E" w:rsidP="00FE1921">
      <w:pPr>
        <w:jc w:val="both"/>
      </w:pPr>
      <w:r w:rsidRPr="00811A3E">
        <w:t xml:space="preserve">A sample used data of BBS Cables Company has been displayed in </w:t>
      </w:r>
      <w:r w:rsidRPr="00A85AE3">
        <w:rPr>
          <w:b/>
          <w:bCs/>
        </w:rPr>
        <w:t>Table 3</w:t>
      </w:r>
      <w:r w:rsidRPr="00811A3E">
        <w:t>.</w:t>
      </w:r>
      <w:r w:rsidR="00FE1921" w:rsidRPr="00FE1921">
        <w:t xml:space="preserve"> </w:t>
      </w:r>
      <w:r w:rsidR="00FE1921">
        <w:t xml:space="preserve">It represents </w:t>
      </w:r>
      <w:r w:rsidR="00FE1921" w:rsidRPr="00D32749">
        <w:t>several important attributes</w:t>
      </w:r>
      <w:r w:rsidR="00FE1921">
        <w:t xml:space="preserve"> of stock market along with </w:t>
      </w:r>
      <w:proofErr w:type="gramStart"/>
      <w:r w:rsidR="00FE1921">
        <w:t>companies</w:t>
      </w:r>
      <w:proofErr w:type="gramEnd"/>
      <w:r w:rsidR="00FE1921">
        <w:t xml:space="preserve"> information and their stock prices.</w:t>
      </w:r>
      <w:r w:rsidRPr="00811A3E">
        <w:t xml:space="preserve"> </w:t>
      </w:r>
      <w:r w:rsidR="00FE1921">
        <w:t>T</w:t>
      </w:r>
      <w:r w:rsidR="00D32749" w:rsidRPr="00D32749">
        <w:t>he details of those attributes are given below.</w:t>
      </w:r>
    </w:p>
    <w:p w14:paraId="72792D02" w14:textId="5D503DE8" w:rsidR="00CF5127" w:rsidRDefault="00A85AE3" w:rsidP="00FE1921">
      <w:pPr>
        <w:jc w:val="both"/>
      </w:pPr>
      <w:r>
        <w:t xml:space="preserve">              Table 3 Sample Data (BBS Cables Stock Value)</w:t>
      </w:r>
    </w:p>
    <w:p w14:paraId="53AD2191" w14:textId="33EDA4C6" w:rsidR="00CF5127" w:rsidRDefault="00CF5127" w:rsidP="00FE1921">
      <w:pPr>
        <w:jc w:val="both"/>
      </w:pPr>
    </w:p>
    <w:p w14:paraId="3ED70563" w14:textId="59F68F6A" w:rsidR="00CF5127" w:rsidRDefault="00CF5127" w:rsidP="00FE1921">
      <w:pPr>
        <w:jc w:val="both"/>
      </w:pPr>
    </w:p>
    <w:p w14:paraId="62E8B74A" w14:textId="14CC6D4C" w:rsidR="00CF5127" w:rsidRDefault="00CF5127" w:rsidP="00FE1921">
      <w:pPr>
        <w:jc w:val="both"/>
      </w:pPr>
    </w:p>
    <w:p w14:paraId="0189C72B" w14:textId="1DAA65D6" w:rsidR="00CF5127" w:rsidRDefault="00CF5127" w:rsidP="00FE1921">
      <w:pPr>
        <w:jc w:val="both"/>
      </w:pPr>
    </w:p>
    <w:p w14:paraId="2D117279" w14:textId="116165FD" w:rsidR="00CF5127" w:rsidRDefault="00CF5127" w:rsidP="00FE1921">
      <w:pPr>
        <w:jc w:val="both"/>
      </w:pPr>
    </w:p>
    <w:p w14:paraId="60924475" w14:textId="77777777" w:rsidR="00CF5127" w:rsidRDefault="00CF5127" w:rsidP="00FE1921">
      <w:pPr>
        <w:jc w:val="both"/>
      </w:pPr>
    </w:p>
    <w:p w14:paraId="4B5916EB" w14:textId="33D10AA4" w:rsidR="00221F0B" w:rsidRDefault="00221F0B" w:rsidP="00FE1921">
      <w:pPr>
        <w:jc w:val="both"/>
      </w:pPr>
    </w:p>
    <w:p w14:paraId="2BC3854F" w14:textId="77777777" w:rsidR="00CF5127" w:rsidRDefault="00CF5127" w:rsidP="00221F0B">
      <w:pPr>
        <w:jc w:val="both"/>
      </w:pPr>
    </w:p>
    <w:p w14:paraId="0A02A9F1" w14:textId="77777777" w:rsidR="00CF5127" w:rsidRDefault="00CF5127" w:rsidP="00221F0B">
      <w:pPr>
        <w:jc w:val="both"/>
      </w:pPr>
    </w:p>
    <w:p w14:paraId="276BBC88" w14:textId="77777777" w:rsidR="00CF5127" w:rsidRDefault="00CF5127" w:rsidP="00221F0B">
      <w:pPr>
        <w:jc w:val="both"/>
      </w:pPr>
    </w:p>
    <w:p w14:paraId="25FB7012" w14:textId="77777777" w:rsidR="00CF5127" w:rsidRDefault="00CF5127" w:rsidP="00221F0B">
      <w:pPr>
        <w:jc w:val="both"/>
      </w:pPr>
      <w:bookmarkStart w:id="0" w:name="_GoBack"/>
      <w:bookmarkEnd w:id="0"/>
    </w:p>
    <w:p w14:paraId="7592042D" w14:textId="693EB6E5" w:rsidR="00221F0B" w:rsidRDefault="00221F0B" w:rsidP="00221F0B">
      <w:pPr>
        <w:jc w:val="both"/>
      </w:pPr>
      <w:r w:rsidRPr="00A85AE3">
        <w:rPr>
          <w:b/>
          <w:bCs/>
        </w:rPr>
        <w:t>Open:</w:t>
      </w:r>
      <w:r w:rsidRPr="00221F0B">
        <w:t xml:space="preserve"> </w:t>
      </w:r>
      <w:r>
        <w:t>In the financial markets the term "open" has several usages. Basically, opening price is price which the financial security opens in the market when trading begins or other words first trade for any listed stock. Moreover, for day's trading activity the opening price is an important marker as well as for those whose interested in measuring short-term results such as day traders.</w:t>
      </w:r>
    </w:p>
    <w:p w14:paraId="2AB35A62" w14:textId="063A92BB" w:rsidR="00221F0B" w:rsidRDefault="00221F0B" w:rsidP="003A48D7">
      <w:pPr>
        <w:jc w:val="both"/>
      </w:pPr>
      <w:r w:rsidRPr="00A85AE3">
        <w:rPr>
          <w:b/>
          <w:bCs/>
        </w:rPr>
        <w:t>Close:</w:t>
      </w:r>
      <w:r>
        <w:t xml:space="preserve"> </w:t>
      </w:r>
      <w:r w:rsidR="003A48D7">
        <w:t>The term "Close" refers to a security’s trading price at the end of a day’s business in a financial market. It can also refer to last price at which a stock trades during a regular trading session.</w:t>
      </w:r>
      <w:r w:rsidR="003A48D7" w:rsidRPr="003A48D7">
        <w:t xml:space="preserve"> This term helps investors</w:t>
      </w:r>
      <w:r w:rsidR="003A48D7">
        <w:t xml:space="preserve"> to</w:t>
      </w:r>
      <w:r w:rsidR="003A48D7" w:rsidRPr="003A48D7">
        <w:t xml:space="preserve"> analyzing historical returns on an investment and understand changes in the value of a security over a certain time frame.</w:t>
      </w:r>
    </w:p>
    <w:p w14:paraId="101BD4B9" w14:textId="11F2349C" w:rsidR="007A2C48" w:rsidRDefault="007A2C48" w:rsidP="007A2C48">
      <w:pPr>
        <w:jc w:val="both"/>
      </w:pPr>
      <w:r w:rsidRPr="00A85AE3">
        <w:rPr>
          <w:b/>
          <w:bCs/>
        </w:rPr>
        <w:t>High:</w:t>
      </w:r>
      <w:r>
        <w:t xml:space="preserve"> The term "High" means the highest price in a given period of time. Broadly high refers to a security's intraday high trading price during the course of the trading day.</w:t>
      </w:r>
      <w:r w:rsidRPr="007A2C48">
        <w:t xml:space="preserve"> Sometimes it’s may or may not be higher than the closing or opening price.</w:t>
      </w:r>
    </w:p>
    <w:p w14:paraId="13D8ED5C" w14:textId="52D48655" w:rsidR="007A2C48" w:rsidRDefault="007A2C48" w:rsidP="007A2C48">
      <w:pPr>
        <w:jc w:val="both"/>
      </w:pPr>
      <w:r w:rsidRPr="00A85AE3">
        <w:rPr>
          <w:b/>
          <w:bCs/>
        </w:rPr>
        <w:t>Low:</w:t>
      </w:r>
      <w:r w:rsidR="00FF4527" w:rsidRPr="00FF4527">
        <w:t xml:space="preserve"> Today’s low is lowest price in a given period of time which a stock trades over the course of a trading day. It is typically lower than the opening or closing price.</w:t>
      </w:r>
    </w:p>
    <w:p w14:paraId="3E324505" w14:textId="0CE341B2" w:rsidR="00FF4527" w:rsidRDefault="00FF4527" w:rsidP="004D6081">
      <w:pPr>
        <w:jc w:val="both"/>
      </w:pPr>
      <w:r w:rsidRPr="00A85AE3">
        <w:rPr>
          <w:b/>
          <w:bCs/>
        </w:rPr>
        <w:t>Volume:</w:t>
      </w:r>
      <w:r>
        <w:t xml:space="preserve"> </w:t>
      </w:r>
      <w:r w:rsidR="004D6081">
        <w:t xml:space="preserve">Volume is the amounts of shares bought or sold of a stock in a given period of time. In the larger sense volume is the total number of shares that are actually traded during the trading day. It is important because the more volume the more people agree with the price of the stock </w:t>
      </w:r>
      <w:r w:rsidR="004D6081" w:rsidRPr="004D6081">
        <w:t>and also a</w:t>
      </w:r>
      <w:r w:rsidR="004D6081">
        <w:t>n</w:t>
      </w:r>
      <w:r w:rsidR="004D6081" w:rsidRPr="004D6081">
        <w:t xml:space="preserve"> important indicator in technical analysis.</w:t>
      </w:r>
    </w:p>
    <w:p w14:paraId="5985AF2D" w14:textId="73EAA8D2" w:rsidR="00194482" w:rsidRDefault="00045BD8" w:rsidP="00045BD8">
      <w:pPr>
        <w:jc w:val="both"/>
      </w:pPr>
      <w:r>
        <w:lastRenderedPageBreak/>
        <w:t>We have used the Close column of our dataset as the Actual value of the stock and train our system in that way for trend estimation. Then use some auxiliary columns for improve prediction accuracy.</w:t>
      </w:r>
    </w:p>
    <w:p w14:paraId="142ABBC9" w14:textId="77777777" w:rsidR="00A85AE3" w:rsidRDefault="00A85AE3" w:rsidP="00CF5127">
      <w:pPr>
        <w:jc w:val="both"/>
      </w:pPr>
    </w:p>
    <w:p w14:paraId="65BDDAFA" w14:textId="64225843" w:rsidR="00CF5127" w:rsidRPr="00A85AE3" w:rsidRDefault="00A85AE3" w:rsidP="00CF5127">
      <w:pPr>
        <w:jc w:val="both"/>
        <w:rPr>
          <w:b/>
          <w:bCs/>
        </w:rPr>
      </w:pPr>
      <w:r w:rsidRPr="00A85AE3">
        <w:rPr>
          <w:b/>
          <w:bCs/>
        </w:rPr>
        <w:t>4</w:t>
      </w:r>
      <w:r w:rsidR="00CF5127" w:rsidRPr="00A85AE3">
        <w:rPr>
          <w:b/>
          <w:bCs/>
        </w:rPr>
        <w:t>.</w:t>
      </w:r>
      <w:r w:rsidRPr="00A85AE3">
        <w:rPr>
          <w:b/>
          <w:bCs/>
        </w:rPr>
        <w:t>3</w:t>
      </w:r>
      <w:r w:rsidR="00CF5127" w:rsidRPr="00A85AE3">
        <w:rPr>
          <w:b/>
          <w:bCs/>
        </w:rPr>
        <w:t>. Forecasting Performance Evaluation</w:t>
      </w:r>
    </w:p>
    <w:p w14:paraId="693327DB" w14:textId="3CB8FF8F" w:rsidR="00194482" w:rsidRDefault="00CF5127" w:rsidP="00CF5127">
      <w:pPr>
        <w:jc w:val="both"/>
      </w:pPr>
      <w:r>
        <w:t>It is mandatory for every forecasting model to evaluate</w:t>
      </w:r>
      <w:r w:rsidR="004E683F">
        <w:t xml:space="preserve"> </w:t>
      </w:r>
      <w:r>
        <w:t>its forecast accuracy without which it is difficult to determine how well a model performs on new data set. Further,</w:t>
      </w:r>
      <w:r w:rsidR="004E683F">
        <w:t xml:space="preserve"> </w:t>
      </w:r>
      <w:r>
        <w:t>the residual’s size is not a true dependable indication of how</w:t>
      </w:r>
      <w:r w:rsidR="004E683F">
        <w:t xml:space="preserve"> </w:t>
      </w:r>
      <w:r>
        <w:t>large true forecast errors are likely to be. For which the accuracy of forecasts can only be estimated by considering the</w:t>
      </w:r>
      <w:r w:rsidR="004E683F">
        <w:t xml:space="preserve"> </w:t>
      </w:r>
      <w:r>
        <w:t>size of error rather than size of the residuals. There are many</w:t>
      </w:r>
      <w:r w:rsidR="004E683F">
        <w:t xml:space="preserve"> </w:t>
      </w:r>
      <w:r>
        <w:t>forecasting performance measures used to evaluate the size</w:t>
      </w:r>
      <w:r w:rsidR="004E683F">
        <w:t xml:space="preserve"> </w:t>
      </w:r>
      <w:r>
        <w:t>of the error, while considering the size of the error, different</w:t>
      </w:r>
      <w:r w:rsidR="004E683F">
        <w:t xml:space="preserve"> </w:t>
      </w:r>
      <w:r>
        <w:t>dimensions may be addressed.</w:t>
      </w:r>
    </w:p>
    <w:p w14:paraId="2E2D2EDE" w14:textId="77777777" w:rsidR="004E683F" w:rsidRPr="00A85AE3" w:rsidRDefault="004E683F" w:rsidP="004E683F">
      <w:pPr>
        <w:jc w:val="both"/>
        <w:rPr>
          <w:b/>
          <w:bCs/>
        </w:rPr>
      </w:pPr>
      <w:r w:rsidRPr="00A85AE3">
        <w:rPr>
          <w:b/>
          <w:bCs/>
        </w:rPr>
        <w:t>Root Mean Square Error (RMSE):</w:t>
      </w:r>
    </w:p>
    <w:p w14:paraId="39180C92" w14:textId="14169694" w:rsidR="00194482" w:rsidRDefault="004E683F" w:rsidP="004E683F">
      <w:pPr>
        <w:jc w:val="both"/>
      </w:pPr>
      <w:r>
        <w:t>The Mean Square Error (MSE) value measures the amount of dispersion of the errors. The MSE is calculated as the average of the sum of the squares of forecast errors. The square root of the MSE results in the standard deviation [</w:t>
      </w:r>
      <w:r w:rsidR="000C265B">
        <w:t>2</w:t>
      </w:r>
      <w:r>
        <w:t>]. Root Mean Square Error (RMSE) is nothing but the standard deviation of the residuals (prediction errors). Residuals are the quantity of how far from the regression line data points are. RMSE could be denoted as:</w:t>
      </w:r>
    </w:p>
    <w:p w14:paraId="649CE58B" w14:textId="708A51D8" w:rsidR="004E683F" w:rsidRDefault="004E683F" w:rsidP="004E683F">
      <w:pPr>
        <w:jc w:val="both"/>
      </w:pPr>
    </w:p>
    <w:p w14:paraId="26848EA7" w14:textId="1E0E7B16" w:rsidR="00194482" w:rsidRPr="004E683F" w:rsidRDefault="004E683F" w:rsidP="00194482">
      <w:pPr>
        <w:jc w:val="both"/>
        <w:rPr>
          <w:rFonts w:eastAsiaTheme="minorEastAsia"/>
        </w:rP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rPr>
                  </m:ctrlPr>
                </m:fPr>
                <m:num>
                  <m:nary>
                    <m:naryPr>
                      <m:chr m:val="∑"/>
                      <m:limLoc m:val="undOvr"/>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t</m:t>
                                  </m:r>
                                </m:sub>
                              </m:sSub>
                            </m:e>
                          </m:d>
                        </m:e>
                        <m:sup>
                          <m:r>
                            <w:rPr>
                              <w:rFonts w:ascii="Cambria Math" w:hAnsi="Cambria Math"/>
                            </w:rPr>
                            <m:t>2</m:t>
                          </m:r>
                        </m:sup>
                      </m:sSup>
                    </m:e>
                  </m:nary>
                </m:num>
                <m:den>
                  <m:r>
                    <w:rPr>
                      <w:rFonts w:ascii="Cambria Math" w:hAnsi="Cambria Math"/>
                    </w:rPr>
                    <m:t>n</m:t>
                  </m:r>
                </m:den>
              </m:f>
            </m:e>
          </m:rad>
        </m:oMath>
      </m:oMathPara>
    </w:p>
    <w:p w14:paraId="71117AB8" w14:textId="77777777" w:rsidR="004E683F" w:rsidRDefault="004E683F" w:rsidP="004E683F">
      <w:pPr>
        <w:jc w:val="both"/>
      </w:pPr>
    </w:p>
    <w:p w14:paraId="2C94CA0B" w14:textId="469DDFF3" w:rsidR="004E683F" w:rsidRDefault="004E683F" w:rsidP="004E683F">
      <w:pPr>
        <w:jc w:val="both"/>
      </w:pPr>
      <w:r>
        <w:t xml:space="preserve">where t = time period; n = number of periods predicted; </w:t>
      </w:r>
      <w:proofErr w:type="spellStart"/>
      <w:r>
        <w:t>Yt</w:t>
      </w:r>
      <w:proofErr w:type="spellEnd"/>
      <w:r>
        <w:t xml:space="preserve"> = actual value in time period t; Ft = predicted value in time period t. RMSE is a process of measurement to check how wide out these residuals are. In other words, it gives an account of how centralize the data is around the line of best fit.</w:t>
      </w:r>
    </w:p>
    <w:p w14:paraId="47B4EC78" w14:textId="77777777" w:rsidR="004E683F" w:rsidRPr="00A85AE3" w:rsidRDefault="004E683F" w:rsidP="004E683F">
      <w:pPr>
        <w:jc w:val="both"/>
        <w:rPr>
          <w:b/>
          <w:bCs/>
        </w:rPr>
      </w:pPr>
      <w:r w:rsidRPr="00A85AE3">
        <w:rPr>
          <w:b/>
          <w:bCs/>
        </w:rPr>
        <w:t>Mean Absolute Percentage Error (MAPE):</w:t>
      </w:r>
    </w:p>
    <w:p w14:paraId="31A557E7" w14:textId="7823994C" w:rsidR="004E683F" w:rsidRDefault="004E683F" w:rsidP="004E683F">
      <w:pPr>
        <w:jc w:val="both"/>
      </w:pPr>
      <w:r>
        <w:t>Mean Absolute Percentage Error is a widely used evaluation of forecasting methods, which is actually a statistical measure of how accurate a forecast system is and computes error as a percentage. The average absolute percentage error for each time period minus actual values divided by actual values is equal value to this method [</w:t>
      </w:r>
      <w:r w:rsidR="000C265B">
        <w:t>2</w:t>
      </w:r>
      <w:r>
        <w:t>]. The MAPE is calculated as:</w:t>
      </w:r>
    </w:p>
    <w:p w14:paraId="002448F1" w14:textId="77777777" w:rsidR="004E683F" w:rsidRDefault="004E683F" w:rsidP="004E683F">
      <w:pPr>
        <w:jc w:val="both"/>
      </w:pPr>
    </w:p>
    <w:p w14:paraId="2411EAA4" w14:textId="06E35962" w:rsidR="00194482" w:rsidRDefault="004E683F" w:rsidP="00194482">
      <w:pPr>
        <w:jc w:val="both"/>
      </w:pPr>
      <m:oMathPara>
        <m:oMath>
          <m:r>
            <w:rPr>
              <w:rFonts w:ascii="Cambria Math" w:hAnsi="Cambria Math"/>
            </w:rPr>
            <m:t xml:space="preserve">MAPE= </m:t>
          </m:r>
          <m:f>
            <m:fPr>
              <m:ctrlPr>
                <w:rPr>
                  <w:rFonts w:ascii="Cambria Math" w:hAnsi="Cambria Math"/>
                </w:rPr>
              </m:ctrlPr>
            </m:fPr>
            <m:num>
              <m:nary>
                <m:naryPr>
                  <m:chr m:val="∑"/>
                  <m:limLoc m:val="undOvr"/>
                  <m:subHide m:val="1"/>
                  <m:supHide m:val="1"/>
                  <m:ctrlPr>
                    <w:rPr>
                      <w:rFonts w:ascii="Cambria Math" w:hAnsi="Cambria Math"/>
                    </w:rPr>
                  </m:ctrlPr>
                </m:naryPr>
                <m:sub/>
                <m:sup/>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t</m:t>
                              </m:r>
                            </m:sub>
                          </m:sSub>
                        </m:e>
                      </m:d>
                    </m:num>
                    <m:den>
                      <m:sSub>
                        <m:sSubPr>
                          <m:ctrlPr>
                            <w:rPr>
                              <w:rFonts w:ascii="Cambria Math" w:hAnsi="Cambria Math"/>
                            </w:rPr>
                          </m:ctrlPr>
                        </m:sSubPr>
                        <m:e>
                          <m:r>
                            <w:rPr>
                              <w:rFonts w:ascii="Cambria Math" w:hAnsi="Cambria Math"/>
                            </w:rPr>
                            <m:t>Y</m:t>
                          </m:r>
                        </m:e>
                        <m:sub>
                          <m:r>
                            <w:rPr>
                              <w:rFonts w:ascii="Cambria Math" w:hAnsi="Cambria Math"/>
                            </w:rPr>
                            <m:t>t</m:t>
                          </m:r>
                        </m:sub>
                      </m:sSub>
                    </m:den>
                  </m:f>
                </m:e>
              </m:nary>
            </m:num>
            <m:den>
              <m:r>
                <w:rPr>
                  <w:rFonts w:ascii="Cambria Math" w:hAnsi="Cambria Math"/>
                </w:rPr>
                <m:t>n</m:t>
              </m:r>
            </m:den>
          </m:f>
          <m:r>
            <w:rPr>
              <w:rFonts w:ascii="Cambria Math" w:hAnsi="Cambria Math"/>
            </w:rPr>
            <m:t xml:space="preserve"> × 100%</m:t>
          </m:r>
        </m:oMath>
      </m:oMathPara>
    </w:p>
    <w:p w14:paraId="2668BC8C" w14:textId="1DA0E1DC" w:rsidR="00194482" w:rsidRDefault="00194482" w:rsidP="00194482">
      <w:pPr>
        <w:jc w:val="both"/>
      </w:pPr>
    </w:p>
    <w:p w14:paraId="1CDFFB1B" w14:textId="35B35CB0" w:rsidR="00194482" w:rsidRDefault="004E683F" w:rsidP="004E683F">
      <w:pPr>
        <w:jc w:val="both"/>
      </w:pPr>
      <w:r>
        <w:t xml:space="preserve">where, </w:t>
      </w:r>
      <w:proofErr w:type="spellStart"/>
      <w:r>
        <w:t>Yt</w:t>
      </w:r>
      <w:proofErr w:type="spellEnd"/>
      <w:r>
        <w:t xml:space="preserve"> is the actual value and Ft is the predicted value. One of the best </w:t>
      </w:r>
      <w:proofErr w:type="gramStart"/>
      <w:r>
        <w:t>advantage</w:t>
      </w:r>
      <w:proofErr w:type="gramEnd"/>
      <w:r>
        <w:t xml:space="preserve"> of MAPE is being unit-free, and therefore is frequently used to compare forecast performances between many data sets. A scale to judge the accuracy of the model based on the MAPE measure was developed by Lewis [</w:t>
      </w:r>
      <w:r w:rsidR="000C265B">
        <w:t>3</w:t>
      </w:r>
      <w:r>
        <w:t xml:space="preserve">] where </w:t>
      </w:r>
      <w:r>
        <w:lastRenderedPageBreak/>
        <w:t>less than 10% is considered as High Accuracy, between 11% and 20% (inclusive) is Good forecast, between 21% to 50% (inclusive) is reasonable forecasting and more than 50% MAPE value represents inaccurate forecasting.</w:t>
      </w:r>
    </w:p>
    <w:p w14:paraId="30581024" w14:textId="77777777" w:rsidR="004E683F" w:rsidRPr="00A85AE3" w:rsidRDefault="004E683F" w:rsidP="004E683F">
      <w:pPr>
        <w:jc w:val="both"/>
        <w:rPr>
          <w:b/>
          <w:bCs/>
        </w:rPr>
      </w:pPr>
      <w:r w:rsidRPr="00A85AE3">
        <w:rPr>
          <w:b/>
          <w:bCs/>
        </w:rPr>
        <w:t>Percentage Forecast Error (PFE):</w:t>
      </w:r>
    </w:p>
    <w:p w14:paraId="3C139CC6" w14:textId="240FD1CE" w:rsidR="00194482" w:rsidRDefault="004E683F" w:rsidP="004E683F">
      <w:pPr>
        <w:jc w:val="both"/>
      </w:pPr>
      <w:r>
        <w:t>The conventional forecast performance measures have no real world or business meaning or context that motivates to develop a measure call the Percentage Forecast Error (PFE). It is a new forecasting alternative that offers a practical and accurate measurement as well as forecasters confidence. The PFE is calculated as,</w:t>
      </w:r>
    </w:p>
    <w:p w14:paraId="54285603" w14:textId="37D975C3" w:rsidR="00194482" w:rsidRDefault="004E683F" w:rsidP="00194482">
      <w:pPr>
        <w:jc w:val="both"/>
      </w:pPr>
      <m:oMathPara>
        <m:oMath>
          <m:r>
            <w:rPr>
              <w:rFonts w:ascii="Cambria Math" w:hAnsi="Cambria Math"/>
            </w:rPr>
            <m:t xml:space="preserve">PFE= </m:t>
          </m:r>
          <m:f>
            <m:fPr>
              <m:ctrlPr>
                <w:rPr>
                  <w:rFonts w:ascii="Cambria Math" w:hAnsi="Cambria Math"/>
                </w:rPr>
              </m:ctrlPr>
            </m:fPr>
            <m:num>
              <m:r>
                <w:rPr>
                  <w:rFonts w:ascii="Cambria Math" w:hAnsi="Cambria Math"/>
                </w:rPr>
                <m:t xml:space="preserve">2 × </m:t>
              </m:r>
              <m:sSub>
                <m:sSubPr>
                  <m:ctrlPr>
                    <w:rPr>
                      <w:rFonts w:ascii="Cambria Math" w:hAnsi="Cambria Math"/>
                    </w:rPr>
                  </m:ctrlPr>
                </m:sSubPr>
                <m:e>
                  <m:r>
                    <w:rPr>
                      <w:rFonts w:ascii="Cambria Math" w:hAnsi="Cambria Math"/>
                    </w:rPr>
                    <m:t>s</m:t>
                  </m:r>
                </m:e>
                <m:sub>
                  <m:r>
                    <w:rPr>
                      <w:rFonts w:ascii="Cambria Math" w:hAnsi="Cambria Math"/>
                    </w:rPr>
                    <m:t>e</m:t>
                  </m:r>
                </m:sub>
              </m:sSub>
            </m:num>
            <m:den>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t+1</m:t>
                  </m:r>
                </m:sub>
              </m:sSub>
            </m:den>
          </m:f>
          <m:r>
            <w:rPr>
              <w:rFonts w:ascii="Cambria Math" w:hAnsi="Cambria Math"/>
            </w:rPr>
            <m:t xml:space="preserve"> ×100%</m:t>
          </m:r>
        </m:oMath>
      </m:oMathPara>
    </w:p>
    <w:p w14:paraId="6E7392C0" w14:textId="62D1BE1E" w:rsidR="00194482" w:rsidRDefault="00194482" w:rsidP="00194482">
      <w:pPr>
        <w:jc w:val="both"/>
      </w:pPr>
    </w:p>
    <w:p w14:paraId="2377742B" w14:textId="464D6302" w:rsidR="00194482" w:rsidRDefault="004E683F" w:rsidP="004E683F">
      <w:pPr>
        <w:jc w:val="both"/>
      </w:pPr>
      <w:r>
        <w:t>where s e is the standard error and Ŷt+1 is the forecasted value for the next time period, t+1. The PFE is somewhat almost like to the coefficient of variation (CV) in which one measures the relative dispersion around the mean. With the PFE, there is a similar ratio except that in the numerator of the PFE measure the standard error, which is multiplied by 2. As a result, the resulting measure is 2 standard deviates far away from the mean in conjunction with the Empirical Rule. Accordingly, using the PFE value with a high level of certainty which is almost 95% and it allows one to say that the forecast for the next time period will be within PFE% of the actual value. In other words, one is highly certain that the forecast will be within 20% of the actual value [4].</w:t>
      </w:r>
    </w:p>
    <w:p w14:paraId="622CC4FF" w14:textId="6A8E5748" w:rsidR="00194482" w:rsidRDefault="00194482" w:rsidP="00194482">
      <w:pPr>
        <w:jc w:val="both"/>
      </w:pPr>
    </w:p>
    <w:p w14:paraId="71B74D87" w14:textId="14A0F548" w:rsidR="00194482" w:rsidRDefault="00194482" w:rsidP="00194482">
      <w:pPr>
        <w:jc w:val="both"/>
      </w:pPr>
    </w:p>
    <w:p w14:paraId="7DEE970E" w14:textId="4525F45D" w:rsidR="00A85AE3" w:rsidRDefault="00A85AE3" w:rsidP="00194482">
      <w:pPr>
        <w:jc w:val="both"/>
      </w:pPr>
    </w:p>
    <w:p w14:paraId="5C1C6C6D" w14:textId="497866DE" w:rsidR="00A85AE3" w:rsidRDefault="00A85AE3" w:rsidP="00194482">
      <w:pPr>
        <w:jc w:val="both"/>
      </w:pPr>
    </w:p>
    <w:p w14:paraId="2B0F2140" w14:textId="4257D27C" w:rsidR="00A85AE3" w:rsidRDefault="00A85AE3" w:rsidP="00194482">
      <w:pPr>
        <w:jc w:val="both"/>
      </w:pPr>
      <w:r>
        <w:t>References:</w:t>
      </w:r>
    </w:p>
    <w:p w14:paraId="3E32AA6D" w14:textId="6C67520C" w:rsidR="00A85AE3" w:rsidRDefault="00A85AE3" w:rsidP="00194482">
      <w:pPr>
        <w:jc w:val="both"/>
      </w:pPr>
      <w:r>
        <w:t>[1].</w:t>
      </w:r>
      <w:r w:rsidRPr="00A85AE3">
        <w:t xml:space="preserve"> Stock Bangladesh, Available: https://stockbangladesh.com, Last Accessed on 2</w:t>
      </w:r>
      <w:r>
        <w:t>8</w:t>
      </w:r>
      <w:r w:rsidRPr="00A85AE3">
        <w:t xml:space="preserve">th </w:t>
      </w:r>
      <w:r>
        <w:t>December</w:t>
      </w:r>
      <w:r w:rsidRPr="00A85AE3">
        <w:t>, 20</w:t>
      </w:r>
      <w:r>
        <w:t>20</w:t>
      </w:r>
    </w:p>
    <w:p w14:paraId="52C38301" w14:textId="3CF796A4" w:rsidR="00A85AE3" w:rsidRDefault="00A85AE3" w:rsidP="000C265B">
      <w:pPr>
        <w:jc w:val="both"/>
      </w:pPr>
      <w:r>
        <w:t>[2].</w:t>
      </w:r>
      <w:r w:rsidR="000C265B" w:rsidRPr="000C265B">
        <w:t xml:space="preserve"> </w:t>
      </w:r>
      <w:r w:rsidR="000C265B">
        <w:t xml:space="preserve">R. K. </w:t>
      </w:r>
      <w:proofErr w:type="spellStart"/>
      <w:r w:rsidR="000C265B">
        <w:t>Klimberg</w:t>
      </w:r>
      <w:proofErr w:type="spellEnd"/>
      <w:r w:rsidR="000C265B">
        <w:t xml:space="preserve">, G. P. </w:t>
      </w:r>
      <w:proofErr w:type="spellStart"/>
      <w:r w:rsidR="000C265B">
        <w:t>Sillup</w:t>
      </w:r>
      <w:proofErr w:type="spellEnd"/>
      <w:r w:rsidR="000C265B">
        <w:t xml:space="preserve">, K. J. Boyle, and V. </w:t>
      </w:r>
      <w:proofErr w:type="spellStart"/>
      <w:r w:rsidR="000C265B">
        <w:t>Tavva</w:t>
      </w:r>
      <w:proofErr w:type="spellEnd"/>
      <w:r w:rsidR="000C265B">
        <w:t>, “Forecasting performance measures—what are their practical meaning?” Advances in business and management forecasting, vol. 7, pp. 137–147,2010.</w:t>
      </w:r>
    </w:p>
    <w:p w14:paraId="015AEF18" w14:textId="3A1253B7" w:rsidR="000C265B" w:rsidRDefault="000C265B" w:rsidP="000C265B">
      <w:pPr>
        <w:jc w:val="both"/>
      </w:pPr>
      <w:r>
        <w:t>[3].</w:t>
      </w:r>
      <w:r w:rsidRPr="000C265B">
        <w:t xml:space="preserve"> </w:t>
      </w:r>
      <w:r>
        <w:t xml:space="preserve">M. </w:t>
      </w:r>
      <w:proofErr w:type="spellStart"/>
      <w:r>
        <w:t>Tirea</w:t>
      </w:r>
      <w:proofErr w:type="spellEnd"/>
      <w:r>
        <w:t xml:space="preserve"> and V. </w:t>
      </w:r>
      <w:proofErr w:type="spellStart"/>
      <w:r>
        <w:t>Negru</w:t>
      </w:r>
      <w:proofErr w:type="spellEnd"/>
      <w:r>
        <w:t>, “Stock market analysis-strongest performing stocks influence on an evolutionary market,” in Proceedings of the ITI 2013 35th International Conference on Information Technology Interfaces. IEEE, 2013, pp. 263–270.</w:t>
      </w:r>
    </w:p>
    <w:p w14:paraId="6C226141" w14:textId="4EC3BD99" w:rsidR="000C265B" w:rsidRDefault="000C265B" w:rsidP="000C265B">
      <w:pPr>
        <w:jc w:val="both"/>
      </w:pPr>
      <w:r>
        <w:t>[4].</w:t>
      </w:r>
      <w:r w:rsidRPr="000C265B">
        <w:t xml:space="preserve"> </w:t>
      </w:r>
      <w:r>
        <w:t xml:space="preserve">R. </w:t>
      </w:r>
      <w:proofErr w:type="spellStart"/>
      <w:r>
        <w:t>Klimberg</w:t>
      </w:r>
      <w:proofErr w:type="spellEnd"/>
      <w:r>
        <w:t xml:space="preserve"> and S. </w:t>
      </w:r>
      <w:proofErr w:type="spellStart"/>
      <w:r>
        <w:t>Ratick</w:t>
      </w:r>
      <w:proofErr w:type="spellEnd"/>
      <w:r>
        <w:t>, “A new measure of relative forecast error,” in INFORMS Fall Meeting, 2000.</w:t>
      </w:r>
    </w:p>
    <w:sectPr w:rsidR="000C265B" w:rsidSect="00A9384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ullive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C6BE4"/>
    <w:multiLevelType w:val="hybridMultilevel"/>
    <w:tmpl w:val="C98E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B2"/>
    <w:rsid w:val="00045BD8"/>
    <w:rsid w:val="00080A77"/>
    <w:rsid w:val="000C265B"/>
    <w:rsid w:val="00114742"/>
    <w:rsid w:val="00161764"/>
    <w:rsid w:val="00194482"/>
    <w:rsid w:val="00221F0B"/>
    <w:rsid w:val="002C6ED1"/>
    <w:rsid w:val="003061AF"/>
    <w:rsid w:val="003114AC"/>
    <w:rsid w:val="0035734E"/>
    <w:rsid w:val="0038329F"/>
    <w:rsid w:val="003A48D7"/>
    <w:rsid w:val="004D6081"/>
    <w:rsid w:val="004E683F"/>
    <w:rsid w:val="005A3CF0"/>
    <w:rsid w:val="005D7043"/>
    <w:rsid w:val="006A2A88"/>
    <w:rsid w:val="00732D58"/>
    <w:rsid w:val="00777082"/>
    <w:rsid w:val="007A2C48"/>
    <w:rsid w:val="00811A3E"/>
    <w:rsid w:val="009D1540"/>
    <w:rsid w:val="00A85AE3"/>
    <w:rsid w:val="00A93848"/>
    <w:rsid w:val="00B64C96"/>
    <w:rsid w:val="00C67224"/>
    <w:rsid w:val="00CF5127"/>
    <w:rsid w:val="00D32749"/>
    <w:rsid w:val="00D70150"/>
    <w:rsid w:val="00E104B2"/>
    <w:rsid w:val="00E15378"/>
    <w:rsid w:val="00EA3024"/>
    <w:rsid w:val="00FE1921"/>
    <w:rsid w:val="00FF4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5774"/>
  <w15:chartTrackingRefBased/>
  <w15:docId w15:val="{1BB7EBE6-D735-4065-99A4-D9385F3B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45BD8"/>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A3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AE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42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RAHAT</cp:lastModifiedBy>
  <cp:revision>10</cp:revision>
  <dcterms:created xsi:type="dcterms:W3CDTF">2021-01-01T06:52:00Z</dcterms:created>
  <dcterms:modified xsi:type="dcterms:W3CDTF">2021-01-04T13:44:00Z</dcterms:modified>
</cp:coreProperties>
</file>