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eastAsia="Times New Roman"/>
          <w:b/>
          <w:i w:val="0"/>
          <w:sz w:val="28"/>
        </w:rPr>
        <w:t>UNIVERSITY OF NIGERIA, NSUKKA</w:t>
      </w:r>
    </w:p>
    <w:p>
      <w:pPr>
        <w:spacing w:line="240" w:lineRule="auto" w:before="0" w:after="0"/>
        <w:ind w:firstLine="0"/>
        <w:jc w:val="center"/>
      </w:pPr>
      <w:r>
        <w:rPr>
          <w:rFonts w:ascii="Times New Roman" w:hAnsi="Times New Roman" w:eastAsia="Times New Roman"/>
          <w:b/>
          <w:i w:val="0"/>
          <w:sz w:val="28"/>
        </w:rPr>
        <w:t>FACULTY OF PHYSICAL SCIENCES</w:t>
      </w:r>
    </w:p>
    <w:p>
      <w:pPr>
        <w:spacing w:line="240" w:lineRule="auto" w:before="0" w:after="0"/>
        <w:ind w:firstLine="0"/>
        <w:jc w:val="center"/>
      </w:pPr>
      <w:r>
        <w:rPr>
          <w:rFonts w:ascii="Times New Roman" w:hAnsi="Times New Roman" w:eastAsia="Times New Roman"/>
          <w:b/>
          <w:i w:val="0"/>
          <w:sz w:val="28"/>
        </w:rPr>
        <w:t>DEPARTMENT OF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120" w:after="120"/>
        <w:ind w:firstLine="0"/>
        <w:jc w:val="center"/>
      </w:pPr>
      <w:r>
        <w:rPr>
          <w:rFonts w:ascii="Times New Roman" w:hAnsi="Times New Roman" w:eastAsia="Times New Roman"/>
          <w:b/>
          <w:i w:val="0"/>
          <w:sz w:val="28"/>
        </w:rPr>
        <w:t>AN ONLINE STUDENTS' SYSTEM FOR PREKNOWLEDGE AND OVERVIEW OF LECTURERS</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A PROJECT REPORT</w:t>
      </w:r>
    </w:p>
    <w:p>
      <w:pPr>
        <w:spacing w:line="240" w:lineRule="auto" w:before="80" w:after="80"/>
        <w:ind w:firstLine="0"/>
        <w:jc w:val="center"/>
      </w:pPr>
      <w:r>
        <w:rPr>
          <w:rFonts w:ascii="Times New Roman" w:hAnsi="Times New Roman" w:eastAsia="Times New Roman"/>
          <w:b w:val="0"/>
          <w:i w:val="0"/>
          <w:sz w:val="28"/>
        </w:rPr>
        <w:t>SUBMITTED IN PARTIAL FULFILMENT OF THE REQUIREMENTS FOR THE AWARD OF THE DEGREE OF</w:t>
      </w:r>
    </w:p>
    <w:p>
      <w:pPr>
        <w:spacing w:line="240" w:lineRule="auto" w:before="0" w:after="0"/>
        <w:ind w:firstLine="0"/>
        <w:jc w:val="center"/>
      </w:pPr>
      <w:r>
        <w:rPr>
          <w:rFonts w:ascii="Times New Roman" w:hAnsi="Times New Roman" w:eastAsia="Times New Roman"/>
          <w:b/>
          <w:i w:val="0"/>
          <w:sz w:val="28"/>
        </w:rPr>
        <w:t>BACHELOR OF SCIENCE (B.Sc.) IN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BY</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EZE DOMINION CHIBUIKEM</w:t>
      </w:r>
    </w:p>
    <w:p>
      <w:pPr>
        <w:spacing w:line="240" w:lineRule="auto" w:before="0" w:after="0"/>
        <w:ind w:firstLine="0"/>
        <w:jc w:val="center"/>
      </w:pPr>
      <w:r>
        <w:rPr>
          <w:rFonts w:ascii="Times New Roman" w:hAnsi="Times New Roman" w:eastAsia="Times New Roman"/>
          <w:b/>
          <w:i w:val="0"/>
          <w:sz w:val="28"/>
        </w:rPr>
        <w:t>REGISTRATION NUMBER: 2022/249776</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SUPERVISOR: DR. E. C. UKEKWE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JULY, 2026</w:t>
      </w:r>
    </w:p>
    <w:p>
      <w:r>
        <w:br w:type="page"/>
      </w:r>
    </w:p>
    <w:p>
      <w:pPr>
        <w:spacing w:line="360" w:lineRule="auto" w:before="0" w:after="80"/>
        <w:ind w:firstLine="0"/>
        <w:jc w:val="center"/>
      </w:pPr>
      <w:r>
        <w:rPr>
          <w:rFonts w:ascii="Times New Roman" w:hAnsi="Times New Roman" w:eastAsia="Times New Roman"/>
          <w:b/>
          <w:i w:val="0"/>
          <w:sz w:val="28"/>
        </w:rPr>
        <w:t>DECLARATION</w:t>
      </w:r>
    </w:p>
    <w:p>
      <w:pPr>
        <w:spacing w:line="360" w:lineRule="auto" w:before="0" w:after="0"/>
        <w:ind w:firstLine="720"/>
        <w:jc w:val="both"/>
      </w:pPr>
      <w:r>
        <w:rPr>
          <w:rFonts w:ascii="Times New Roman" w:hAnsi="Times New Roman" w:eastAsia="Times New Roman"/>
          <w:b w:val="0"/>
          <w:i w:val="0"/>
          <w:sz w:val="28"/>
        </w:rPr>
        <w:t>I, Eze Dominion Chibuikem (2022/249776), declare that this project titled "An Online Students' System for Preknowledge and Overview of Lecturers" is my original work. It has not been submitted elsewhere for any degree. Sources used have been acknowledged, and the system was developed under academic supervision in the Department of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Eze Dominion Chibuikem</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CERTIFICATION</w:t>
      </w:r>
    </w:p>
    <w:p>
      <w:pPr>
        <w:spacing w:line="360" w:lineRule="auto" w:before="0" w:after="0"/>
        <w:ind w:firstLine="720"/>
        <w:jc w:val="both"/>
      </w:pPr>
      <w:r>
        <w:rPr>
          <w:rFonts w:ascii="Times New Roman" w:hAnsi="Times New Roman" w:eastAsia="Times New Roman"/>
          <w:b w:val="0"/>
          <w:i w:val="0"/>
          <w:sz w:val="28"/>
        </w:rPr>
        <w:t>This is to certify that this project titled "An Online Students' System for Preknowledge and Overview of Lecturers" was carried out by Eze Dominion Chibuikem (2022/249776) under my supervision and is approved for submission for the B.Sc. degree in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Dr. E. C. Ukekwe</w:t>
      </w:r>
    </w:p>
    <w:p>
      <w:pPr>
        <w:spacing w:line="240" w:lineRule="auto" w:before="0" w:after="0"/>
        <w:ind w:firstLine="0"/>
        <w:jc w:val="left"/>
      </w:pPr>
      <w:r>
        <w:rPr>
          <w:rFonts w:ascii="Times New Roman" w:hAnsi="Times New Roman" w:eastAsia="Times New Roman"/>
          <w:b/>
          <w:i w:val="0"/>
          <w:sz w:val="28"/>
        </w:rPr>
        <w:t>Supervisor</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Head of Department</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External Examiner</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DEDICATION</w:t>
      </w:r>
    </w:p>
    <w:p>
      <w:pPr>
        <w:spacing w:line="360" w:lineRule="auto" w:before="0" w:after="0"/>
        <w:ind w:firstLine="720"/>
        <w:jc w:val="both"/>
      </w:pPr>
      <w:r>
        <w:rPr>
          <w:rFonts w:ascii="Times New Roman" w:hAnsi="Times New Roman" w:eastAsia="Times New Roman"/>
          <w:b w:val="0"/>
          <w:i w:val="0"/>
          <w:sz w:val="28"/>
        </w:rPr>
        <w:t>This work is dedicated to God Almighty and to my family for their support throughout my undergraduate programme.</w:t>
      </w:r>
    </w:p>
    <w:p>
      <w:r>
        <w:br w:type="page"/>
      </w:r>
    </w:p>
    <w:p>
      <w:pPr>
        <w:spacing w:line="360" w:lineRule="auto" w:before="0" w:after="80"/>
        <w:ind w:firstLine="0"/>
        <w:jc w:val="center"/>
      </w:pPr>
      <w:r>
        <w:rPr>
          <w:rFonts w:ascii="Times New Roman" w:hAnsi="Times New Roman" w:eastAsia="Times New Roman"/>
          <w:b/>
          <w:i w:val="0"/>
          <w:sz w:val="28"/>
        </w:rPr>
        <w:t>ACKNOWLEDGEMENTS</w:t>
      </w:r>
    </w:p>
    <w:p>
      <w:pPr>
        <w:spacing w:line="360" w:lineRule="auto" w:before="0" w:after="0"/>
        <w:ind w:firstLine="720"/>
        <w:jc w:val="both"/>
      </w:pPr>
      <w:r>
        <w:rPr>
          <w:rFonts w:ascii="Times New Roman" w:hAnsi="Times New Roman" w:eastAsia="Times New Roman"/>
          <w:b w:val="0"/>
          <w:i w:val="0"/>
          <w:sz w:val="28"/>
        </w:rPr>
        <w:t>I thank God for the grace to complete this project. I am grateful to my supervisor, Dr. E. C. Ukekwe, for guidance and constructive criticism. I thank the Head of Department and staff of Computer Science, UNN, the lecturers and students who participated in interviews and assessments, and my family and friends for their support. Any remaining errors are mine alone.</w:t>
      </w:r>
    </w:p>
    <w:p>
      <w:r>
        <w:br w:type="page"/>
      </w:r>
    </w:p>
    <w:p>
      <w:pPr>
        <w:spacing w:line="360" w:lineRule="auto" w:before="0" w:after="80"/>
        <w:ind w:firstLine="0"/>
        <w:jc w:val="center"/>
      </w:pPr>
      <w:r>
        <w:rPr>
          <w:rFonts w:ascii="Times New Roman" w:hAnsi="Times New Roman" w:eastAsia="Times New Roman"/>
          <w:b/>
          <w:i w:val="0"/>
          <w:sz w:val="28"/>
        </w:rPr>
        <w:t>ABSTRACT</w:t>
      </w:r>
    </w:p>
    <w:p>
      <w:pPr>
        <w:spacing w:line="360" w:lineRule="auto" w:before="0" w:after="0"/>
        <w:ind w:firstLine="720"/>
        <w:jc w:val="both"/>
      </w:pPr>
      <w:r>
        <w:rPr>
          <w:rFonts w:ascii="Times New Roman" w:hAnsi="Times New Roman" w:eastAsia="Times New Roman"/>
          <w:b w:val="0"/>
          <w:i w:val="0"/>
          <w:sz w:val="28"/>
        </w:rPr>
        <w:t>Many undergraduates struggle in courses not only from weak subject mastery, but from lack of reliable early information about how lecturers teach. At UNN and similar campuses, freshers often depend on senior colleagues' stories, which can be incomplete or outdated. Students then fail to adjust study strategies, while capable lecturers repeatedly rebuild reputations damaged by misconception. This study designed and developed an online students' system for preknowledge and overview of lecturers in the Department of Computer Science, University of Nigeria, Nsukka. Objectives were to ascertain eight assessment qualities through separate oral lecturer interviews with note-taking and later compilation (interactiveness, audibility, availability of lecture notes, class control, communication, punctuality, fairness in assessment, and approachability); design an automated student response form; and develop a PHP/MySQL portal with charts for aggregated overview. A mixed developmental design combined interviews (n = 3 lecturers), stratified student sampling (n = 80), and waterfall-leaning SDLC implementation. Findings supported the eight qualities, high acceptance of the anonymous form, and high usefulness of chart-based preknowledge; both null hypotheses were rejected. The study concludes that rumour-driven orientation is an information problem solvable with a formative, multidimensional portal, and recommends departmental adoption with privacy safeguards.</w:t>
      </w:r>
    </w:p>
    <w:p>
      <w:pPr>
        <w:spacing w:line="360" w:lineRule="auto" w:before="160" w:after="0"/>
        <w:ind w:firstLine="0"/>
        <w:jc w:val="both"/>
      </w:pPr>
      <w:r>
        <w:rPr>
          <w:rFonts w:ascii="Times New Roman" w:hAnsi="Times New Roman" w:eastAsia="Times New Roman"/>
          <w:b/>
          <w:i w:val="0"/>
          <w:sz w:val="28"/>
        </w:rPr>
        <w:t>Keywords:</w:t>
      </w:r>
      <w:r>
        <w:rPr>
          <w:rFonts w:ascii="Times New Roman" w:hAnsi="Times New Roman" w:eastAsia="Times New Roman"/>
          <w:b w:val="0"/>
          <w:i w:val="0"/>
          <w:sz w:val="28"/>
        </w:rPr>
        <w:t xml:space="preserve"> lecturer overview, preknowledge, student evaluation of teaching, PHP, University of Nigeria Nsukka</w:t>
      </w:r>
    </w:p>
    <w:p>
      <w:r>
        <w:br w:type="page"/>
      </w:r>
    </w:p>
    <w:p>
      <w:pPr>
        <w:spacing w:line="360" w:lineRule="auto" w:before="0" w:after="80"/>
        <w:ind w:firstLine="0"/>
        <w:jc w:val="center"/>
      </w:pPr>
      <w:r>
        <w:rPr>
          <w:rFonts w:ascii="Times New Roman" w:hAnsi="Times New Roman" w:eastAsia="Times New Roman"/>
          <w:b/>
          <w:i w:val="0"/>
          <w:sz w:val="28"/>
        </w:rPr>
        <w:t>TABLE OF CONTENTS</w:t>
      </w:r>
    </w:p>
    <w:p>
      <w:pPr>
        <w:tabs>
          <w:tab w:pos="7920" w:val="right" w:leader="dot"/>
        </w:tabs>
        <w:spacing w:line="360" w:lineRule="auto" w:before="0" w:after="0"/>
        <w:ind w:firstLine="0"/>
        <w:jc w:val="left"/>
      </w:pPr>
      <w:r>
        <w:rPr>
          <w:rFonts w:ascii="Times New Roman" w:hAnsi="Times New Roman" w:eastAsia="Times New Roman"/>
          <w:b w:val="0"/>
          <w:i w:val="0"/>
          <w:sz w:val="28"/>
        </w:rPr>
        <w:t>Title Page</w:t>
      </w:r>
      <w:r>
        <w:rPr>
          <w:rFonts w:ascii="Times New Roman" w:hAnsi="Times New Roman" w:eastAsia="Times New Roman"/>
          <w:b w:val="0"/>
          <w:i w:val="0"/>
          <w:sz w:val="28"/>
        </w:rPr>
        <w:tab/>
        <w:t>i</w:t>
      </w:r>
    </w:p>
    <w:p>
      <w:pPr>
        <w:tabs>
          <w:tab w:pos="7920" w:val="right" w:leader="dot"/>
        </w:tabs>
        <w:spacing w:line="360" w:lineRule="auto" w:before="0" w:after="0"/>
        <w:ind w:firstLine="0"/>
        <w:jc w:val="left"/>
      </w:pPr>
      <w:r>
        <w:rPr>
          <w:rFonts w:ascii="Times New Roman" w:hAnsi="Times New Roman" w:eastAsia="Times New Roman"/>
          <w:b w:val="0"/>
          <w:i w:val="0"/>
          <w:sz w:val="28"/>
        </w:rPr>
        <w:t>Declaration</w:t>
      </w:r>
      <w:r>
        <w:rPr>
          <w:rFonts w:ascii="Times New Roman" w:hAnsi="Times New Roman" w:eastAsia="Times New Roman"/>
          <w:b w:val="0"/>
          <w:i w:val="0"/>
          <w:sz w:val="28"/>
        </w:rPr>
        <w:tab/>
        <w:t>ii</w:t>
      </w:r>
    </w:p>
    <w:p>
      <w:pPr>
        <w:tabs>
          <w:tab w:pos="7920" w:val="right" w:leader="dot"/>
        </w:tabs>
        <w:spacing w:line="360" w:lineRule="auto" w:before="0" w:after="0"/>
        <w:ind w:firstLine="0"/>
        <w:jc w:val="left"/>
      </w:pPr>
      <w:r>
        <w:rPr>
          <w:rFonts w:ascii="Times New Roman" w:hAnsi="Times New Roman" w:eastAsia="Times New Roman"/>
          <w:b w:val="0"/>
          <w:i w:val="0"/>
          <w:sz w:val="28"/>
        </w:rPr>
        <w:t>Certification</w:t>
      </w:r>
      <w:r>
        <w:rPr>
          <w:rFonts w:ascii="Times New Roman" w:hAnsi="Times New Roman" w:eastAsia="Times New Roman"/>
          <w:b w:val="0"/>
          <w:i w:val="0"/>
          <w:sz w:val="28"/>
        </w:rPr>
        <w:tab/>
        <w:t>iii</w:t>
      </w:r>
    </w:p>
    <w:p>
      <w:pPr>
        <w:tabs>
          <w:tab w:pos="7920" w:val="right" w:leader="dot"/>
        </w:tabs>
        <w:spacing w:line="360" w:lineRule="auto" w:before="0" w:after="0"/>
        <w:ind w:firstLine="0"/>
        <w:jc w:val="left"/>
      </w:pPr>
      <w:r>
        <w:rPr>
          <w:rFonts w:ascii="Times New Roman" w:hAnsi="Times New Roman" w:eastAsia="Times New Roman"/>
          <w:b w:val="0"/>
          <w:i w:val="0"/>
          <w:sz w:val="28"/>
        </w:rPr>
        <w:t>Dedication</w:t>
      </w:r>
      <w:r>
        <w:rPr>
          <w:rFonts w:ascii="Times New Roman" w:hAnsi="Times New Roman" w:eastAsia="Times New Roman"/>
          <w:b w:val="0"/>
          <w:i w:val="0"/>
          <w:sz w:val="28"/>
        </w:rPr>
        <w:tab/>
        <w:t>iv</w:t>
      </w:r>
    </w:p>
    <w:p>
      <w:pPr>
        <w:tabs>
          <w:tab w:pos="7920" w:val="right" w:leader="dot"/>
        </w:tabs>
        <w:spacing w:line="360" w:lineRule="auto" w:before="0" w:after="0"/>
        <w:ind w:firstLine="0"/>
        <w:jc w:val="left"/>
      </w:pPr>
      <w:r>
        <w:rPr>
          <w:rFonts w:ascii="Times New Roman" w:hAnsi="Times New Roman" w:eastAsia="Times New Roman"/>
          <w:b w:val="0"/>
          <w:i w:val="0"/>
          <w:sz w:val="28"/>
        </w:rPr>
        <w:t>Acknowledgements</w:t>
      </w:r>
      <w:r>
        <w:rPr>
          <w:rFonts w:ascii="Times New Roman" w:hAnsi="Times New Roman" w:eastAsia="Times New Roman"/>
          <w:b w:val="0"/>
          <w:i w:val="0"/>
          <w:sz w:val="28"/>
        </w:rPr>
        <w:tab/>
        <w:t>v</w:t>
      </w:r>
    </w:p>
    <w:p>
      <w:pPr>
        <w:tabs>
          <w:tab w:pos="7920" w:val="right" w:leader="dot"/>
        </w:tabs>
        <w:spacing w:line="360" w:lineRule="auto" w:before="0" w:after="0"/>
        <w:ind w:firstLine="0"/>
        <w:jc w:val="left"/>
      </w:pPr>
      <w:r>
        <w:rPr>
          <w:rFonts w:ascii="Times New Roman" w:hAnsi="Times New Roman" w:eastAsia="Times New Roman"/>
          <w:b w:val="0"/>
          <w:i w:val="0"/>
          <w:sz w:val="28"/>
        </w:rPr>
        <w:t>Abstract</w:t>
      </w:r>
      <w:r>
        <w:rPr>
          <w:rFonts w:ascii="Times New Roman" w:hAnsi="Times New Roman" w:eastAsia="Times New Roman"/>
          <w:b w:val="0"/>
          <w:i w:val="0"/>
          <w:sz w:val="28"/>
        </w:rPr>
        <w:tab/>
        <w:t>vi</w:t>
      </w:r>
    </w:p>
    <w:p>
      <w:pPr>
        <w:tabs>
          <w:tab w:pos="7920" w:val="right" w:leader="dot"/>
        </w:tabs>
        <w:spacing w:line="360" w:lineRule="auto" w:before="0" w:after="0"/>
        <w:ind w:firstLine="0"/>
        <w:jc w:val="left"/>
      </w:pPr>
      <w:r>
        <w:rPr>
          <w:rFonts w:ascii="Times New Roman" w:hAnsi="Times New Roman" w:eastAsia="Times New Roman"/>
          <w:b w:val="0"/>
          <w:i w:val="0"/>
          <w:sz w:val="28"/>
        </w:rPr>
        <w:t>Table of Contents</w:t>
      </w:r>
      <w:r>
        <w:rPr>
          <w:rFonts w:ascii="Times New Roman" w:hAnsi="Times New Roman" w:eastAsia="Times New Roman"/>
          <w:b w:val="0"/>
          <w:i w:val="0"/>
          <w:sz w:val="28"/>
        </w:rPr>
        <w:tab/>
        <w:t>vii</w:t>
      </w:r>
    </w:p>
    <w:p>
      <w:pPr>
        <w:tabs>
          <w:tab w:pos="7920" w:val="right" w:leader="dot"/>
        </w:tabs>
        <w:spacing w:line="360" w:lineRule="auto" w:before="0" w:after="0"/>
        <w:ind w:firstLine="0"/>
        <w:jc w:val="left"/>
      </w:pPr>
      <w:r>
        <w:rPr>
          <w:rFonts w:ascii="Times New Roman" w:hAnsi="Times New Roman" w:eastAsia="Times New Roman"/>
          <w:b w:val="0"/>
          <w:i w:val="0"/>
          <w:sz w:val="28"/>
        </w:rPr>
        <w:t>List of Tables</w:t>
      </w:r>
      <w:r>
        <w:rPr>
          <w:rFonts w:ascii="Times New Roman" w:hAnsi="Times New Roman" w:eastAsia="Times New Roman"/>
          <w:b w:val="0"/>
          <w:i w:val="0"/>
          <w:sz w:val="28"/>
        </w:rPr>
        <w:tab/>
        <w:t>viii</w:t>
      </w:r>
    </w:p>
    <w:p>
      <w:pPr>
        <w:tabs>
          <w:tab w:pos="7920" w:val="right" w:leader="dot"/>
        </w:tabs>
        <w:spacing w:line="360" w:lineRule="auto" w:before="0" w:after="0"/>
        <w:ind w:firstLine="0"/>
        <w:jc w:val="left"/>
      </w:pPr>
      <w:r>
        <w:rPr>
          <w:rFonts w:ascii="Times New Roman" w:hAnsi="Times New Roman" w:eastAsia="Times New Roman"/>
          <w:b w:val="0"/>
          <w:i w:val="0"/>
          <w:sz w:val="28"/>
        </w:rPr>
        <w:t>List of Figures</w:t>
      </w:r>
      <w:r>
        <w:rPr>
          <w:rFonts w:ascii="Times New Roman" w:hAnsi="Times New Roman" w:eastAsia="Times New Roman"/>
          <w:b w:val="0"/>
          <w:i w:val="0"/>
          <w:sz w:val="28"/>
        </w:rPr>
        <w:tab/>
        <w:t>ix</w:t>
      </w:r>
    </w:p>
    <w:p>
      <w:pPr>
        <w:tabs>
          <w:tab w:pos="7920" w:val="right" w:leader="dot"/>
        </w:tabs>
        <w:spacing w:line="360" w:lineRule="auto" w:before="0" w:after="0"/>
        <w:ind w:firstLine="0"/>
        <w:jc w:val="left"/>
      </w:pPr>
      <w:r>
        <w:rPr>
          <w:rFonts w:ascii="Times New Roman" w:hAnsi="Times New Roman" w:eastAsia="Times New Roman"/>
          <w:b/>
          <w:i w:val="0"/>
          <w:sz w:val="28"/>
        </w:rPr>
        <w:t>CHAPTER ONE: INTRODUCTION</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1.1 Background to the Study</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1.2 Statement of the Problem</w:t>
      </w:r>
      <w:r>
        <w:rPr>
          <w:rFonts w:ascii="Times New Roman" w:hAnsi="Times New Roman" w:eastAsia="Times New Roman"/>
          <w:b w:val="0"/>
          <w:i w:val="0"/>
          <w:sz w:val="28"/>
        </w:rPr>
        <w:tab/>
        <w:t>2</w:t>
      </w:r>
    </w:p>
    <w:p>
      <w:pPr>
        <w:tabs>
          <w:tab w:pos="7920" w:val="right" w:leader="dot"/>
        </w:tabs>
        <w:spacing w:line="360" w:lineRule="auto" w:before="0" w:after="0"/>
        <w:ind w:firstLine="0"/>
        <w:jc w:val="left"/>
      </w:pPr>
      <w:r>
        <w:rPr>
          <w:rFonts w:ascii="Times New Roman" w:hAnsi="Times New Roman" w:eastAsia="Times New Roman"/>
          <w:b w:val="0"/>
          <w:i w:val="0"/>
          <w:sz w:val="28"/>
        </w:rPr>
        <w:t>1.3 Aim and Objectives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1.4 Significance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1.5 Scope and Limitations of the Study</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val="0"/>
          <w:i w:val="0"/>
          <w:sz w:val="28"/>
        </w:rPr>
        <w:t>1.6 Operational Definition of Terms</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i w:val="0"/>
          <w:sz w:val="28"/>
        </w:rPr>
        <w:t>CHAPTER TWO: LITERATURE REVIEW</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2.1 Conceptual Framework</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2.2 Theoretical Framework</w:t>
      </w:r>
      <w:r>
        <w:rPr>
          <w:rFonts w:ascii="Times New Roman" w:hAnsi="Times New Roman" w:eastAsia="Times New Roman"/>
          <w:b w:val="0"/>
          <w:i w:val="0"/>
          <w:sz w:val="28"/>
        </w:rPr>
        <w:tab/>
        <w:t>10</w:t>
      </w:r>
    </w:p>
    <w:p>
      <w:pPr>
        <w:tabs>
          <w:tab w:pos="7920" w:val="right" w:leader="dot"/>
        </w:tabs>
        <w:spacing w:line="360" w:lineRule="auto" w:before="0" w:after="0"/>
        <w:ind w:firstLine="0"/>
        <w:jc w:val="left"/>
      </w:pPr>
      <w:r>
        <w:rPr>
          <w:rFonts w:ascii="Times New Roman" w:hAnsi="Times New Roman" w:eastAsia="Times New Roman"/>
          <w:b w:val="0"/>
          <w:i w:val="0"/>
          <w:sz w:val="28"/>
        </w:rPr>
        <w:t>2.3 Review of Related Work</w:t>
      </w:r>
      <w:r>
        <w:rPr>
          <w:rFonts w:ascii="Times New Roman" w:hAnsi="Times New Roman" w:eastAsia="Times New Roman"/>
          <w:b w:val="0"/>
          <w:i w:val="0"/>
          <w:sz w:val="28"/>
        </w:rPr>
        <w:tab/>
        <w:t>11</w:t>
      </w:r>
    </w:p>
    <w:p>
      <w:pPr>
        <w:tabs>
          <w:tab w:pos="7920" w:val="right" w:leader="dot"/>
        </w:tabs>
        <w:spacing w:line="360" w:lineRule="auto" w:before="0" w:after="0"/>
        <w:ind w:firstLine="0"/>
        <w:jc w:val="left"/>
      </w:pPr>
      <w:r>
        <w:rPr>
          <w:rFonts w:ascii="Times New Roman" w:hAnsi="Times New Roman" w:eastAsia="Times New Roman"/>
          <w:b w:val="0"/>
          <w:i w:val="0"/>
          <w:sz w:val="28"/>
        </w:rPr>
        <w:t>2.4 Gap in Knowledge</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val="0"/>
          <w:i w:val="0"/>
          <w:sz w:val="28"/>
        </w:rPr>
        <w:t>2.5 Summary of Literature Review</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i w:val="0"/>
          <w:sz w:val="28"/>
        </w:rPr>
        <w:t>CHAPTER THREE: RESEARCH METHODOLOGY AND SYSTEM ANALYSIS</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3.1 Research Design / Adopted Methodology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3.2 Population of the Study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3.3 Sample Size and Sampling Technique</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3.4 Instrumentation</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3.5 Validity and Reliability</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3.6 Method of Data Collection</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3.7 Method of Data Analysis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3.8 Ethical Considerations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3.9 System Analysis</w:t>
      </w:r>
      <w:r>
        <w:rPr>
          <w:rFonts w:ascii="Times New Roman" w:hAnsi="Times New Roman" w:eastAsia="Times New Roman"/>
          <w:b w:val="0"/>
          <w:i w:val="0"/>
          <w:sz w:val="28"/>
        </w:rPr>
        <w:tab/>
        <w:t>18</w:t>
      </w:r>
    </w:p>
    <w:p>
      <w:pPr>
        <w:tabs>
          <w:tab w:pos="7920" w:val="right" w:leader="dot"/>
        </w:tabs>
        <w:spacing w:line="360" w:lineRule="auto" w:before="0" w:after="0"/>
        <w:ind w:firstLine="0"/>
        <w:jc w:val="left"/>
      </w:pPr>
      <w:r>
        <w:rPr>
          <w:rFonts w:ascii="Times New Roman" w:hAnsi="Times New Roman" w:eastAsia="Times New Roman"/>
          <w:b w:val="0"/>
          <w:i w:val="0"/>
          <w:sz w:val="28"/>
        </w:rPr>
        <w:t>3.10 System Design</w:t>
      </w:r>
      <w:r>
        <w:rPr>
          <w:rFonts w:ascii="Times New Roman" w:hAnsi="Times New Roman" w:eastAsia="Times New Roman"/>
          <w:b w:val="0"/>
          <w:i w:val="0"/>
          <w:sz w:val="28"/>
        </w:rPr>
        <w:tab/>
        <w:t>19</w:t>
      </w:r>
    </w:p>
    <w:p>
      <w:pPr>
        <w:tabs>
          <w:tab w:pos="7920" w:val="right" w:leader="dot"/>
        </w:tabs>
        <w:spacing w:line="360" w:lineRule="auto" w:before="0" w:after="0"/>
        <w:ind w:firstLine="0"/>
        <w:jc w:val="left"/>
      </w:pPr>
      <w:r>
        <w:rPr>
          <w:rFonts w:ascii="Times New Roman" w:hAnsi="Times New Roman" w:eastAsia="Times New Roman"/>
          <w:b w:val="0"/>
          <w:i w:val="0"/>
          <w:sz w:val="28"/>
        </w:rPr>
        <w:t>3.11 Summary of Methodology</w:t>
      </w:r>
      <w:r>
        <w:rPr>
          <w:rFonts w:ascii="Times New Roman" w:hAnsi="Times New Roman" w:eastAsia="Times New Roman"/>
          <w:b w:val="0"/>
          <w:i w:val="0"/>
          <w:sz w:val="28"/>
        </w:rPr>
        <w:tab/>
        <w:t>22</w:t>
      </w:r>
    </w:p>
    <w:p>
      <w:pPr>
        <w:tabs>
          <w:tab w:pos="7920" w:val="right" w:leader="dot"/>
        </w:tabs>
        <w:spacing w:line="360" w:lineRule="auto" w:before="0" w:after="0"/>
        <w:ind w:firstLine="0"/>
        <w:jc w:val="left"/>
      </w:pPr>
      <w:r>
        <w:rPr>
          <w:rFonts w:ascii="Times New Roman" w:hAnsi="Times New Roman" w:eastAsia="Times New Roman"/>
          <w:b/>
          <w:i w:val="0"/>
          <w:sz w:val="28"/>
        </w:rPr>
        <w:t>References</w:t>
      </w:r>
      <w:r>
        <w:rPr>
          <w:rFonts w:ascii="Times New Roman" w:hAnsi="Times New Roman" w:eastAsia="Times New Roman"/>
          <w:b w:val="0"/>
          <w:i w:val="0"/>
          <w:sz w:val="28"/>
        </w:rPr>
        <w:tab/>
        <w:t>23</w:t>
      </w:r>
    </w:p>
    <w:p>
      <w:r>
        <w:br w:type="page"/>
      </w:r>
    </w:p>
    <w:p>
      <w:pPr>
        <w:spacing w:line="360" w:lineRule="auto" w:before="0" w:after="80"/>
        <w:ind w:firstLine="0"/>
        <w:jc w:val="center"/>
      </w:pPr>
      <w:r>
        <w:rPr>
          <w:rFonts w:ascii="Times New Roman" w:hAnsi="Times New Roman" w:eastAsia="Times New Roman"/>
          <w:b/>
          <w:i w:val="0"/>
          <w:sz w:val="28"/>
        </w:rPr>
        <w:t>LIST OF TABLES</w:t>
      </w:r>
    </w:p>
    <w:p>
      <w:pPr>
        <w:spacing w:line="360" w:lineRule="auto" w:before="0" w:after="0"/>
        <w:ind w:firstLine="0"/>
        <w:jc w:val="left"/>
      </w:pPr>
      <w:r>
        <w:rPr>
          <w:rFonts w:ascii="Times New Roman" w:hAnsi="Times New Roman" w:eastAsia="Times New Roman"/>
          <w:b w:val="0"/>
          <w:i w:val="0"/>
          <w:sz w:val="28"/>
        </w:rPr>
        <w:t>Table 2.1: Eight Lecturer Assessment Qualities</w:t>
      </w:r>
    </w:p>
    <w:p>
      <w:pPr>
        <w:spacing w:line="360" w:lineRule="auto" w:before="0" w:after="0"/>
        <w:ind w:firstLine="0"/>
        <w:jc w:val="left"/>
      </w:pPr>
      <w:r>
        <w:rPr>
          <w:rFonts w:ascii="Times New Roman" w:hAnsi="Times New Roman" w:eastAsia="Times New Roman"/>
          <w:b w:val="0"/>
          <w:i w:val="0"/>
          <w:sz w:val="28"/>
        </w:rPr>
        <w:t>Table 3.1: Development Tools</w:t>
      </w:r>
    </w:p>
    <w:p>
      <w:pPr>
        <w:spacing w:line="360" w:lineRule="auto" w:before="0" w:after="0"/>
        <w:ind w:firstLine="0"/>
        <w:jc w:val="left"/>
      </w:pPr>
      <w:r>
        <w:rPr>
          <w:rFonts w:ascii="Times New Roman" w:hAnsi="Times New Roman" w:eastAsia="Times New Roman"/>
          <w:b w:val="0"/>
          <w:i w:val="0"/>
          <w:sz w:val="28"/>
        </w:rPr>
        <w:t>Table 3.2: System Modules</w:t>
      </w:r>
    </w:p>
    <w:p>
      <w:pPr>
        <w:spacing w:line="360" w:lineRule="auto" w:before="0" w:after="0"/>
        <w:ind w:firstLine="0"/>
        <w:jc w:val="left"/>
      </w:pPr>
      <w:r>
        <w:rPr>
          <w:rFonts w:ascii="Times New Roman" w:hAnsi="Times New Roman" w:eastAsia="Times New Roman"/>
          <w:b w:val="0"/>
          <w:i w:val="0"/>
          <w:sz w:val="28"/>
        </w:rPr>
        <w:t>Table 3.3: As-Is versus To-Be</w:t>
      </w:r>
    </w:p>
    <w:p>
      <w:r>
        <w:br w:type="page"/>
      </w:r>
    </w:p>
    <w:p>
      <w:pPr>
        <w:spacing w:line="360" w:lineRule="auto" w:before="0" w:after="80"/>
        <w:ind w:firstLine="0"/>
        <w:jc w:val="center"/>
      </w:pPr>
      <w:r>
        <w:rPr>
          <w:rFonts w:ascii="Times New Roman" w:hAnsi="Times New Roman" w:eastAsia="Times New Roman"/>
          <w:b/>
          <w:i w:val="0"/>
          <w:sz w:val="28"/>
        </w:rPr>
        <w:t>LIST OF FIGURES</w:t>
      </w:r>
    </w:p>
    <w:p>
      <w:pPr>
        <w:spacing w:line="360" w:lineRule="auto" w:before="0" w:after="0"/>
        <w:ind w:firstLine="0"/>
        <w:jc w:val="left"/>
      </w:pPr>
      <w:r>
        <w:rPr>
          <w:rFonts w:ascii="Times New Roman" w:hAnsi="Times New Roman" w:eastAsia="Times New Roman"/>
          <w:b w:val="0"/>
          <w:i w:val="0"/>
          <w:sz w:val="28"/>
        </w:rPr>
        <w:t>Figure 3.1: Waterfall-Leaning SDLC / Project Development Steps</w:t>
      </w:r>
    </w:p>
    <w:p>
      <w:pPr>
        <w:spacing w:line="360" w:lineRule="auto" w:before="0" w:after="0"/>
        <w:ind w:firstLine="0"/>
        <w:jc w:val="left"/>
      </w:pPr>
      <w:r>
        <w:rPr>
          <w:rFonts w:ascii="Times New Roman" w:hAnsi="Times New Roman" w:eastAsia="Times New Roman"/>
          <w:b w:val="0"/>
          <w:i w:val="0"/>
          <w:sz w:val="28"/>
        </w:rPr>
        <w:t>Figure 3.2: Use Case Diagram — Lecturer Overview Portal</w:t>
      </w:r>
    </w:p>
    <w:p>
      <w:pPr>
        <w:spacing w:line="360" w:lineRule="auto" w:before="0" w:after="0"/>
        <w:ind w:firstLine="0"/>
        <w:jc w:val="left"/>
      </w:pPr>
      <w:r>
        <w:rPr>
          <w:rFonts w:ascii="Times New Roman" w:hAnsi="Times New Roman" w:eastAsia="Times New Roman"/>
          <w:b w:val="0"/>
          <w:i w:val="0"/>
          <w:sz w:val="28"/>
        </w:rPr>
        <w:t>Figure 3.3: Entity-Relationship Overview of the Database</w:t>
      </w:r>
    </w:p>
    <w:p>
      <w:pPr>
        <w:spacing w:line="360" w:lineRule="auto" w:before="0" w:after="0"/>
        <w:ind w:firstLine="0"/>
        <w:jc w:val="left"/>
      </w:pPr>
      <w:r>
        <w:rPr>
          <w:rFonts w:ascii="Times New Roman" w:hAnsi="Times New Roman" w:eastAsia="Times New Roman"/>
          <w:b w:val="0"/>
          <w:i w:val="0"/>
          <w:sz w:val="28"/>
        </w:rPr>
        <w:t>Figure 3.4: Three-Tier System Architecture</w:t>
      </w:r>
    </w:p>
    <w:p>
      <w:pPr>
        <w:spacing w:line="360" w:lineRule="auto" w:before="0" w:after="0"/>
        <w:ind w:firstLine="0"/>
        <w:jc w:val="left"/>
      </w:pPr>
      <w:r>
        <w:rPr>
          <w:rFonts w:ascii="Times New Roman" w:hAnsi="Times New Roman" w:eastAsia="Times New Roman"/>
          <w:b w:val="0"/>
          <w:i w:val="0"/>
          <w:sz w:val="28"/>
        </w:rPr>
        <w:t>Figure 3.5: Student Assessment Process Flowchart</w:t>
      </w:r>
    </w:p>
    <w:p>
      <w:pPr>
        <w:spacing w:line="360" w:lineRule="auto" w:before="0" w:after="0"/>
        <w:ind w:firstLine="0"/>
        <w:jc w:val="left"/>
      </w:pPr>
      <w:r>
        <w:rPr>
          <w:rFonts w:ascii="Times New Roman" w:hAnsi="Times New Roman" w:eastAsia="Times New Roman"/>
          <w:b w:val="0"/>
          <w:i w:val="0"/>
          <w:sz w:val="28"/>
        </w:rPr>
        <w:t>Figure 3.6: As-Is (Rumour) versus To-Be (Portal) Overview Channel</w:t>
      </w:r>
    </w:p>
    <w:p>
      <w:pPr>
        <w:sectPr>
          <w:footerReference w:type="default" r:id="rId9"/>
          <w:footerReference w:type="first" r:id="rId10"/>
          <w:pgSz w:w="11906" w:h="16838"/>
          <w:pgMar w:top="1440" w:right="1440" w:bottom="1440" w:left="1440" w:header="720" w:footer="720" w:gutter="0"/>
          <w:cols w:space="720"/>
          <w:titlePg/>
          <w:docGrid w:linePitch="360"/>
          <w:pgNumType w:fmt="lowerRoman" w:start="1"/>
        </w:sectPr>
      </w:pPr>
    </w:p>
    <w:p>
      <w:pPr>
        <w:spacing w:line="360" w:lineRule="auto" w:before="0" w:after="80"/>
        <w:ind w:firstLine="0"/>
        <w:jc w:val="center"/>
      </w:pPr>
      <w:r>
        <w:rPr>
          <w:rFonts w:ascii="Times New Roman" w:hAnsi="Times New Roman" w:eastAsia="Times New Roman"/>
          <w:b/>
          <w:i w:val="0"/>
          <w:sz w:val="28"/>
        </w:rPr>
        <w:t>CHAPTER FOUR</w:t>
      </w:r>
    </w:p>
    <w:p>
      <w:pPr>
        <w:spacing w:line="360" w:lineRule="auto" w:before="80" w:after="40"/>
        <w:ind w:firstLine="0"/>
        <w:jc w:val="both"/>
      </w:pPr>
      <w:r>
        <w:rPr>
          <w:rFonts w:ascii="Times New Roman" w:hAnsi="Times New Roman" w:eastAsia="Times New Roman"/>
          <w:b/>
          <w:i/>
          <w:sz w:val="28"/>
        </w:rPr>
        <w:t>DATA PRESENTATION, ANALYSIS, AND DISCUSSION</w:t>
      </w:r>
    </w:p>
    <w:p>
      <w:pPr>
        <w:spacing w:line="360" w:lineRule="auto" w:before="80" w:after="40"/>
        <w:ind w:firstLine="0"/>
        <w:jc w:val="both"/>
      </w:pPr>
      <w:r>
        <w:rPr>
          <w:rFonts w:ascii="Times New Roman" w:hAnsi="Times New Roman" w:eastAsia="Times New Roman"/>
          <w:b/>
          <w:i w:val="0"/>
          <w:sz w:val="28"/>
        </w:rPr>
        <w:t>4.1 Socio-Demographic Characteristics of Respondents</w:t>
      </w:r>
    </w:p>
    <w:p>
      <w:pPr>
        <w:spacing w:line="360" w:lineRule="auto" w:before="0" w:after="0"/>
        <w:ind w:firstLine="720"/>
        <w:jc w:val="both"/>
      </w:pPr>
      <w:r>
        <w:rPr>
          <w:rFonts w:ascii="Times New Roman" w:hAnsi="Times New Roman" w:eastAsia="Times New Roman"/>
          <w:b w:val="0"/>
          <w:i w:val="0"/>
          <w:sz w:val="28"/>
        </w:rPr>
        <w:t>This chapter presents interview outcomes, student assessment and system-evaluation responses, hypothesis tests, and system implementation evidence from the Department of Computer Science, University of Nigeria, Nsukka. The presentation follows the research questions and hypotheses stated in Chapter One, and links empirical patterns to the multidimensional SET literature and the rumour-as-information-system thesis developed in Chapter Two.</w:t>
      </w:r>
    </w:p>
    <w:p>
      <w:pPr>
        <w:spacing w:line="360" w:lineRule="auto" w:before="80" w:after="40"/>
        <w:ind w:firstLine="0"/>
        <w:jc w:val="both"/>
      </w:pPr>
      <w:r>
        <w:rPr>
          <w:rFonts w:ascii="Times New Roman" w:hAnsi="Times New Roman" w:eastAsia="Times New Roman"/>
          <w:b/>
          <w:i/>
          <w:sz w:val="28"/>
        </w:rPr>
        <w:t>4.1.1 Distribution of Student Respondents by Gender</w:t>
      </w:r>
    </w:p>
    <w:p>
      <w:pPr>
        <w:spacing w:line="360" w:lineRule="auto" w:before="120" w:after="40"/>
        <w:ind w:firstLine="0"/>
        <w:jc w:val="center"/>
      </w:pPr>
      <w:r>
        <w:rPr>
          <w:rFonts w:ascii="Times New Roman" w:hAnsi="Times New Roman" w:eastAsia="Times New Roman"/>
          <w:b/>
          <w:i w:val="0"/>
          <w:sz w:val="28"/>
        </w:rPr>
        <w:t>Table 4.1: Distribution of Student Respondents by Gender</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Gender</w:t>
            </w:r>
          </w:p>
        </w:tc>
        <w:tc>
          <w:tcPr>
            <w:tcW w:type="dxa" w:w="3009"/>
          </w:tcPr>
          <w:p>
            <w:pPr>
              <w:spacing w:line="240" w:lineRule="auto" w:before="0" w:after="0"/>
              <w:ind w:firstLine="0"/>
              <w:jc w:val="left"/>
            </w:pPr>
            <w:r/>
            <w:r>
              <w:rPr>
                <w:rFonts w:ascii="Times New Roman" w:hAnsi="Times New Roman" w:eastAsia="Times New Roman"/>
                <w:b/>
                <w:i w:val="0"/>
                <w:sz w:val="24"/>
              </w:rPr>
              <w:t>Frequency</w:t>
            </w:r>
          </w:p>
        </w:tc>
        <w:tc>
          <w:tcPr>
            <w:tcW w:type="dxa" w:w="3009"/>
          </w:tcPr>
          <w:p>
            <w:pPr>
              <w:spacing w:line="240" w:lineRule="auto" w:before="0" w:after="0"/>
              <w:ind w:firstLine="0"/>
              <w:jc w:val="left"/>
            </w:pPr>
            <w:r/>
            <w:r>
              <w:rPr>
                <w:rFonts w:ascii="Times New Roman" w:hAnsi="Times New Roman" w:eastAsia="Times New Roman"/>
                <w:b/>
                <w:i w:val="0"/>
                <w:sz w:val="24"/>
              </w:rPr>
              <w:t>Percentage (%)</w:t>
            </w:r>
          </w:p>
        </w:tc>
      </w:tr>
      <w:tr>
        <w:tc>
          <w:tcPr>
            <w:tcW w:type="dxa" w:w="3009"/>
          </w:tcPr>
          <w:p>
            <w:pPr>
              <w:spacing w:line="240" w:lineRule="auto" w:before="0" w:after="0"/>
              <w:ind w:firstLine="0"/>
              <w:jc w:val="left"/>
            </w:pPr>
            <w:r/>
            <w:r>
              <w:rPr>
                <w:rFonts w:ascii="Times New Roman" w:hAnsi="Times New Roman" w:eastAsia="Times New Roman"/>
                <w:b w:val="0"/>
                <w:i w:val="0"/>
                <w:sz w:val="24"/>
              </w:rPr>
              <w:t>Male</w:t>
            </w:r>
          </w:p>
        </w:tc>
        <w:tc>
          <w:tcPr>
            <w:tcW w:type="dxa" w:w="3009"/>
          </w:tcPr>
          <w:p>
            <w:pPr>
              <w:spacing w:line="240" w:lineRule="auto" w:before="0" w:after="0"/>
              <w:ind w:firstLine="0"/>
              <w:jc w:val="left"/>
            </w:pPr>
            <w:r/>
            <w:r>
              <w:rPr>
                <w:rFonts w:ascii="Times New Roman" w:hAnsi="Times New Roman" w:eastAsia="Times New Roman"/>
                <w:b w:val="0"/>
                <w:i w:val="0"/>
                <w:sz w:val="24"/>
              </w:rPr>
              <w:t>46</w:t>
            </w:r>
          </w:p>
        </w:tc>
        <w:tc>
          <w:tcPr>
            <w:tcW w:type="dxa" w:w="3009"/>
          </w:tcPr>
          <w:p>
            <w:pPr>
              <w:spacing w:line="240" w:lineRule="auto" w:before="0" w:after="0"/>
              <w:ind w:firstLine="0"/>
              <w:jc w:val="left"/>
            </w:pPr>
            <w:r/>
            <w:r>
              <w:rPr>
                <w:rFonts w:ascii="Times New Roman" w:hAnsi="Times New Roman" w:eastAsia="Times New Roman"/>
                <w:b w:val="0"/>
                <w:i w:val="0"/>
                <w:sz w:val="24"/>
              </w:rPr>
              <w:t>57.5</w:t>
            </w:r>
          </w:p>
        </w:tc>
      </w:tr>
      <w:tr>
        <w:tc>
          <w:tcPr>
            <w:tcW w:type="dxa" w:w="3009"/>
          </w:tcPr>
          <w:p>
            <w:pPr>
              <w:spacing w:line="240" w:lineRule="auto" w:before="0" w:after="0"/>
              <w:ind w:firstLine="0"/>
              <w:jc w:val="left"/>
            </w:pPr>
            <w:r/>
            <w:r>
              <w:rPr>
                <w:rFonts w:ascii="Times New Roman" w:hAnsi="Times New Roman" w:eastAsia="Times New Roman"/>
                <w:b w:val="0"/>
                <w:i w:val="0"/>
                <w:sz w:val="24"/>
              </w:rPr>
              <w:t>Female</w:t>
            </w:r>
          </w:p>
        </w:tc>
        <w:tc>
          <w:tcPr>
            <w:tcW w:type="dxa" w:w="3009"/>
          </w:tcPr>
          <w:p>
            <w:pPr>
              <w:spacing w:line="240" w:lineRule="auto" w:before="0" w:after="0"/>
              <w:ind w:firstLine="0"/>
              <w:jc w:val="left"/>
            </w:pPr>
            <w:r/>
            <w:r>
              <w:rPr>
                <w:rFonts w:ascii="Times New Roman" w:hAnsi="Times New Roman" w:eastAsia="Times New Roman"/>
                <w:b w:val="0"/>
                <w:i w:val="0"/>
                <w:sz w:val="24"/>
              </w:rPr>
              <w:t>34</w:t>
            </w:r>
          </w:p>
        </w:tc>
        <w:tc>
          <w:tcPr>
            <w:tcW w:type="dxa" w:w="3009"/>
          </w:tcPr>
          <w:p>
            <w:pPr>
              <w:spacing w:line="240" w:lineRule="auto" w:before="0" w:after="0"/>
              <w:ind w:firstLine="0"/>
              <w:jc w:val="left"/>
            </w:pPr>
            <w:r/>
            <w:r>
              <w:rPr>
                <w:rFonts w:ascii="Times New Roman" w:hAnsi="Times New Roman" w:eastAsia="Times New Roman"/>
                <w:b w:val="0"/>
                <w:i w:val="0"/>
                <w:sz w:val="24"/>
              </w:rPr>
              <w:t>42.5</w:t>
            </w:r>
          </w:p>
        </w:tc>
      </w:tr>
      <w:tr>
        <w:tc>
          <w:tcPr>
            <w:tcW w:type="dxa" w:w="3009"/>
          </w:tcPr>
          <w:p>
            <w:pPr>
              <w:spacing w:line="240" w:lineRule="auto" w:before="0" w:after="0"/>
              <w:ind w:firstLine="0"/>
              <w:jc w:val="left"/>
            </w:pPr>
            <w:r/>
            <w:r>
              <w:rPr>
                <w:rFonts w:ascii="Times New Roman" w:hAnsi="Times New Roman" w:eastAsia="Times New Roman"/>
                <w:b w:val="0"/>
                <w:i w:val="0"/>
                <w:sz w:val="24"/>
              </w:rPr>
              <w:t>**Total**</w:t>
            </w:r>
          </w:p>
        </w:tc>
        <w:tc>
          <w:tcPr>
            <w:tcW w:type="dxa" w:w="3009"/>
          </w:tcPr>
          <w:p>
            <w:pPr>
              <w:spacing w:line="240" w:lineRule="auto" w:before="0" w:after="0"/>
              <w:ind w:firstLine="0"/>
              <w:jc w:val="left"/>
            </w:pPr>
            <w:r/>
            <w:r>
              <w:rPr>
                <w:rFonts w:ascii="Times New Roman" w:hAnsi="Times New Roman" w:eastAsia="Times New Roman"/>
                <w:b w:val="0"/>
                <w:i w:val="0"/>
                <w:sz w:val="24"/>
              </w:rPr>
              <w:t>**80**</w:t>
            </w:r>
          </w:p>
        </w:tc>
        <w:tc>
          <w:tcPr>
            <w:tcW w:type="dxa" w:w="3009"/>
          </w:tcPr>
          <w:p>
            <w:pPr>
              <w:spacing w:line="240" w:lineRule="auto" w:before="0" w:after="0"/>
              <w:ind w:firstLine="0"/>
              <w:jc w:val="left"/>
            </w:pPr>
            <w:r/>
            <w:r>
              <w:rPr>
                <w:rFonts w:ascii="Times New Roman" w:hAnsi="Times New Roman" w:eastAsia="Times New Roman"/>
                <w:b w:val="0"/>
                <w:i w:val="0"/>
                <w:sz w:val="24"/>
              </w:rPr>
              <w:t>**100.0**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4.1 shows that male respondents constituted 57.5% of the sample and female respondents 42.5%. Both genders were adequately represented for departmental analysis. The slight male majority is consistent with enrolment patterns commonly observed in computing cohorts and does not preclude meaningful interpretation of portal usefulness or quality ratings across the student body. Gender distribution is reported here for transparency of sample composition rather than as a claim that teaching perceptions are gender-invariant; the present analysis focuses on overview usefulness and lecturer profile differences rather than gender-by-rating interaction models.</w:t>
      </w:r>
    </w:p>
    <w:p>
      <w:pPr>
        <w:spacing w:line="360" w:lineRule="auto" w:before="80" w:after="40"/>
        <w:ind w:firstLine="0"/>
        <w:jc w:val="both"/>
      </w:pPr>
      <w:r>
        <w:rPr>
          <w:rFonts w:ascii="Times New Roman" w:hAnsi="Times New Roman" w:eastAsia="Times New Roman"/>
          <w:b/>
          <w:i/>
          <w:sz w:val="28"/>
        </w:rPr>
        <w:t>4.1.2 Distribution of Student Respondents by Level</w:t>
      </w:r>
    </w:p>
    <w:p>
      <w:pPr>
        <w:spacing w:line="360" w:lineRule="auto" w:before="120" w:after="40"/>
        <w:ind w:firstLine="0"/>
        <w:jc w:val="center"/>
      </w:pPr>
      <w:r>
        <w:rPr>
          <w:rFonts w:ascii="Times New Roman" w:hAnsi="Times New Roman" w:eastAsia="Times New Roman"/>
          <w:b/>
          <w:i w:val="0"/>
          <w:sz w:val="28"/>
        </w:rPr>
        <w:t>Table 4.2: Distribution of Student Respondents by Level</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Level</w:t>
            </w:r>
          </w:p>
        </w:tc>
        <w:tc>
          <w:tcPr>
            <w:tcW w:type="dxa" w:w="3009"/>
          </w:tcPr>
          <w:p>
            <w:pPr>
              <w:spacing w:line="240" w:lineRule="auto" w:before="0" w:after="0"/>
              <w:ind w:firstLine="0"/>
              <w:jc w:val="left"/>
            </w:pPr>
            <w:r/>
            <w:r>
              <w:rPr>
                <w:rFonts w:ascii="Times New Roman" w:hAnsi="Times New Roman" w:eastAsia="Times New Roman"/>
                <w:b/>
                <w:i w:val="0"/>
                <w:sz w:val="24"/>
              </w:rPr>
              <w:t>Frequency</w:t>
            </w:r>
          </w:p>
        </w:tc>
        <w:tc>
          <w:tcPr>
            <w:tcW w:type="dxa" w:w="3009"/>
          </w:tcPr>
          <w:p>
            <w:pPr>
              <w:spacing w:line="240" w:lineRule="auto" w:before="0" w:after="0"/>
              <w:ind w:firstLine="0"/>
              <w:jc w:val="left"/>
            </w:pPr>
            <w:r/>
            <w:r>
              <w:rPr>
                <w:rFonts w:ascii="Times New Roman" w:hAnsi="Times New Roman" w:eastAsia="Times New Roman"/>
                <w:b/>
                <w:i w:val="0"/>
                <w:sz w:val="24"/>
              </w:rPr>
              <w:t>Percentage (%)</w:t>
            </w:r>
          </w:p>
        </w:tc>
      </w:tr>
      <w:tr>
        <w:tc>
          <w:tcPr>
            <w:tcW w:type="dxa" w:w="3009"/>
          </w:tcPr>
          <w:p>
            <w:pPr>
              <w:spacing w:line="240" w:lineRule="auto" w:before="0" w:after="0"/>
              <w:ind w:firstLine="0"/>
              <w:jc w:val="left"/>
            </w:pPr>
            <w:r/>
            <w:r>
              <w:rPr>
                <w:rFonts w:ascii="Times New Roman" w:hAnsi="Times New Roman" w:eastAsia="Times New Roman"/>
                <w:b w:val="0"/>
                <w:i w:val="0"/>
                <w:sz w:val="24"/>
              </w:rPr>
              <w:t>100 Level</w:t>
            </w:r>
          </w:p>
        </w:tc>
        <w:tc>
          <w:tcPr>
            <w:tcW w:type="dxa" w:w="3009"/>
          </w:tcPr>
          <w:p>
            <w:pPr>
              <w:spacing w:line="240" w:lineRule="auto" w:before="0" w:after="0"/>
              <w:ind w:firstLine="0"/>
              <w:jc w:val="left"/>
            </w:pPr>
            <w:r/>
            <w:r>
              <w:rPr>
                <w:rFonts w:ascii="Times New Roman" w:hAnsi="Times New Roman" w:eastAsia="Times New Roman"/>
                <w:b w:val="0"/>
                <w:i w:val="0"/>
                <w:sz w:val="24"/>
              </w:rPr>
              <w:t>22</w:t>
            </w:r>
          </w:p>
        </w:tc>
        <w:tc>
          <w:tcPr>
            <w:tcW w:type="dxa" w:w="3009"/>
          </w:tcPr>
          <w:p>
            <w:pPr>
              <w:spacing w:line="240" w:lineRule="auto" w:before="0" w:after="0"/>
              <w:ind w:firstLine="0"/>
              <w:jc w:val="left"/>
            </w:pPr>
            <w:r/>
            <w:r>
              <w:rPr>
                <w:rFonts w:ascii="Times New Roman" w:hAnsi="Times New Roman" w:eastAsia="Times New Roman"/>
                <w:b w:val="0"/>
                <w:i w:val="0"/>
                <w:sz w:val="24"/>
              </w:rPr>
              <w:t>27.5</w:t>
            </w:r>
          </w:p>
        </w:tc>
      </w:tr>
      <w:tr>
        <w:tc>
          <w:tcPr>
            <w:tcW w:type="dxa" w:w="3009"/>
          </w:tcPr>
          <w:p>
            <w:pPr>
              <w:spacing w:line="240" w:lineRule="auto" w:before="0" w:after="0"/>
              <w:ind w:firstLine="0"/>
              <w:jc w:val="left"/>
            </w:pPr>
            <w:r/>
            <w:r>
              <w:rPr>
                <w:rFonts w:ascii="Times New Roman" w:hAnsi="Times New Roman" w:eastAsia="Times New Roman"/>
                <w:b w:val="0"/>
                <w:i w:val="0"/>
                <w:sz w:val="24"/>
              </w:rPr>
              <w:t>200 Level</w:t>
            </w:r>
          </w:p>
        </w:tc>
        <w:tc>
          <w:tcPr>
            <w:tcW w:type="dxa" w:w="3009"/>
          </w:tcPr>
          <w:p>
            <w:pPr>
              <w:spacing w:line="240" w:lineRule="auto" w:before="0" w:after="0"/>
              <w:ind w:firstLine="0"/>
              <w:jc w:val="left"/>
            </w:pPr>
            <w:r/>
            <w:r>
              <w:rPr>
                <w:rFonts w:ascii="Times New Roman" w:hAnsi="Times New Roman" w:eastAsia="Times New Roman"/>
                <w:b w:val="0"/>
                <w:i w:val="0"/>
                <w:sz w:val="24"/>
              </w:rPr>
              <w:t>20</w:t>
            </w:r>
          </w:p>
        </w:tc>
        <w:tc>
          <w:tcPr>
            <w:tcW w:type="dxa" w:w="3009"/>
          </w:tcPr>
          <w:p>
            <w:pPr>
              <w:spacing w:line="240" w:lineRule="auto" w:before="0" w:after="0"/>
              <w:ind w:firstLine="0"/>
              <w:jc w:val="left"/>
            </w:pPr>
            <w:r/>
            <w:r>
              <w:rPr>
                <w:rFonts w:ascii="Times New Roman" w:hAnsi="Times New Roman" w:eastAsia="Times New Roman"/>
                <w:b w:val="0"/>
                <w:i w:val="0"/>
                <w:sz w:val="24"/>
              </w:rPr>
              <w:t>25.0</w:t>
            </w:r>
          </w:p>
        </w:tc>
      </w:tr>
      <w:tr>
        <w:tc>
          <w:tcPr>
            <w:tcW w:type="dxa" w:w="3009"/>
          </w:tcPr>
          <w:p>
            <w:pPr>
              <w:spacing w:line="240" w:lineRule="auto" w:before="0" w:after="0"/>
              <w:ind w:firstLine="0"/>
              <w:jc w:val="left"/>
            </w:pPr>
            <w:r/>
            <w:r>
              <w:rPr>
                <w:rFonts w:ascii="Times New Roman" w:hAnsi="Times New Roman" w:eastAsia="Times New Roman"/>
                <w:b w:val="0"/>
                <w:i w:val="0"/>
                <w:sz w:val="24"/>
              </w:rPr>
              <w:t>300 Level</w:t>
            </w:r>
          </w:p>
        </w:tc>
        <w:tc>
          <w:tcPr>
            <w:tcW w:type="dxa" w:w="3009"/>
          </w:tcPr>
          <w:p>
            <w:pPr>
              <w:spacing w:line="240" w:lineRule="auto" w:before="0" w:after="0"/>
              <w:ind w:firstLine="0"/>
              <w:jc w:val="left"/>
            </w:pPr>
            <w:r/>
            <w:r>
              <w:rPr>
                <w:rFonts w:ascii="Times New Roman" w:hAnsi="Times New Roman" w:eastAsia="Times New Roman"/>
                <w:b w:val="0"/>
                <w:i w:val="0"/>
                <w:sz w:val="24"/>
              </w:rPr>
              <w:t>20</w:t>
            </w:r>
          </w:p>
        </w:tc>
        <w:tc>
          <w:tcPr>
            <w:tcW w:type="dxa" w:w="3009"/>
          </w:tcPr>
          <w:p>
            <w:pPr>
              <w:spacing w:line="240" w:lineRule="auto" w:before="0" w:after="0"/>
              <w:ind w:firstLine="0"/>
              <w:jc w:val="left"/>
            </w:pPr>
            <w:r/>
            <w:r>
              <w:rPr>
                <w:rFonts w:ascii="Times New Roman" w:hAnsi="Times New Roman" w:eastAsia="Times New Roman"/>
                <w:b w:val="0"/>
                <w:i w:val="0"/>
                <w:sz w:val="24"/>
              </w:rPr>
              <w:t>25.0</w:t>
            </w:r>
          </w:p>
        </w:tc>
      </w:tr>
      <w:tr>
        <w:tc>
          <w:tcPr>
            <w:tcW w:type="dxa" w:w="3009"/>
          </w:tcPr>
          <w:p>
            <w:pPr>
              <w:spacing w:line="240" w:lineRule="auto" w:before="0" w:after="0"/>
              <w:ind w:firstLine="0"/>
              <w:jc w:val="left"/>
            </w:pPr>
            <w:r/>
            <w:r>
              <w:rPr>
                <w:rFonts w:ascii="Times New Roman" w:hAnsi="Times New Roman" w:eastAsia="Times New Roman"/>
                <w:b w:val="0"/>
                <w:i w:val="0"/>
                <w:sz w:val="24"/>
              </w:rPr>
              <w:t>400 Level</w:t>
            </w:r>
          </w:p>
        </w:tc>
        <w:tc>
          <w:tcPr>
            <w:tcW w:type="dxa" w:w="3009"/>
          </w:tcPr>
          <w:p>
            <w:pPr>
              <w:spacing w:line="240" w:lineRule="auto" w:before="0" w:after="0"/>
              <w:ind w:firstLine="0"/>
              <w:jc w:val="left"/>
            </w:pPr>
            <w:r/>
            <w:r>
              <w:rPr>
                <w:rFonts w:ascii="Times New Roman" w:hAnsi="Times New Roman" w:eastAsia="Times New Roman"/>
                <w:b w:val="0"/>
                <w:i w:val="0"/>
                <w:sz w:val="24"/>
              </w:rPr>
              <w:t>18</w:t>
            </w:r>
          </w:p>
        </w:tc>
        <w:tc>
          <w:tcPr>
            <w:tcW w:type="dxa" w:w="3009"/>
          </w:tcPr>
          <w:p>
            <w:pPr>
              <w:spacing w:line="240" w:lineRule="auto" w:before="0" w:after="0"/>
              <w:ind w:firstLine="0"/>
              <w:jc w:val="left"/>
            </w:pPr>
            <w:r/>
            <w:r>
              <w:rPr>
                <w:rFonts w:ascii="Times New Roman" w:hAnsi="Times New Roman" w:eastAsia="Times New Roman"/>
                <w:b w:val="0"/>
                <w:i w:val="0"/>
                <w:sz w:val="24"/>
              </w:rPr>
              <w:t>22.5</w:t>
            </w:r>
          </w:p>
        </w:tc>
      </w:tr>
      <w:tr>
        <w:tc>
          <w:tcPr>
            <w:tcW w:type="dxa" w:w="3009"/>
          </w:tcPr>
          <w:p>
            <w:pPr>
              <w:spacing w:line="240" w:lineRule="auto" w:before="0" w:after="0"/>
              <w:ind w:firstLine="0"/>
              <w:jc w:val="left"/>
            </w:pPr>
            <w:r/>
            <w:r>
              <w:rPr>
                <w:rFonts w:ascii="Times New Roman" w:hAnsi="Times New Roman" w:eastAsia="Times New Roman"/>
                <w:b w:val="0"/>
                <w:i w:val="0"/>
                <w:sz w:val="24"/>
              </w:rPr>
              <w:t>**Total**</w:t>
            </w:r>
          </w:p>
        </w:tc>
        <w:tc>
          <w:tcPr>
            <w:tcW w:type="dxa" w:w="3009"/>
          </w:tcPr>
          <w:p>
            <w:pPr>
              <w:spacing w:line="240" w:lineRule="auto" w:before="0" w:after="0"/>
              <w:ind w:firstLine="0"/>
              <w:jc w:val="left"/>
            </w:pPr>
            <w:r/>
            <w:r>
              <w:rPr>
                <w:rFonts w:ascii="Times New Roman" w:hAnsi="Times New Roman" w:eastAsia="Times New Roman"/>
                <w:b w:val="0"/>
                <w:i w:val="0"/>
                <w:sz w:val="24"/>
              </w:rPr>
              <w:t>**80**</w:t>
            </w:r>
          </w:p>
        </w:tc>
        <w:tc>
          <w:tcPr>
            <w:tcW w:type="dxa" w:w="3009"/>
          </w:tcPr>
          <w:p>
            <w:pPr>
              <w:spacing w:line="240" w:lineRule="auto" w:before="0" w:after="0"/>
              <w:ind w:firstLine="0"/>
              <w:jc w:val="left"/>
            </w:pPr>
            <w:r/>
            <w:r>
              <w:rPr>
                <w:rFonts w:ascii="Times New Roman" w:hAnsi="Times New Roman" w:eastAsia="Times New Roman"/>
                <w:b w:val="0"/>
                <w:i w:val="0"/>
                <w:sz w:val="24"/>
              </w:rPr>
              <w:t>**100.0**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4.2 indicates a balanced stratification across levels, with 100-level students forming the largest single group (27.5%). This distribution is analytically useful. First-year students are most exposed to inherited misconception and have the least personal counter-evidence against senior narratives. Higher-level students, by contrast, can compare rumour with lived classroom experience and are therefore valuable both as raters and as judges of whether chart overview reduces dependence on oral extremes. Stratification thus strengthens interpretation of Research Question Three and Hypothesis One: if overview is useful, its value should be intelligible to freshers seeking orientation and to seniors testing the portal against memory.</w:t>
      </w:r>
    </w:p>
    <w:p>
      <w:pPr>
        <w:spacing w:line="360" w:lineRule="auto" w:before="80" w:after="40"/>
        <w:ind w:firstLine="0"/>
        <w:jc w:val="both"/>
      </w:pPr>
      <w:r>
        <w:rPr>
          <w:rFonts w:ascii="Times New Roman" w:hAnsi="Times New Roman" w:eastAsia="Times New Roman"/>
          <w:b/>
          <w:i/>
          <w:sz w:val="28"/>
        </w:rPr>
        <w:t>4.1.3 Lecturer Interview Participants</w:t>
      </w:r>
    </w:p>
    <w:p>
      <w:pPr>
        <w:spacing w:line="360" w:lineRule="auto" w:before="0" w:after="0"/>
        <w:ind w:firstLine="720"/>
        <w:jc w:val="both"/>
      </w:pPr>
      <w:r>
        <w:rPr>
          <w:rFonts w:ascii="Times New Roman" w:hAnsi="Times New Roman" w:eastAsia="Times New Roman"/>
          <w:b w:val="0"/>
          <w:i w:val="0"/>
          <w:sz w:val="28"/>
        </w:rPr>
        <w:t>Three (3) lecturers with active undergraduate teaching duties participated in separate oral interviews. Each session was held individually; the researcher took notes while the lecturer spoke about classroom behaviours students could fairly assess, reputational misconception from senior-to-junior narrative, and acceptable formats for anonymous aggregated feedback. After the three interviews were completed, the separate notes were compiled and combined into one framework of eight assessment qualities. Convergence across notes—not a single joint meeting—supported retention of the eight labels. Interview findings feed Research Question One and the qualitative strand of the rumour thesis.</w:t>
      </w:r>
    </w:p>
    <w:p>
      <w:pPr>
        <w:spacing w:line="360" w:lineRule="auto" w:before="80" w:after="40"/>
        <w:ind w:firstLine="0"/>
        <w:jc w:val="both"/>
      </w:pPr>
      <w:r>
        <w:rPr>
          <w:rFonts w:ascii="Times New Roman" w:hAnsi="Times New Roman" w:eastAsia="Times New Roman"/>
          <w:b/>
          <w:i w:val="0"/>
          <w:sz w:val="28"/>
        </w:rPr>
        <w:t>4.2 Presentation and Analysis of Data</w:t>
      </w:r>
    </w:p>
    <w:p>
      <w:pPr>
        <w:spacing w:line="360" w:lineRule="auto" w:before="80" w:after="40"/>
        <w:ind w:firstLine="0"/>
        <w:jc w:val="both"/>
      </w:pPr>
      <w:r>
        <w:rPr>
          <w:rFonts w:ascii="Times New Roman" w:hAnsi="Times New Roman" w:eastAsia="Times New Roman"/>
          <w:b/>
          <w:i/>
          <w:sz w:val="28"/>
        </w:rPr>
        <w:t>4.2.1 Research Question One</w:t>
      </w:r>
    </w:p>
    <w:p>
      <w:pPr>
        <w:spacing w:line="360" w:lineRule="auto" w:before="0" w:after="0"/>
        <w:ind w:firstLine="720"/>
        <w:jc w:val="both"/>
      </w:pPr>
      <w:r>
        <w:rPr>
          <w:rFonts w:ascii="Times New Roman" w:hAnsi="Times New Roman" w:eastAsia="Times New Roman"/>
          <w:b/>
          <w:i w:val="0"/>
          <w:sz w:val="28"/>
        </w:rPr>
        <w:t>What lecturer assessment qualities do Computer Science lecturers at UNN consider most important for fair and useful student evaluation?</w:t>
      </w:r>
    </w:p>
    <w:p>
      <w:pPr>
        <w:spacing w:line="360" w:lineRule="auto" w:before="120" w:after="40"/>
        <w:ind w:firstLine="0"/>
        <w:jc w:val="center"/>
      </w:pPr>
      <w:r>
        <w:rPr>
          <w:rFonts w:ascii="Times New Roman" w:hAnsi="Times New Roman" w:eastAsia="Times New Roman"/>
          <w:b/>
          <w:i w:val="0"/>
          <w:sz w:val="28"/>
        </w:rPr>
        <w:t>Table 4.3: Assessment Qualities Retained after Compiling Separate Interview Notes (n = 3)</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Assessment Quality</w:t>
            </w:r>
          </w:p>
        </w:tc>
        <w:tc>
          <w:tcPr>
            <w:tcW w:type="dxa" w:w="3009"/>
          </w:tcPr>
          <w:p>
            <w:pPr>
              <w:spacing w:line="240" w:lineRule="auto" w:before="0" w:after="0"/>
              <w:ind w:firstLine="0"/>
              <w:jc w:val="left"/>
            </w:pPr>
            <w:r/>
            <w:r>
              <w:rPr>
                <w:rFonts w:ascii="Times New Roman" w:hAnsi="Times New Roman" w:eastAsia="Times New Roman"/>
                <w:b/>
                <w:i w:val="0"/>
                <w:sz w:val="24"/>
              </w:rPr>
              <w:t>Present in notes of</w:t>
            </w:r>
          </w:p>
        </w:tc>
        <w:tc>
          <w:tcPr>
            <w:tcW w:type="dxa" w:w="3009"/>
          </w:tcPr>
          <w:p>
            <w:pPr>
              <w:spacing w:line="240" w:lineRule="auto" w:before="0" w:after="0"/>
              <w:ind w:firstLine="0"/>
              <w:jc w:val="left"/>
            </w:pPr>
            <w:r/>
            <w:r>
              <w:rPr>
                <w:rFonts w:ascii="Times New Roman" w:hAnsi="Times New Roman" w:eastAsia="Times New Roman"/>
                <w:b/>
                <w:i w:val="0"/>
                <w:sz w:val="24"/>
              </w:rPr>
              <w:t>% of lecturers</w:t>
            </w:r>
          </w:p>
        </w:tc>
      </w:tr>
      <w:tr>
        <w:tc>
          <w:tcPr>
            <w:tcW w:type="dxa" w:w="3009"/>
          </w:tcPr>
          <w:p>
            <w:pPr>
              <w:spacing w:line="240" w:lineRule="auto" w:before="0" w:after="0"/>
              <w:ind w:firstLine="0"/>
              <w:jc w:val="left"/>
            </w:pPr>
            <w:r/>
            <w:r>
              <w:rPr>
                <w:rFonts w:ascii="Times New Roman" w:hAnsi="Times New Roman" w:eastAsia="Times New Roman"/>
                <w:b w:val="0"/>
                <w:i w:val="0"/>
                <w:sz w:val="24"/>
              </w:rPr>
              <w:t>Interactiveness</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Audibility</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Availability of lecture notes</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Class control</w:t>
            </w:r>
          </w:p>
        </w:tc>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66.7</w:t>
            </w:r>
          </w:p>
        </w:tc>
      </w:tr>
      <w:tr>
        <w:tc>
          <w:tcPr>
            <w:tcW w:type="dxa" w:w="3009"/>
          </w:tcPr>
          <w:p>
            <w:pPr>
              <w:spacing w:line="240" w:lineRule="auto" w:before="0" w:after="0"/>
              <w:ind w:firstLine="0"/>
              <w:jc w:val="left"/>
            </w:pPr>
            <w:r/>
            <w:r>
              <w:rPr>
                <w:rFonts w:ascii="Times New Roman" w:hAnsi="Times New Roman" w:eastAsia="Times New Roman"/>
                <w:b w:val="0"/>
                <w:i w:val="0"/>
                <w:sz w:val="24"/>
              </w:rPr>
              <w:t>Communication</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Punctuality</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Fairness in assessment</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Approachability</w:t>
            </w:r>
          </w:p>
        </w:tc>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66.7</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4.3 reports how often each quality appeared across the three separately taken interview notes before the researcher merged them into the final eight-quality instrument. Interactiveness, audibility, lecture notes, communication, punctuality, and fairness appeared in all three note sets (100%). Class control and approachability appeared in two of the three (66.7%) but were retained in the compiled framework because the lecturers who raised them treated them as important for fair student overview, and because multidimensional SET logic supports keeping separable classroom behaviours visible. Compilation involved merging synonyms (for example, “clear voice” under audibility; “explains well / gives feedback” under communication) and dropping one-off comments that did not describe a stable teaching quality. The resulting eight-quality list is therefore an oral-interview synthesis, not a checklist administered in a group sitting.</w:t>
      </w:r>
    </w:p>
    <w:p>
      <w:pPr>
        <w:spacing w:line="360" w:lineRule="auto" w:before="0" w:after="0"/>
        <w:ind w:firstLine="720"/>
        <w:jc w:val="both"/>
      </w:pPr>
      <w:r>
        <w:rPr>
          <w:rFonts w:ascii="Times New Roman" w:hAnsi="Times New Roman" w:eastAsia="Times New Roman"/>
          <w:b w:val="0"/>
          <w:i w:val="0"/>
          <w:sz w:val="28"/>
        </w:rPr>
        <w:t>Lecturers consistently rejected one-number reputation labels. Notes recorded that strict class control is often narrated to freshers as personal harshness, while high interactiveness is sometimes narrated as intimidation of weaker students. Dimensional overview was preferred because it separates observable behaviour from myth. This preference aligns with Marsh’s (1982) multidimensional SET tradition and with Spooren et al.’s (2013) caution against collapsing teaching into a single indicator.</w:t>
      </w:r>
    </w:p>
    <w:p>
      <w:pPr>
        <w:spacing w:line="360" w:lineRule="auto" w:before="0" w:after="0"/>
        <w:ind w:firstLine="720"/>
        <w:jc w:val="both"/>
      </w:pPr>
      <w:r>
        <w:rPr>
          <w:rFonts w:ascii="Times New Roman" w:hAnsi="Times New Roman" w:eastAsia="Times New Roman"/>
          <w:b/>
          <w:i w:val="0"/>
          <w:sz w:val="28"/>
        </w:rPr>
        <w:t>Interview paraphrases (anonymised).</w:t>
      </w:r>
      <w:r>
        <w:rPr>
          <w:rFonts w:ascii="Times New Roman" w:hAnsi="Times New Roman" w:eastAsia="Times New Roman"/>
          <w:b w:val="0"/>
          <w:i w:val="0"/>
          <w:sz w:val="28"/>
        </w:rPr>
        <w:t xml:space="preserve"> Remarks captured in the separate note sets reinforced Chapter Two’s rumour thesis. One lecturer observed that new students sometimes “arrive already afraid,” having absorbed hostel stories before the first contact hour. Another reported spending “the first two or three weeks undoing stories” that no longer matched current practice—an explicit description of reputational reset labour. A third stated that feedback is usable “if it is fair and specific,” but not if it reduces a semester’s work to a social-media adjective. Concerns about witch-hunting appeared, echoing Ani (2020), yet the interviewees accepted anonymous aggregated feedback when the purpose was formative improvement rather than punitive ranking. These paraphrases confirm that the information problem is recognised by teaching staff, not only by students.</w:t>
      </w:r>
    </w:p>
    <w:p>
      <w:pPr>
        <w:spacing w:line="360" w:lineRule="auto" w:before="80" w:after="40"/>
        <w:ind w:firstLine="0"/>
        <w:jc w:val="both"/>
      </w:pPr>
      <w:r>
        <w:rPr>
          <w:rFonts w:ascii="Times New Roman" w:hAnsi="Times New Roman" w:eastAsia="Times New Roman"/>
          <w:b/>
          <w:i/>
          <w:sz w:val="28"/>
        </w:rPr>
        <w:t>4.2.2 Research Question Two</w:t>
      </w:r>
    </w:p>
    <w:p>
      <w:pPr>
        <w:spacing w:line="360" w:lineRule="auto" w:before="0" w:after="0"/>
        <w:ind w:firstLine="720"/>
        <w:jc w:val="both"/>
      </w:pPr>
      <w:r>
        <w:rPr>
          <w:rFonts w:ascii="Times New Roman" w:hAnsi="Times New Roman" w:eastAsia="Times New Roman"/>
          <w:b/>
          <w:i w:val="0"/>
          <w:sz w:val="28"/>
        </w:rPr>
        <w:t>How can an automated response form be designed to capture student assessment of lecturers on the identified qualities?</w:t>
      </w:r>
    </w:p>
    <w:p>
      <w:pPr>
        <w:spacing w:line="360" w:lineRule="auto" w:before="0" w:after="0"/>
        <w:ind w:firstLine="720"/>
        <w:jc w:val="both"/>
      </w:pPr>
      <w:r>
        <w:rPr>
          <w:rFonts w:ascii="Times New Roman" w:hAnsi="Times New Roman" w:eastAsia="Times New Roman"/>
          <w:b w:val="0"/>
          <w:i w:val="0"/>
          <w:sz w:val="28"/>
        </w:rPr>
        <w:t xml:space="preserve">The implemented form translated the eight qualities compiled from the separate oral-interview notes into eight Likert items, each anchored from </w:t>
      </w:r>
      <w:r>
        <w:rPr>
          <w:rFonts w:ascii="Times New Roman" w:hAnsi="Times New Roman" w:eastAsia="Times New Roman"/>
          <w:b w:val="0"/>
          <w:i/>
          <w:sz w:val="28"/>
        </w:rPr>
        <w:t>Strongly Disagree</w:t>
      </w:r>
      <w:r>
        <w:rPr>
          <w:rFonts w:ascii="Times New Roman" w:hAnsi="Times New Roman" w:eastAsia="Times New Roman"/>
          <w:b w:val="0"/>
          <w:i w:val="0"/>
          <w:sz w:val="28"/>
        </w:rPr>
        <w:t xml:space="preserve"> to </w:t>
      </w:r>
      <w:r>
        <w:rPr>
          <w:rFonts w:ascii="Times New Roman" w:hAnsi="Times New Roman" w:eastAsia="Times New Roman"/>
          <w:b w:val="0"/>
          <w:i/>
          <w:sz w:val="28"/>
        </w:rPr>
        <w:t>Strongly Agree</w:t>
      </w:r>
      <w:r>
        <w:rPr>
          <w:rFonts w:ascii="Times New Roman" w:hAnsi="Times New Roman" w:eastAsia="Times New Roman"/>
          <w:b w:val="0"/>
          <w:i w:val="0"/>
          <w:sz w:val="28"/>
        </w:rPr>
        <w:t>. Design features included: course and lecturer selection from controlled lists; optional comments for qualitative nuance; anonymous storage relative to public charts; authentication to restrict submissions to registered students; and duplicate-submission control per student–lecturer–course context to reduce ballot stuffing. The form therefore operationalises Objective 2 as working software rather than as a paper prototype alone.</w:t>
      </w:r>
    </w:p>
    <w:p>
      <w:pPr>
        <w:spacing w:line="360" w:lineRule="auto" w:before="120" w:after="40"/>
        <w:ind w:firstLine="0"/>
        <w:jc w:val="center"/>
      </w:pPr>
      <w:r>
        <w:rPr>
          <w:rFonts w:ascii="Times New Roman" w:hAnsi="Times New Roman" w:eastAsia="Times New Roman"/>
          <w:b/>
          <w:i w:val="0"/>
          <w:sz w:val="28"/>
        </w:rPr>
        <w:t>Table 4.4: Student Evaluation of the Automated Response Form (n = 80)</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Form Feature</w:t>
            </w:r>
          </w:p>
        </w:tc>
        <w:tc>
          <w:tcPr>
            <w:tcW w:type="dxa" w:w="3009"/>
          </w:tcPr>
          <w:p>
            <w:pPr>
              <w:spacing w:line="240" w:lineRule="auto" w:before="0" w:after="0"/>
              <w:ind w:firstLine="0"/>
              <w:jc w:val="left"/>
            </w:pPr>
            <w:r/>
            <w:r>
              <w:rPr>
                <w:rFonts w:ascii="Times New Roman" w:hAnsi="Times New Roman" w:eastAsia="Times New Roman"/>
                <w:b/>
                <w:i w:val="0"/>
                <w:sz w:val="24"/>
              </w:rPr>
              <w:t>Agreed / Strongly Agreed</w:t>
            </w:r>
          </w:p>
        </w:tc>
        <w:tc>
          <w:tcPr>
            <w:tcW w:type="dxa" w:w="3009"/>
          </w:tcPr>
          <w:p>
            <w:pPr>
              <w:spacing w:line="240" w:lineRule="auto" w:before="0" w:after="0"/>
              <w:ind w:firstLine="0"/>
              <w:jc w:val="left"/>
            </w:pPr>
            <w:r/>
            <w:r>
              <w:rPr>
                <w:rFonts w:ascii="Times New Roman" w:hAnsi="Times New Roman" w:eastAsia="Times New Roman"/>
                <w:b/>
                <w:i w:val="0"/>
                <w:sz w:val="24"/>
              </w:rPr>
              <w:t>%</w:t>
            </w:r>
          </w:p>
        </w:tc>
      </w:tr>
      <w:tr>
        <w:tc>
          <w:tcPr>
            <w:tcW w:type="dxa" w:w="3009"/>
          </w:tcPr>
          <w:p>
            <w:pPr>
              <w:spacing w:line="240" w:lineRule="auto" w:before="0" w:after="0"/>
              <w:ind w:firstLine="0"/>
              <w:jc w:val="left"/>
            </w:pPr>
            <w:r/>
            <w:r>
              <w:rPr>
                <w:rFonts w:ascii="Times New Roman" w:hAnsi="Times New Roman" w:eastAsia="Times New Roman"/>
                <w:b w:val="0"/>
                <w:i w:val="0"/>
                <w:sz w:val="24"/>
              </w:rPr>
              <w:t>Items were clear and easy to understand</w:t>
            </w:r>
          </w:p>
        </w:tc>
        <w:tc>
          <w:tcPr>
            <w:tcW w:type="dxa" w:w="3009"/>
          </w:tcPr>
          <w:p>
            <w:pPr>
              <w:spacing w:line="240" w:lineRule="auto" w:before="0" w:after="0"/>
              <w:ind w:firstLine="0"/>
              <w:jc w:val="left"/>
            </w:pPr>
            <w:r/>
            <w:r>
              <w:rPr>
                <w:rFonts w:ascii="Times New Roman" w:hAnsi="Times New Roman" w:eastAsia="Times New Roman"/>
                <w:b w:val="0"/>
                <w:i w:val="0"/>
                <w:sz w:val="24"/>
              </w:rPr>
              <w:t>70</w:t>
            </w:r>
          </w:p>
        </w:tc>
        <w:tc>
          <w:tcPr>
            <w:tcW w:type="dxa" w:w="3009"/>
          </w:tcPr>
          <w:p>
            <w:pPr>
              <w:spacing w:line="240" w:lineRule="auto" w:before="0" w:after="0"/>
              <w:ind w:firstLine="0"/>
              <w:jc w:val="left"/>
            </w:pPr>
            <w:r/>
            <w:r>
              <w:rPr>
                <w:rFonts w:ascii="Times New Roman" w:hAnsi="Times New Roman" w:eastAsia="Times New Roman"/>
                <w:b w:val="0"/>
                <w:i w:val="0"/>
                <w:sz w:val="24"/>
              </w:rPr>
              <w:t>87.5</w:t>
            </w:r>
          </w:p>
        </w:tc>
      </w:tr>
      <w:tr>
        <w:tc>
          <w:tcPr>
            <w:tcW w:type="dxa" w:w="3009"/>
          </w:tcPr>
          <w:p>
            <w:pPr>
              <w:spacing w:line="240" w:lineRule="auto" w:before="0" w:after="0"/>
              <w:ind w:firstLine="0"/>
              <w:jc w:val="left"/>
            </w:pPr>
            <w:r/>
            <w:r>
              <w:rPr>
                <w:rFonts w:ascii="Times New Roman" w:hAnsi="Times New Roman" w:eastAsia="Times New Roman"/>
                <w:b w:val="0"/>
                <w:i w:val="0"/>
                <w:sz w:val="24"/>
              </w:rPr>
              <w:t>Completing the form was quick</w:t>
            </w:r>
          </w:p>
        </w:tc>
        <w:tc>
          <w:tcPr>
            <w:tcW w:type="dxa" w:w="3009"/>
          </w:tcPr>
          <w:p>
            <w:pPr>
              <w:spacing w:line="240" w:lineRule="auto" w:before="0" w:after="0"/>
              <w:ind w:firstLine="0"/>
              <w:jc w:val="left"/>
            </w:pPr>
            <w:r/>
            <w:r>
              <w:rPr>
                <w:rFonts w:ascii="Times New Roman" w:hAnsi="Times New Roman" w:eastAsia="Times New Roman"/>
                <w:b w:val="0"/>
                <w:i w:val="0"/>
                <w:sz w:val="24"/>
              </w:rPr>
              <w:t>67</w:t>
            </w:r>
          </w:p>
        </w:tc>
        <w:tc>
          <w:tcPr>
            <w:tcW w:type="dxa" w:w="3009"/>
          </w:tcPr>
          <w:p>
            <w:pPr>
              <w:spacing w:line="240" w:lineRule="auto" w:before="0" w:after="0"/>
              <w:ind w:firstLine="0"/>
              <w:jc w:val="left"/>
            </w:pPr>
            <w:r/>
            <w:r>
              <w:rPr>
                <w:rFonts w:ascii="Times New Roman" w:hAnsi="Times New Roman" w:eastAsia="Times New Roman"/>
                <w:b w:val="0"/>
                <w:i w:val="0"/>
                <w:sz w:val="24"/>
              </w:rPr>
              <w:t>83.8</w:t>
            </w:r>
          </w:p>
        </w:tc>
      </w:tr>
      <w:tr>
        <w:tc>
          <w:tcPr>
            <w:tcW w:type="dxa" w:w="3009"/>
          </w:tcPr>
          <w:p>
            <w:pPr>
              <w:spacing w:line="240" w:lineRule="auto" w:before="0" w:after="0"/>
              <w:ind w:firstLine="0"/>
              <w:jc w:val="left"/>
            </w:pPr>
            <w:r/>
            <w:r>
              <w:rPr>
                <w:rFonts w:ascii="Times New Roman" w:hAnsi="Times New Roman" w:eastAsia="Times New Roman"/>
                <w:b w:val="0"/>
                <w:i w:val="0"/>
                <w:sz w:val="24"/>
              </w:rPr>
              <w:t>Anonymity increased honesty</w:t>
            </w:r>
          </w:p>
        </w:tc>
        <w:tc>
          <w:tcPr>
            <w:tcW w:type="dxa" w:w="3009"/>
          </w:tcPr>
          <w:p>
            <w:pPr>
              <w:spacing w:line="240" w:lineRule="auto" w:before="0" w:after="0"/>
              <w:ind w:firstLine="0"/>
              <w:jc w:val="left"/>
            </w:pPr>
            <w:r/>
            <w:r>
              <w:rPr>
                <w:rFonts w:ascii="Times New Roman" w:hAnsi="Times New Roman" w:eastAsia="Times New Roman"/>
                <w:b w:val="0"/>
                <w:i w:val="0"/>
                <w:sz w:val="24"/>
              </w:rPr>
              <w:t>72</w:t>
            </w:r>
          </w:p>
        </w:tc>
        <w:tc>
          <w:tcPr>
            <w:tcW w:type="dxa" w:w="3009"/>
          </w:tcPr>
          <w:p>
            <w:pPr>
              <w:spacing w:line="240" w:lineRule="auto" w:before="0" w:after="0"/>
              <w:ind w:firstLine="0"/>
              <w:jc w:val="left"/>
            </w:pPr>
            <w:r/>
            <w:r>
              <w:rPr>
                <w:rFonts w:ascii="Times New Roman" w:hAnsi="Times New Roman" w:eastAsia="Times New Roman"/>
                <w:b w:val="0"/>
                <w:i w:val="0"/>
                <w:sz w:val="24"/>
              </w:rPr>
              <w:t>90.0</w:t>
            </w:r>
          </w:p>
        </w:tc>
      </w:tr>
      <w:tr>
        <w:tc>
          <w:tcPr>
            <w:tcW w:type="dxa" w:w="3009"/>
          </w:tcPr>
          <w:p>
            <w:pPr>
              <w:spacing w:line="240" w:lineRule="auto" w:before="0" w:after="0"/>
              <w:ind w:firstLine="0"/>
              <w:jc w:val="left"/>
            </w:pPr>
            <w:r/>
            <w:r>
              <w:rPr>
                <w:rFonts w:ascii="Times New Roman" w:hAnsi="Times New Roman" w:eastAsia="Times New Roman"/>
                <w:b w:val="0"/>
                <w:i w:val="0"/>
                <w:sz w:val="24"/>
              </w:rPr>
              <w:t>Eight qualities covered what matters in class</w:t>
            </w:r>
          </w:p>
        </w:tc>
        <w:tc>
          <w:tcPr>
            <w:tcW w:type="dxa" w:w="3009"/>
          </w:tcPr>
          <w:p>
            <w:pPr>
              <w:spacing w:line="240" w:lineRule="auto" w:before="0" w:after="0"/>
              <w:ind w:firstLine="0"/>
              <w:jc w:val="left"/>
            </w:pPr>
            <w:r/>
            <w:r>
              <w:rPr>
                <w:rFonts w:ascii="Times New Roman" w:hAnsi="Times New Roman" w:eastAsia="Times New Roman"/>
                <w:b w:val="0"/>
                <w:i w:val="0"/>
                <w:sz w:val="24"/>
              </w:rPr>
              <w:t>68</w:t>
            </w:r>
          </w:p>
        </w:tc>
        <w:tc>
          <w:tcPr>
            <w:tcW w:type="dxa" w:w="3009"/>
          </w:tcPr>
          <w:p>
            <w:pPr>
              <w:spacing w:line="240" w:lineRule="auto" w:before="0" w:after="0"/>
              <w:ind w:firstLine="0"/>
              <w:jc w:val="left"/>
            </w:pPr>
            <w:r/>
            <w:r>
              <w:rPr>
                <w:rFonts w:ascii="Times New Roman" w:hAnsi="Times New Roman" w:eastAsia="Times New Roman"/>
                <w:b w:val="0"/>
                <w:i w:val="0"/>
                <w:sz w:val="24"/>
              </w:rPr>
              <w:t>85.0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4.4 indicates strong acceptance. Clarity (87.5%) and coverage (85.0%) suggest that the eight qualities were intelligible to Computing undergraduates. Speed (83.8%) matters for voluntary digital instruments in busy academic calendars; forms that feel long invite rushed or abandoned responses. Most striking is anonymity approval at 90.0%. In Nigerian SET politics, fear of victimisation can silence honest voice (Ani, 2020). The result implies that design choices—anonymous aggregates, no public student identifiers—produced trust more effectively than exhortations to “be honest.” High honesty-under-anonymity endorsement also supports the validity of subsequent mean profiles: if students believe they cannot be traced on public charts, dimensional ratings are less likely to be strategically softened or inflated out of fear. Research Question Two is therefore answered not only by describing form fields, but by showing that those fields were accepted as clear, complete, and safe enough for candid use.</w:t>
      </w:r>
    </w:p>
    <w:p>
      <w:pPr>
        <w:spacing w:line="360" w:lineRule="auto" w:before="80" w:after="40"/>
        <w:ind w:firstLine="0"/>
        <w:jc w:val="both"/>
      </w:pPr>
      <w:r>
        <w:rPr>
          <w:rFonts w:ascii="Times New Roman" w:hAnsi="Times New Roman" w:eastAsia="Times New Roman"/>
          <w:b/>
          <w:i/>
          <w:sz w:val="28"/>
        </w:rPr>
        <w:t>4.2.3 Research Question Three</w:t>
      </w:r>
    </w:p>
    <w:p>
      <w:pPr>
        <w:spacing w:line="360" w:lineRule="auto" w:before="0" w:after="0"/>
        <w:ind w:firstLine="720"/>
        <w:jc w:val="both"/>
      </w:pPr>
      <w:r>
        <w:rPr>
          <w:rFonts w:ascii="Times New Roman" w:hAnsi="Times New Roman" w:eastAsia="Times New Roman"/>
          <w:b/>
          <w:i w:val="0"/>
          <w:sz w:val="28"/>
        </w:rPr>
        <w:t>To what extent can a PHP-based web portal with charts and dashboards provide useful preknowledge and overview?</w:t>
      </w:r>
    </w:p>
    <w:p>
      <w:pPr>
        <w:spacing w:line="360" w:lineRule="auto" w:before="120" w:after="40"/>
        <w:ind w:firstLine="0"/>
        <w:jc w:val="center"/>
      </w:pPr>
      <w:r>
        <w:rPr>
          <w:rFonts w:ascii="Times New Roman" w:hAnsi="Times New Roman" w:eastAsia="Times New Roman"/>
          <w:b/>
          <w:i w:val="0"/>
          <w:sz w:val="28"/>
        </w:rPr>
        <w:t>Table 4.5: Mean Ratings of Portal Usefulness for Preknowledge</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Portal Usefulness Item</w:t>
            </w:r>
          </w:p>
        </w:tc>
        <w:tc>
          <w:tcPr>
            <w:tcW w:type="dxa" w:w="3009"/>
          </w:tcPr>
          <w:p>
            <w:pPr>
              <w:spacing w:line="240" w:lineRule="auto" w:before="0" w:after="0"/>
              <w:ind w:firstLine="0"/>
              <w:jc w:val="left"/>
            </w:pPr>
            <w:r/>
            <w:r>
              <w:rPr>
                <w:rFonts w:ascii="Times New Roman" w:hAnsi="Times New Roman" w:eastAsia="Times New Roman"/>
                <w:b/>
                <w:i w:val="0"/>
                <w:sz w:val="24"/>
              </w:rPr>
              <w:t>Mean (x̄)</w:t>
            </w:r>
          </w:p>
        </w:tc>
        <w:tc>
          <w:tcPr>
            <w:tcW w:type="dxa" w:w="3009"/>
          </w:tcPr>
          <w:p>
            <w:pPr>
              <w:spacing w:line="240" w:lineRule="auto" w:before="0" w:after="0"/>
              <w:ind w:firstLine="0"/>
              <w:jc w:val="left"/>
            </w:pPr>
            <w:r/>
            <w:r>
              <w:rPr>
                <w:rFonts w:ascii="Times New Roman" w:hAnsi="Times New Roman" w:eastAsia="Times New Roman"/>
                <w:b/>
                <w:i w:val="0"/>
                <w:sz w:val="24"/>
              </w:rPr>
              <w:t>Remark</w:t>
            </w:r>
          </w:p>
        </w:tc>
      </w:tr>
      <w:tr>
        <w:tc>
          <w:tcPr>
            <w:tcW w:type="dxa" w:w="3009"/>
          </w:tcPr>
          <w:p>
            <w:pPr>
              <w:spacing w:line="240" w:lineRule="auto" w:before="0" w:after="0"/>
              <w:ind w:firstLine="0"/>
              <w:jc w:val="left"/>
            </w:pPr>
            <w:r/>
            <w:r>
              <w:rPr>
                <w:rFonts w:ascii="Times New Roman" w:hAnsi="Times New Roman" w:eastAsia="Times New Roman"/>
                <w:b w:val="0"/>
                <w:i w:val="0"/>
                <w:sz w:val="24"/>
              </w:rPr>
              <w:t>Charts made strengths/weaknesses easy to see</w:t>
            </w:r>
          </w:p>
        </w:tc>
        <w:tc>
          <w:tcPr>
            <w:tcW w:type="dxa" w:w="3009"/>
          </w:tcPr>
          <w:p>
            <w:pPr>
              <w:spacing w:line="240" w:lineRule="auto" w:before="0" w:after="0"/>
              <w:ind w:firstLine="0"/>
              <w:jc w:val="left"/>
            </w:pPr>
            <w:r/>
            <w:r>
              <w:rPr>
                <w:rFonts w:ascii="Times New Roman" w:hAnsi="Times New Roman" w:eastAsia="Times New Roman"/>
                <w:b w:val="0"/>
                <w:i w:val="0"/>
                <w:sz w:val="24"/>
              </w:rPr>
              <w:t>4.21</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Overview reduced reliance on hostel/senior rumour</w:t>
            </w:r>
          </w:p>
        </w:tc>
        <w:tc>
          <w:tcPr>
            <w:tcW w:type="dxa" w:w="3009"/>
          </w:tcPr>
          <w:p>
            <w:pPr>
              <w:spacing w:line="240" w:lineRule="auto" w:before="0" w:after="0"/>
              <w:ind w:firstLine="0"/>
              <w:jc w:val="left"/>
            </w:pPr>
            <w:r/>
            <w:r>
              <w:rPr>
                <w:rFonts w:ascii="Times New Roman" w:hAnsi="Times New Roman" w:eastAsia="Times New Roman"/>
                <w:b w:val="0"/>
                <w:i w:val="0"/>
                <w:sz w:val="24"/>
              </w:rPr>
              <w:t>4.08</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Information would help me adjust study strategy early</w:t>
            </w:r>
          </w:p>
        </w:tc>
        <w:tc>
          <w:tcPr>
            <w:tcW w:type="dxa" w:w="3009"/>
          </w:tcPr>
          <w:p>
            <w:pPr>
              <w:spacing w:line="240" w:lineRule="auto" w:before="0" w:after="0"/>
              <w:ind w:firstLine="0"/>
              <w:jc w:val="left"/>
            </w:pPr>
            <w:r/>
            <w:r>
              <w:rPr>
                <w:rFonts w:ascii="Times New Roman" w:hAnsi="Times New Roman" w:eastAsia="Times New Roman"/>
                <w:b w:val="0"/>
                <w:i w:val="0"/>
                <w:sz w:val="24"/>
              </w:rPr>
              <w:t>4.15</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Interface was attractive and usable on phone</w:t>
            </w:r>
          </w:p>
        </w:tc>
        <w:tc>
          <w:tcPr>
            <w:tcW w:type="dxa" w:w="3009"/>
          </w:tcPr>
          <w:p>
            <w:pPr>
              <w:spacing w:line="240" w:lineRule="auto" w:before="0" w:after="0"/>
              <w:ind w:firstLine="0"/>
              <w:jc w:val="left"/>
            </w:pPr>
            <w:r/>
            <w:r>
              <w:rPr>
                <w:rFonts w:ascii="Times New Roman" w:hAnsi="Times New Roman" w:eastAsia="Times New Roman"/>
                <w:b w:val="0"/>
                <w:i w:val="0"/>
                <w:sz w:val="24"/>
              </w:rPr>
              <w:t>4.02</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 trust aggregated ratings more than one person’s story</w:t>
            </w:r>
          </w:p>
        </w:tc>
        <w:tc>
          <w:tcPr>
            <w:tcW w:type="dxa" w:w="3009"/>
          </w:tcPr>
          <w:p>
            <w:pPr>
              <w:spacing w:line="240" w:lineRule="auto" w:before="0" w:after="0"/>
              <w:ind w:firstLine="0"/>
              <w:jc w:val="left"/>
            </w:pPr>
            <w:r/>
            <w:r>
              <w:rPr>
                <w:rFonts w:ascii="Times New Roman" w:hAnsi="Times New Roman" w:eastAsia="Times New Roman"/>
                <w:b w:val="0"/>
                <w:i w:val="0"/>
                <w:sz w:val="24"/>
              </w:rPr>
              <w:t>3.96</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sz w:val="28"/>
        </w:rPr>
        <w:t>Scale decision rule:</w:t>
      </w:r>
      <w:r>
        <w:rPr>
          <w:rFonts w:ascii="Times New Roman" w:hAnsi="Times New Roman" w:eastAsia="Times New Roman"/>
          <w:b w:val="0"/>
          <w:i w:val="0"/>
          <w:sz w:val="28"/>
        </w:rPr>
        <w:t xml:space="preserve"> 1.00–2.49 Low; 2.50–3.49 Moderate; 3.50–5.00 High.</w:t>
      </w:r>
    </w:p>
    <w:p>
      <w:pPr>
        <w:spacing w:line="360" w:lineRule="auto" w:before="0" w:after="0"/>
        <w:ind w:firstLine="720"/>
        <w:jc w:val="both"/>
      </w:pPr>
      <w:r>
        <w:rPr>
          <w:rFonts w:ascii="Times New Roman" w:hAnsi="Times New Roman" w:eastAsia="Times New Roman"/>
          <w:b w:val="0"/>
          <w:i w:val="0"/>
          <w:sz w:val="28"/>
        </w:rPr>
        <w:t>All item means in Table 4.5 fall in the High band. The highest mean (4.21) concerns visual clarity of strengths and weaknesses, confirming that Chart.js bar and radar displays—illustrated in Appendices Figures 4.1 and 4.2—were not decorative. The mean of 4.08 for reduced rumour reliance is central to the project’s creative claim: students reported that structured overview competed successfully with hostel and senior narrative. Early strategy adjustment (4.15) links overview to the pedagogical mechanism theorised via expectancy-value reasoning in Chapter Two: clearer expectancies enable preparation. Mobile usability (4.02) matters on a campus where phones are the dominant access device. Trust in aggregates over single stories (3.96), though slightly lower, remains High and indicates that multi-rater charts can displace the persuasive power of one vivid anecdote.</w:t>
      </w:r>
    </w:p>
    <w:p>
      <w:pPr>
        <w:spacing w:line="360" w:lineRule="auto" w:before="0" w:after="0"/>
        <w:ind w:firstLine="720"/>
        <w:jc w:val="both"/>
      </w:pPr>
      <w:r>
        <w:rPr>
          <w:rFonts w:ascii="Times New Roman" w:hAnsi="Times New Roman" w:eastAsia="Times New Roman"/>
          <w:b w:val="0"/>
          <w:i w:val="0"/>
          <w:sz w:val="28"/>
        </w:rPr>
        <w:t>Collectively, these means answer Research Question Three affirmatively: a PHP portal with dashboards can provide useful preknowledge to a substantial degree, as judged by end users after concrete interaction with the system. Importantly, usefulness was assessed after students had actually viewed charts—not as a hypothetical endorsement of “online systems” in the abstract. That procedural detail strengthens the claim that Objective 3’s artefact, not merely the idea of an artefact, was evaluated. The pattern also distinguishes this project from evaluation systems whose success metric is merely “forms were submitted.” Here, success includes whether charts changed the information diet students report using—away from single-story rumour and toward multi-rater overview. That shift is precisely the socio-technical outcome the problem statement demanded.</w:t>
      </w:r>
    </w:p>
    <w:p>
      <w:pPr>
        <w:spacing w:line="360" w:lineRule="auto" w:before="80" w:after="40"/>
        <w:ind w:firstLine="0"/>
        <w:jc w:val="both"/>
      </w:pPr>
      <w:r>
        <w:rPr>
          <w:rFonts w:ascii="Times New Roman" w:hAnsi="Times New Roman" w:eastAsia="Times New Roman"/>
          <w:b/>
          <w:i/>
          <w:sz w:val="28"/>
        </w:rPr>
        <w:t>4.2.4 Sample Aggregated Lecturer Quality Profiles</w:t>
      </w:r>
    </w:p>
    <w:p>
      <w:pPr>
        <w:spacing w:line="360" w:lineRule="auto" w:before="120" w:after="40"/>
        <w:ind w:firstLine="0"/>
        <w:jc w:val="center"/>
      </w:pPr>
      <w:r>
        <w:rPr>
          <w:rFonts w:ascii="Times New Roman" w:hAnsi="Times New Roman" w:eastAsia="Times New Roman"/>
          <w:b/>
          <w:i w:val="0"/>
          <w:sz w:val="28"/>
        </w:rPr>
        <w:t>Table 4.6: Sample Aggregated Lecturer Quality Profiles (Mean scores / 5.00)</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before="0" w:after="0"/>
              <w:ind w:firstLine="0"/>
              <w:jc w:val="left"/>
            </w:pPr>
            <w:r/>
            <w:r>
              <w:rPr>
                <w:rFonts w:ascii="Times New Roman" w:hAnsi="Times New Roman" w:eastAsia="Times New Roman"/>
                <w:b/>
                <w:i w:val="0"/>
                <w:sz w:val="24"/>
              </w:rPr>
              <w:t>Quality</w:t>
            </w:r>
          </w:p>
        </w:tc>
        <w:tc>
          <w:tcPr>
            <w:tcW w:type="dxa" w:w="2256"/>
          </w:tcPr>
          <w:p>
            <w:pPr>
              <w:spacing w:line="240" w:lineRule="auto" w:before="0" w:after="0"/>
              <w:ind w:firstLine="0"/>
              <w:jc w:val="left"/>
            </w:pPr>
            <w:r/>
            <w:r>
              <w:rPr>
                <w:rFonts w:ascii="Times New Roman" w:hAnsi="Times New Roman" w:eastAsia="Times New Roman"/>
                <w:b/>
                <w:i w:val="0"/>
                <w:sz w:val="24"/>
              </w:rPr>
              <w:t>Lecturer A</w:t>
            </w:r>
          </w:p>
        </w:tc>
        <w:tc>
          <w:tcPr>
            <w:tcW w:type="dxa" w:w="2256"/>
          </w:tcPr>
          <w:p>
            <w:pPr>
              <w:spacing w:line="240" w:lineRule="auto" w:before="0" w:after="0"/>
              <w:ind w:firstLine="0"/>
              <w:jc w:val="left"/>
            </w:pPr>
            <w:r/>
            <w:r>
              <w:rPr>
                <w:rFonts w:ascii="Times New Roman" w:hAnsi="Times New Roman" w:eastAsia="Times New Roman"/>
                <w:b/>
                <w:i w:val="0"/>
                <w:sz w:val="24"/>
              </w:rPr>
              <w:t>Lecturer B</w:t>
            </w:r>
          </w:p>
        </w:tc>
        <w:tc>
          <w:tcPr>
            <w:tcW w:type="dxa" w:w="2256"/>
          </w:tcPr>
          <w:p>
            <w:pPr>
              <w:spacing w:line="240" w:lineRule="auto" w:before="0" w:after="0"/>
              <w:ind w:firstLine="0"/>
              <w:jc w:val="left"/>
            </w:pPr>
            <w:r/>
            <w:r>
              <w:rPr>
                <w:rFonts w:ascii="Times New Roman" w:hAnsi="Times New Roman" w:eastAsia="Times New Roman"/>
                <w:b/>
                <w:i w:val="0"/>
                <w:sz w:val="24"/>
              </w:rPr>
              <w:t>Lecturer C</w:t>
            </w:r>
          </w:p>
        </w:tc>
      </w:tr>
      <w:tr>
        <w:tc>
          <w:tcPr>
            <w:tcW w:type="dxa" w:w="2256"/>
          </w:tcPr>
          <w:p>
            <w:pPr>
              <w:spacing w:line="240" w:lineRule="auto" w:before="0" w:after="0"/>
              <w:ind w:firstLine="0"/>
              <w:jc w:val="left"/>
            </w:pPr>
            <w:r/>
            <w:r>
              <w:rPr>
                <w:rFonts w:ascii="Times New Roman" w:hAnsi="Times New Roman" w:eastAsia="Times New Roman"/>
                <w:b w:val="0"/>
                <w:i w:val="0"/>
                <w:sz w:val="24"/>
              </w:rPr>
              <w:t>Interactiveness</w:t>
            </w:r>
          </w:p>
        </w:tc>
        <w:tc>
          <w:tcPr>
            <w:tcW w:type="dxa" w:w="2256"/>
          </w:tcPr>
          <w:p>
            <w:pPr>
              <w:spacing w:line="240" w:lineRule="auto" w:before="0" w:after="0"/>
              <w:ind w:firstLine="0"/>
              <w:jc w:val="left"/>
            </w:pPr>
            <w:r/>
            <w:r>
              <w:rPr>
                <w:rFonts w:ascii="Times New Roman" w:hAnsi="Times New Roman" w:eastAsia="Times New Roman"/>
                <w:b w:val="0"/>
                <w:i w:val="0"/>
                <w:sz w:val="24"/>
              </w:rPr>
              <w:t>4.40</w:t>
            </w:r>
          </w:p>
        </w:tc>
        <w:tc>
          <w:tcPr>
            <w:tcW w:type="dxa" w:w="2256"/>
          </w:tcPr>
          <w:p>
            <w:pPr>
              <w:spacing w:line="240" w:lineRule="auto" w:before="0" w:after="0"/>
              <w:ind w:firstLine="0"/>
              <w:jc w:val="left"/>
            </w:pPr>
            <w:r/>
            <w:r>
              <w:rPr>
                <w:rFonts w:ascii="Times New Roman" w:hAnsi="Times New Roman" w:eastAsia="Times New Roman"/>
                <w:b w:val="0"/>
                <w:i w:val="0"/>
                <w:sz w:val="24"/>
              </w:rPr>
              <w:t>3.10</w:t>
            </w:r>
          </w:p>
        </w:tc>
        <w:tc>
          <w:tcPr>
            <w:tcW w:type="dxa" w:w="2256"/>
          </w:tcPr>
          <w:p>
            <w:pPr>
              <w:spacing w:line="240" w:lineRule="auto" w:before="0" w:after="0"/>
              <w:ind w:firstLine="0"/>
              <w:jc w:val="left"/>
            </w:pPr>
            <w:r/>
            <w:r>
              <w:rPr>
                <w:rFonts w:ascii="Times New Roman" w:hAnsi="Times New Roman" w:eastAsia="Times New Roman"/>
                <w:b w:val="0"/>
                <w:i w:val="0"/>
                <w:sz w:val="24"/>
              </w:rPr>
              <w:t>4.05</w:t>
            </w:r>
          </w:p>
        </w:tc>
      </w:tr>
      <w:tr>
        <w:tc>
          <w:tcPr>
            <w:tcW w:type="dxa" w:w="2256"/>
          </w:tcPr>
          <w:p>
            <w:pPr>
              <w:spacing w:line="240" w:lineRule="auto" w:before="0" w:after="0"/>
              <w:ind w:firstLine="0"/>
              <w:jc w:val="left"/>
            </w:pPr>
            <w:r/>
            <w:r>
              <w:rPr>
                <w:rFonts w:ascii="Times New Roman" w:hAnsi="Times New Roman" w:eastAsia="Times New Roman"/>
                <w:b w:val="0"/>
                <w:i w:val="0"/>
                <w:sz w:val="24"/>
              </w:rPr>
              <w:t>Audibility</w:t>
            </w:r>
          </w:p>
        </w:tc>
        <w:tc>
          <w:tcPr>
            <w:tcW w:type="dxa" w:w="2256"/>
          </w:tcPr>
          <w:p>
            <w:pPr>
              <w:spacing w:line="240" w:lineRule="auto" w:before="0" w:after="0"/>
              <w:ind w:firstLine="0"/>
              <w:jc w:val="left"/>
            </w:pPr>
            <w:r/>
            <w:r>
              <w:rPr>
                <w:rFonts w:ascii="Times New Roman" w:hAnsi="Times New Roman" w:eastAsia="Times New Roman"/>
                <w:b w:val="0"/>
                <w:i w:val="0"/>
                <w:sz w:val="24"/>
              </w:rPr>
              <w:t>3.85</w:t>
            </w:r>
          </w:p>
        </w:tc>
        <w:tc>
          <w:tcPr>
            <w:tcW w:type="dxa" w:w="2256"/>
          </w:tcPr>
          <w:p>
            <w:pPr>
              <w:spacing w:line="240" w:lineRule="auto" w:before="0" w:after="0"/>
              <w:ind w:firstLine="0"/>
              <w:jc w:val="left"/>
            </w:pPr>
            <w:r/>
            <w:r>
              <w:rPr>
                <w:rFonts w:ascii="Times New Roman" w:hAnsi="Times New Roman" w:eastAsia="Times New Roman"/>
                <w:b w:val="0"/>
                <w:i w:val="0"/>
                <w:sz w:val="24"/>
              </w:rPr>
              <w:t>4.25</w:t>
            </w:r>
          </w:p>
        </w:tc>
        <w:tc>
          <w:tcPr>
            <w:tcW w:type="dxa" w:w="2256"/>
          </w:tcPr>
          <w:p>
            <w:pPr>
              <w:spacing w:line="240" w:lineRule="auto" w:before="0" w:after="0"/>
              <w:ind w:firstLine="0"/>
              <w:jc w:val="left"/>
            </w:pPr>
            <w:r/>
            <w:r>
              <w:rPr>
                <w:rFonts w:ascii="Times New Roman" w:hAnsi="Times New Roman" w:eastAsia="Times New Roman"/>
                <w:b w:val="0"/>
                <w:i w:val="0"/>
                <w:sz w:val="24"/>
              </w:rPr>
              <w:t>4.10</w:t>
            </w:r>
          </w:p>
        </w:tc>
      </w:tr>
      <w:tr>
        <w:tc>
          <w:tcPr>
            <w:tcW w:type="dxa" w:w="2256"/>
          </w:tcPr>
          <w:p>
            <w:pPr>
              <w:spacing w:line="240" w:lineRule="auto" w:before="0" w:after="0"/>
              <w:ind w:firstLine="0"/>
              <w:jc w:val="left"/>
            </w:pPr>
            <w:r/>
            <w:r>
              <w:rPr>
                <w:rFonts w:ascii="Times New Roman" w:hAnsi="Times New Roman" w:eastAsia="Times New Roman"/>
                <w:b w:val="0"/>
                <w:i w:val="0"/>
                <w:sz w:val="24"/>
              </w:rPr>
              <w:t>Lecture notes</w:t>
            </w:r>
          </w:p>
        </w:tc>
        <w:tc>
          <w:tcPr>
            <w:tcW w:type="dxa" w:w="2256"/>
          </w:tcPr>
          <w:p>
            <w:pPr>
              <w:spacing w:line="240" w:lineRule="auto" w:before="0" w:after="0"/>
              <w:ind w:firstLine="0"/>
              <w:jc w:val="left"/>
            </w:pPr>
            <w:r/>
            <w:r>
              <w:rPr>
                <w:rFonts w:ascii="Times New Roman" w:hAnsi="Times New Roman" w:eastAsia="Times New Roman"/>
                <w:b w:val="0"/>
                <w:i w:val="0"/>
                <w:sz w:val="24"/>
              </w:rPr>
              <w:t>4.55</w:t>
            </w:r>
          </w:p>
        </w:tc>
        <w:tc>
          <w:tcPr>
            <w:tcW w:type="dxa" w:w="2256"/>
          </w:tcPr>
          <w:p>
            <w:pPr>
              <w:spacing w:line="240" w:lineRule="auto" w:before="0" w:after="0"/>
              <w:ind w:firstLine="0"/>
              <w:jc w:val="left"/>
            </w:pPr>
            <w:r/>
            <w:r>
              <w:rPr>
                <w:rFonts w:ascii="Times New Roman" w:hAnsi="Times New Roman" w:eastAsia="Times New Roman"/>
                <w:b w:val="0"/>
                <w:i w:val="0"/>
                <w:sz w:val="24"/>
              </w:rPr>
              <w:t>3.40</w:t>
            </w:r>
          </w:p>
        </w:tc>
        <w:tc>
          <w:tcPr>
            <w:tcW w:type="dxa" w:w="2256"/>
          </w:tcPr>
          <w:p>
            <w:pPr>
              <w:spacing w:line="240" w:lineRule="auto" w:before="0" w:after="0"/>
              <w:ind w:firstLine="0"/>
              <w:jc w:val="left"/>
            </w:pPr>
            <w:r/>
            <w:r>
              <w:rPr>
                <w:rFonts w:ascii="Times New Roman" w:hAnsi="Times New Roman" w:eastAsia="Times New Roman"/>
                <w:b w:val="0"/>
                <w:i w:val="0"/>
                <w:sz w:val="24"/>
              </w:rPr>
              <w:t>4.20</w:t>
            </w:r>
          </w:p>
        </w:tc>
      </w:tr>
      <w:tr>
        <w:tc>
          <w:tcPr>
            <w:tcW w:type="dxa" w:w="2256"/>
          </w:tcPr>
          <w:p>
            <w:pPr>
              <w:spacing w:line="240" w:lineRule="auto" w:before="0" w:after="0"/>
              <w:ind w:firstLine="0"/>
              <w:jc w:val="left"/>
            </w:pPr>
            <w:r/>
            <w:r>
              <w:rPr>
                <w:rFonts w:ascii="Times New Roman" w:hAnsi="Times New Roman" w:eastAsia="Times New Roman"/>
                <w:b w:val="0"/>
                <w:i w:val="0"/>
                <w:sz w:val="24"/>
              </w:rPr>
              <w:t>Class control</w:t>
            </w:r>
          </w:p>
        </w:tc>
        <w:tc>
          <w:tcPr>
            <w:tcW w:type="dxa" w:w="2256"/>
          </w:tcPr>
          <w:p>
            <w:pPr>
              <w:spacing w:line="240" w:lineRule="auto" w:before="0" w:after="0"/>
              <w:ind w:firstLine="0"/>
              <w:jc w:val="left"/>
            </w:pPr>
            <w:r/>
            <w:r>
              <w:rPr>
                <w:rFonts w:ascii="Times New Roman" w:hAnsi="Times New Roman" w:eastAsia="Times New Roman"/>
                <w:b w:val="0"/>
                <w:i w:val="0"/>
                <w:sz w:val="24"/>
              </w:rPr>
              <w:t>4.10</w:t>
            </w:r>
          </w:p>
        </w:tc>
        <w:tc>
          <w:tcPr>
            <w:tcW w:type="dxa" w:w="2256"/>
          </w:tcPr>
          <w:p>
            <w:pPr>
              <w:spacing w:line="240" w:lineRule="auto" w:before="0" w:after="0"/>
              <w:ind w:firstLine="0"/>
              <w:jc w:val="left"/>
            </w:pPr>
            <w:r/>
            <w:r>
              <w:rPr>
                <w:rFonts w:ascii="Times New Roman" w:hAnsi="Times New Roman" w:eastAsia="Times New Roman"/>
                <w:b w:val="0"/>
                <w:i w:val="0"/>
                <w:sz w:val="24"/>
              </w:rPr>
              <w:t>4.60</w:t>
            </w:r>
          </w:p>
        </w:tc>
        <w:tc>
          <w:tcPr>
            <w:tcW w:type="dxa" w:w="2256"/>
          </w:tcPr>
          <w:p>
            <w:pPr>
              <w:spacing w:line="240" w:lineRule="auto" w:before="0" w:after="0"/>
              <w:ind w:firstLine="0"/>
              <w:jc w:val="left"/>
            </w:pPr>
            <w:r/>
            <w:r>
              <w:rPr>
                <w:rFonts w:ascii="Times New Roman" w:hAnsi="Times New Roman" w:eastAsia="Times New Roman"/>
                <w:b w:val="0"/>
                <w:i w:val="0"/>
                <w:sz w:val="24"/>
              </w:rPr>
              <w:t>3.70</w:t>
            </w:r>
          </w:p>
        </w:tc>
      </w:tr>
      <w:tr>
        <w:tc>
          <w:tcPr>
            <w:tcW w:type="dxa" w:w="2256"/>
          </w:tcPr>
          <w:p>
            <w:pPr>
              <w:spacing w:line="240" w:lineRule="auto" w:before="0" w:after="0"/>
              <w:ind w:firstLine="0"/>
              <w:jc w:val="left"/>
            </w:pPr>
            <w:r/>
            <w:r>
              <w:rPr>
                <w:rFonts w:ascii="Times New Roman" w:hAnsi="Times New Roman" w:eastAsia="Times New Roman"/>
                <w:b w:val="0"/>
                <w:i w:val="0"/>
                <w:sz w:val="24"/>
              </w:rPr>
              <w:t>Communication</w:t>
            </w:r>
          </w:p>
        </w:tc>
        <w:tc>
          <w:tcPr>
            <w:tcW w:type="dxa" w:w="2256"/>
          </w:tcPr>
          <w:p>
            <w:pPr>
              <w:spacing w:line="240" w:lineRule="auto" w:before="0" w:after="0"/>
              <w:ind w:firstLine="0"/>
              <w:jc w:val="left"/>
            </w:pPr>
            <w:r/>
            <w:r>
              <w:rPr>
                <w:rFonts w:ascii="Times New Roman" w:hAnsi="Times New Roman" w:eastAsia="Times New Roman"/>
                <w:b w:val="0"/>
                <w:i w:val="0"/>
                <w:sz w:val="24"/>
              </w:rPr>
              <w:t>4.30</w:t>
            </w:r>
          </w:p>
        </w:tc>
        <w:tc>
          <w:tcPr>
            <w:tcW w:type="dxa" w:w="2256"/>
          </w:tcPr>
          <w:p>
            <w:pPr>
              <w:spacing w:line="240" w:lineRule="auto" w:before="0" w:after="0"/>
              <w:ind w:firstLine="0"/>
              <w:jc w:val="left"/>
            </w:pPr>
            <w:r/>
            <w:r>
              <w:rPr>
                <w:rFonts w:ascii="Times New Roman" w:hAnsi="Times New Roman" w:eastAsia="Times New Roman"/>
                <w:b w:val="0"/>
                <w:i w:val="0"/>
                <w:sz w:val="24"/>
              </w:rPr>
              <w:t>3.55</w:t>
            </w:r>
          </w:p>
        </w:tc>
        <w:tc>
          <w:tcPr>
            <w:tcW w:type="dxa" w:w="2256"/>
          </w:tcPr>
          <w:p>
            <w:pPr>
              <w:spacing w:line="240" w:lineRule="auto" w:before="0" w:after="0"/>
              <w:ind w:firstLine="0"/>
              <w:jc w:val="left"/>
            </w:pPr>
            <w:r/>
            <w:r>
              <w:rPr>
                <w:rFonts w:ascii="Times New Roman" w:hAnsi="Times New Roman" w:eastAsia="Times New Roman"/>
                <w:b w:val="0"/>
                <w:i w:val="0"/>
                <w:sz w:val="24"/>
              </w:rPr>
              <w:t>4.15</w:t>
            </w:r>
          </w:p>
        </w:tc>
      </w:tr>
      <w:tr>
        <w:tc>
          <w:tcPr>
            <w:tcW w:type="dxa" w:w="2256"/>
          </w:tcPr>
          <w:p>
            <w:pPr>
              <w:spacing w:line="240" w:lineRule="auto" w:before="0" w:after="0"/>
              <w:ind w:firstLine="0"/>
              <w:jc w:val="left"/>
            </w:pPr>
            <w:r/>
            <w:r>
              <w:rPr>
                <w:rFonts w:ascii="Times New Roman" w:hAnsi="Times New Roman" w:eastAsia="Times New Roman"/>
                <w:b w:val="0"/>
                <w:i w:val="0"/>
                <w:sz w:val="24"/>
              </w:rPr>
              <w:t>Punctuality</w:t>
            </w:r>
          </w:p>
        </w:tc>
        <w:tc>
          <w:tcPr>
            <w:tcW w:type="dxa" w:w="2256"/>
          </w:tcPr>
          <w:p>
            <w:pPr>
              <w:spacing w:line="240" w:lineRule="auto" w:before="0" w:after="0"/>
              <w:ind w:firstLine="0"/>
              <w:jc w:val="left"/>
            </w:pPr>
            <w:r/>
            <w:r>
              <w:rPr>
                <w:rFonts w:ascii="Times New Roman" w:hAnsi="Times New Roman" w:eastAsia="Times New Roman"/>
                <w:b w:val="0"/>
                <w:i w:val="0"/>
                <w:sz w:val="24"/>
              </w:rPr>
              <w:t>3.90</w:t>
            </w:r>
          </w:p>
        </w:tc>
        <w:tc>
          <w:tcPr>
            <w:tcW w:type="dxa" w:w="2256"/>
          </w:tcPr>
          <w:p>
            <w:pPr>
              <w:spacing w:line="240" w:lineRule="auto" w:before="0" w:after="0"/>
              <w:ind w:firstLine="0"/>
              <w:jc w:val="left"/>
            </w:pPr>
            <w:r/>
            <w:r>
              <w:rPr>
                <w:rFonts w:ascii="Times New Roman" w:hAnsi="Times New Roman" w:eastAsia="Times New Roman"/>
                <w:b w:val="0"/>
                <w:i w:val="0"/>
                <w:sz w:val="24"/>
              </w:rPr>
              <w:t>4.45</w:t>
            </w:r>
          </w:p>
        </w:tc>
        <w:tc>
          <w:tcPr>
            <w:tcW w:type="dxa" w:w="2256"/>
          </w:tcPr>
          <w:p>
            <w:pPr>
              <w:spacing w:line="240" w:lineRule="auto" w:before="0" w:after="0"/>
              <w:ind w:firstLine="0"/>
              <w:jc w:val="left"/>
            </w:pPr>
            <w:r/>
            <w:r>
              <w:rPr>
                <w:rFonts w:ascii="Times New Roman" w:hAnsi="Times New Roman" w:eastAsia="Times New Roman"/>
                <w:b w:val="0"/>
                <w:i w:val="0"/>
                <w:sz w:val="24"/>
              </w:rPr>
              <w:t>3.80</w:t>
            </w:r>
          </w:p>
        </w:tc>
      </w:tr>
      <w:tr>
        <w:tc>
          <w:tcPr>
            <w:tcW w:type="dxa" w:w="2256"/>
          </w:tcPr>
          <w:p>
            <w:pPr>
              <w:spacing w:line="240" w:lineRule="auto" w:before="0" w:after="0"/>
              <w:ind w:firstLine="0"/>
              <w:jc w:val="left"/>
            </w:pPr>
            <w:r/>
            <w:r>
              <w:rPr>
                <w:rFonts w:ascii="Times New Roman" w:hAnsi="Times New Roman" w:eastAsia="Times New Roman"/>
                <w:b w:val="0"/>
                <w:i w:val="0"/>
                <w:sz w:val="24"/>
              </w:rPr>
              <w:t>Fairness</w:t>
            </w:r>
          </w:p>
        </w:tc>
        <w:tc>
          <w:tcPr>
            <w:tcW w:type="dxa" w:w="2256"/>
          </w:tcPr>
          <w:p>
            <w:pPr>
              <w:spacing w:line="240" w:lineRule="auto" w:before="0" w:after="0"/>
              <w:ind w:firstLine="0"/>
              <w:jc w:val="left"/>
            </w:pPr>
            <w:r/>
            <w:r>
              <w:rPr>
                <w:rFonts w:ascii="Times New Roman" w:hAnsi="Times New Roman" w:eastAsia="Times New Roman"/>
                <w:b w:val="0"/>
                <w:i w:val="0"/>
                <w:sz w:val="24"/>
              </w:rPr>
              <w:t>4.20</w:t>
            </w:r>
          </w:p>
        </w:tc>
        <w:tc>
          <w:tcPr>
            <w:tcW w:type="dxa" w:w="2256"/>
          </w:tcPr>
          <w:p>
            <w:pPr>
              <w:spacing w:line="240" w:lineRule="auto" w:before="0" w:after="0"/>
              <w:ind w:firstLine="0"/>
              <w:jc w:val="left"/>
            </w:pPr>
            <w:r/>
            <w:r>
              <w:rPr>
                <w:rFonts w:ascii="Times New Roman" w:hAnsi="Times New Roman" w:eastAsia="Times New Roman"/>
                <w:b w:val="0"/>
                <w:i w:val="0"/>
                <w:sz w:val="24"/>
              </w:rPr>
              <w:t>4.00</w:t>
            </w:r>
          </w:p>
        </w:tc>
        <w:tc>
          <w:tcPr>
            <w:tcW w:type="dxa" w:w="2256"/>
          </w:tcPr>
          <w:p>
            <w:pPr>
              <w:spacing w:line="240" w:lineRule="auto" w:before="0" w:after="0"/>
              <w:ind w:firstLine="0"/>
              <w:jc w:val="left"/>
            </w:pPr>
            <w:r/>
            <w:r>
              <w:rPr>
                <w:rFonts w:ascii="Times New Roman" w:hAnsi="Times New Roman" w:eastAsia="Times New Roman"/>
                <w:b w:val="0"/>
                <w:i w:val="0"/>
                <w:sz w:val="24"/>
              </w:rPr>
              <w:t>3.95</w:t>
            </w:r>
          </w:p>
        </w:tc>
      </w:tr>
      <w:tr>
        <w:tc>
          <w:tcPr>
            <w:tcW w:type="dxa" w:w="2256"/>
          </w:tcPr>
          <w:p>
            <w:pPr>
              <w:spacing w:line="240" w:lineRule="auto" w:before="0" w:after="0"/>
              <w:ind w:firstLine="0"/>
              <w:jc w:val="left"/>
            </w:pPr>
            <w:r/>
            <w:r>
              <w:rPr>
                <w:rFonts w:ascii="Times New Roman" w:hAnsi="Times New Roman" w:eastAsia="Times New Roman"/>
                <w:b w:val="0"/>
                <w:i w:val="0"/>
                <w:sz w:val="24"/>
              </w:rPr>
              <w:t>Approachability</w:t>
            </w:r>
          </w:p>
        </w:tc>
        <w:tc>
          <w:tcPr>
            <w:tcW w:type="dxa" w:w="2256"/>
          </w:tcPr>
          <w:p>
            <w:pPr>
              <w:spacing w:line="240" w:lineRule="auto" w:before="0" w:after="0"/>
              <w:ind w:firstLine="0"/>
              <w:jc w:val="left"/>
            </w:pPr>
            <w:r/>
            <w:r>
              <w:rPr>
                <w:rFonts w:ascii="Times New Roman" w:hAnsi="Times New Roman" w:eastAsia="Times New Roman"/>
                <w:b w:val="0"/>
                <w:i w:val="0"/>
                <w:sz w:val="24"/>
              </w:rPr>
              <w:t>4.05</w:t>
            </w:r>
          </w:p>
        </w:tc>
        <w:tc>
          <w:tcPr>
            <w:tcW w:type="dxa" w:w="2256"/>
          </w:tcPr>
          <w:p>
            <w:pPr>
              <w:spacing w:line="240" w:lineRule="auto" w:before="0" w:after="0"/>
              <w:ind w:firstLine="0"/>
              <w:jc w:val="left"/>
            </w:pPr>
            <w:r/>
            <w:r>
              <w:rPr>
                <w:rFonts w:ascii="Times New Roman" w:hAnsi="Times New Roman" w:eastAsia="Times New Roman"/>
                <w:b w:val="0"/>
                <w:i w:val="0"/>
                <w:sz w:val="24"/>
              </w:rPr>
              <w:t>3.25</w:t>
            </w:r>
          </w:p>
        </w:tc>
        <w:tc>
          <w:tcPr>
            <w:tcW w:type="dxa" w:w="2256"/>
          </w:tcPr>
          <w:p>
            <w:pPr>
              <w:spacing w:line="240" w:lineRule="auto" w:before="0" w:after="0"/>
              <w:ind w:firstLine="0"/>
              <w:jc w:val="left"/>
            </w:pPr>
            <w:r/>
            <w:r>
              <w:rPr>
                <w:rFonts w:ascii="Times New Roman" w:hAnsi="Times New Roman" w:eastAsia="Times New Roman"/>
                <w:b w:val="0"/>
                <w:i w:val="0"/>
                <w:sz w:val="24"/>
              </w:rPr>
              <w:t>4.35</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4.6 demonstrates the pedagogical value of multidimensional overview. Lecturer A shows particular strength in lecture notes (4.55), interactiveness (4.40), and communication (4.30), with comparatively moderate audibility (3.85) and punctuality (3.90). Lecturer B presents a contrasting profile: high class control (4.60), punctuality (4.45), and audibility (4.25), but lower interactiveness (3.10), notes availability (3.40), and approachability (3.25). Lecturer C is comparatively strong on approachability (4.35) and notes (4.20), with lower class control (3.70).</w:t>
      </w:r>
    </w:p>
    <w:p>
      <w:pPr>
        <w:spacing w:line="360" w:lineRule="auto" w:before="0" w:after="0"/>
        <w:ind w:firstLine="720"/>
        <w:jc w:val="both"/>
      </w:pPr>
      <w:r>
        <w:rPr>
          <w:rFonts w:ascii="Times New Roman" w:hAnsi="Times New Roman" w:eastAsia="Times New Roman"/>
          <w:b w:val="0"/>
          <w:i w:val="0"/>
          <w:sz w:val="28"/>
        </w:rPr>
        <w:t>No lecturer dominates every dimension. That pattern is exactly what Marsh (1982) and Spooren et al. (2013) would lead one to expect if teaching is multidimensional rather than a unitary trait. For students, the implication is strategic rather than stereotyping. Facing Lecturer B, a prudent student might expect strong control and punctuality, plan independent note-making, and prepare to ask carefully rather than assume free-flowing discussion. Facing Lecturer A, early participation and use of released notes become rational. Facing Lecturer C, approachability can be leveraged for clarification, while self-discipline may need to compensate for weaker classroom control. Overview thus replaces campus adjectives—“nice,” “harsh,” “wicked”—with actionable rehearsal scripts.</w:t>
      </w:r>
    </w:p>
    <w:p>
      <w:pPr>
        <w:spacing w:line="360" w:lineRule="auto" w:before="0" w:after="0"/>
        <w:ind w:firstLine="720"/>
        <w:jc w:val="both"/>
      </w:pPr>
      <w:r>
        <w:rPr>
          <w:rFonts w:ascii="Times New Roman" w:hAnsi="Times New Roman" w:eastAsia="Times New Roman"/>
          <w:b w:val="0"/>
          <w:i w:val="0"/>
          <w:sz w:val="28"/>
        </w:rPr>
        <w:t>The same table also protects lecturers from caricature. Lecturer B’s lower interactiveness and approachability scores sit beside high control, punctuality, and audibility; a fair reading is “structured and audible,” not “enemy of students.” Lecturer A’s moderate audibility does not erase strengths in notes and communication. In a rumour culture, one weak dimension often becomes the whole identity. In a chart culture, identity is a profile. That distinction is the operational heart of preknowledge as defined in this project.</w:t>
      </w:r>
    </w:p>
    <w:p>
      <w:pPr>
        <w:spacing w:line="360" w:lineRule="auto" w:before="0" w:after="0"/>
        <w:ind w:firstLine="720"/>
        <w:jc w:val="both"/>
      </w:pPr>
      <w:r>
        <w:rPr>
          <w:rFonts w:ascii="Times New Roman" w:hAnsi="Times New Roman" w:eastAsia="Times New Roman"/>
          <w:b w:val="0"/>
          <w:i w:val="0"/>
          <w:sz w:val="28"/>
        </w:rPr>
        <w:t>The same table also clarifies why one-number ranking would be educationally harmful. If the department published only an overall mean, Lecturer B’s strong control and punctuality could be flattened into a middling score dragged down by notes and approachability, or—worse—translated by rumour into a single fear label. Dimensional display preserves both credit and critique. Lecturers reviewing their own dashboards likewise see where consistency already maintains reputation and where targeted improvement is possible without discarding strengths. Appendices Figures 4.1 and 4.2 illustrate how bar and radar charts make these contrasts visually immediate; the numeric substance is Table 4.6.</w:t>
      </w:r>
    </w:p>
    <w:p>
      <w:pPr>
        <w:spacing w:line="360" w:lineRule="auto" w:before="80" w:after="40"/>
        <w:ind w:firstLine="0"/>
        <w:jc w:val="both"/>
      </w:pPr>
      <w:r>
        <w:rPr>
          <w:rFonts w:ascii="Times New Roman" w:hAnsi="Times New Roman" w:eastAsia="Times New Roman"/>
          <w:b/>
          <w:i/>
          <w:sz w:val="28"/>
        </w:rPr>
        <w:t>4.2.5 Challenges Reported by Students and Lecturers</w:t>
      </w:r>
    </w:p>
    <w:p>
      <w:pPr>
        <w:spacing w:line="360" w:lineRule="auto" w:before="0" w:after="0"/>
        <w:ind w:firstLine="720"/>
        <w:jc w:val="both"/>
      </w:pPr>
      <w:r>
        <w:rPr>
          <w:rFonts w:ascii="Times New Roman" w:hAnsi="Times New Roman" w:eastAsia="Times New Roman"/>
          <w:b w:val="0"/>
          <w:i w:val="0"/>
          <w:sz w:val="28"/>
        </w:rPr>
        <w:t>Open responses and interview probes revealed recurring challenges that corroborate the problem statement. Students reported changing study strategies too late in the semester; receiving extreme senior advice that later proved partial or false; and experiencing fear or confusion that affected performance beyond content difficulty alone. Some noted that WhatsApp “warnings” about lecturers circulated faster than any official orientation material. Others described discovering only mid-semester that a lecturer rewarded pre-reading or penalised late continuous assessment in ways rumour had never specified. Lecturers reported premature hostility or withdrawal in new classes; time costs of rebuilding trust; and preference for multi-criteria feedback over social-media labelling. A minority worried that even aggregated ratings could be gamed if anonymity were misunderstood as licence for malice; this reinforces the need for admin moderation and clear formative purpose statements in deployment.</w:t>
      </w:r>
    </w:p>
    <w:p>
      <w:pPr>
        <w:spacing w:line="360" w:lineRule="auto" w:before="0" w:after="0"/>
        <w:ind w:firstLine="720"/>
        <w:jc w:val="both"/>
      </w:pPr>
      <w:r>
        <w:rPr>
          <w:rFonts w:ascii="Times New Roman" w:hAnsi="Times New Roman" w:eastAsia="Times New Roman"/>
          <w:b w:val="0"/>
          <w:i w:val="0"/>
          <w:sz w:val="28"/>
        </w:rPr>
        <w:t>These narratives confirm that the academic problem is partly an information problem. Content mastery remains essential, but adaptation failure and reputational distortion are real, recurring harms that a structured portal is designed to reduce. Chapter Four’s quantitative tables show acceptance and differentiation; the qualitative strand shows why those numbers matter in lived departmental experience.</w:t>
      </w:r>
    </w:p>
    <w:p>
      <w:pPr>
        <w:spacing w:line="360" w:lineRule="auto" w:before="80" w:after="40"/>
        <w:ind w:firstLine="0"/>
        <w:jc w:val="both"/>
      </w:pPr>
      <w:r>
        <w:rPr>
          <w:rFonts w:ascii="Times New Roman" w:hAnsi="Times New Roman" w:eastAsia="Times New Roman"/>
          <w:b/>
          <w:i w:val="0"/>
          <w:sz w:val="28"/>
        </w:rPr>
        <w:t>4.3 Testing of Hypotheses</w:t>
      </w:r>
    </w:p>
    <w:p>
      <w:pPr>
        <w:spacing w:line="360" w:lineRule="auto" w:before="80" w:after="40"/>
        <w:ind w:firstLine="0"/>
        <w:jc w:val="both"/>
      </w:pPr>
      <w:r>
        <w:rPr>
          <w:rFonts w:ascii="Times New Roman" w:hAnsi="Times New Roman" w:eastAsia="Times New Roman"/>
          <w:b/>
          <w:i/>
          <w:sz w:val="28"/>
        </w:rPr>
        <w:t>4.3.1 Hypothesis One</w:t>
      </w:r>
    </w:p>
    <w:p>
      <w:pPr>
        <w:spacing w:line="360" w:lineRule="auto" w:before="0" w:after="0"/>
        <w:ind w:firstLine="720"/>
        <w:jc w:val="both"/>
      </w:pPr>
      <w:r>
        <w:rPr>
          <w:rFonts w:ascii="Times New Roman" w:hAnsi="Times New Roman" w:eastAsia="Times New Roman"/>
          <w:b/>
          <w:i w:val="0"/>
          <w:sz w:val="28"/>
        </w:rPr>
        <w:t>H₀₁:</w:t>
      </w:r>
      <w:r>
        <w:rPr>
          <w:rFonts w:ascii="Times New Roman" w:hAnsi="Times New Roman" w:eastAsia="Times New Roman"/>
          <w:b w:val="0"/>
          <w:i w:val="0"/>
          <w:sz w:val="28"/>
        </w:rPr>
        <w:t xml:space="preserve"> There is no significant relationship between students’ access to structured lecturer overview information and their reported ability to adjust study strategies to lecturers’ teaching styles.</w:t>
      </w:r>
    </w:p>
    <w:p>
      <w:pPr>
        <w:spacing w:line="360" w:lineRule="auto" w:before="120" w:after="40"/>
        <w:ind w:firstLine="0"/>
        <w:jc w:val="center"/>
      </w:pPr>
      <w:r>
        <w:rPr>
          <w:rFonts w:ascii="Times New Roman" w:hAnsi="Times New Roman" w:eastAsia="Times New Roman"/>
          <w:b/>
          <w:i w:val="0"/>
          <w:sz w:val="28"/>
        </w:rPr>
        <w:t>Table 4.7: Chi-Square Test Result for Hypothesis One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Statistic</w:t>
            </w:r>
          </w:p>
        </w:tc>
        <w:tc>
          <w:tcPr>
            <w:tcW w:type="dxa" w:w="4513"/>
          </w:tcPr>
          <w:p>
            <w:pPr>
              <w:spacing w:line="240" w:lineRule="auto" w:before="0" w:after="0"/>
              <w:ind w:firstLine="0"/>
              <w:jc w:val="left"/>
            </w:pPr>
            <w:r/>
            <w:r>
              <w:rPr>
                <w:rFonts w:ascii="Times New Roman" w:hAnsi="Times New Roman" w:eastAsia="Times New Roman"/>
                <w:b/>
                <w:i w:val="0"/>
                <w:sz w:val="24"/>
              </w:rPr>
              <w:t>Value</w:t>
            </w:r>
          </w:p>
        </w:tc>
      </w:tr>
      <w:tr>
        <w:tc>
          <w:tcPr>
            <w:tcW w:type="dxa" w:w="4513"/>
          </w:tcPr>
          <w:p>
            <w:pPr>
              <w:spacing w:line="240" w:lineRule="auto" w:before="0" w:after="0"/>
              <w:ind w:firstLine="0"/>
              <w:jc w:val="left"/>
            </w:pPr>
            <w:r/>
            <w:r>
              <w:rPr>
                <w:rFonts w:ascii="Times New Roman" w:hAnsi="Times New Roman" w:eastAsia="Times New Roman"/>
                <w:b w:val="0"/>
                <w:i w:val="0"/>
                <w:sz w:val="24"/>
              </w:rPr>
              <w:t>χ² calculated</w:t>
            </w:r>
          </w:p>
        </w:tc>
        <w:tc>
          <w:tcPr>
            <w:tcW w:type="dxa" w:w="4513"/>
          </w:tcPr>
          <w:p>
            <w:pPr>
              <w:spacing w:line="240" w:lineRule="auto" w:before="0" w:after="0"/>
              <w:ind w:firstLine="0"/>
              <w:jc w:val="left"/>
            </w:pPr>
            <w:r/>
            <w:r>
              <w:rPr>
                <w:rFonts w:ascii="Times New Roman" w:hAnsi="Times New Roman" w:eastAsia="Times New Roman"/>
                <w:b w:val="0"/>
                <w:i w:val="0"/>
                <w:sz w:val="24"/>
              </w:rPr>
              <w:t>18.42</w:t>
            </w:r>
          </w:p>
        </w:tc>
      </w:tr>
      <w:tr>
        <w:tc>
          <w:tcPr>
            <w:tcW w:type="dxa" w:w="4513"/>
          </w:tcPr>
          <w:p>
            <w:pPr>
              <w:spacing w:line="240" w:lineRule="auto" w:before="0" w:after="0"/>
              <w:ind w:firstLine="0"/>
              <w:jc w:val="left"/>
            </w:pPr>
            <w:r/>
            <w:r>
              <w:rPr>
                <w:rFonts w:ascii="Times New Roman" w:hAnsi="Times New Roman" w:eastAsia="Times New Roman"/>
                <w:b w:val="0"/>
                <w:i w:val="0"/>
                <w:sz w:val="24"/>
              </w:rPr>
              <w:t>df</w:t>
            </w:r>
          </w:p>
        </w:tc>
        <w:tc>
          <w:tcPr>
            <w:tcW w:type="dxa" w:w="4513"/>
          </w:tcPr>
          <w:p>
            <w:pPr>
              <w:spacing w:line="240" w:lineRule="auto" w:before="0" w:after="0"/>
              <w:ind w:firstLine="0"/>
              <w:jc w:val="left"/>
            </w:pPr>
            <w:r/>
            <w:r>
              <w:rPr>
                <w:rFonts w:ascii="Times New Roman" w:hAnsi="Times New Roman" w:eastAsia="Times New Roman"/>
                <w:b w:val="0"/>
                <w:i w:val="0"/>
                <w:sz w:val="24"/>
              </w:rPr>
              <w:t>4</w:t>
            </w:r>
          </w:p>
        </w:tc>
      </w:tr>
      <w:tr>
        <w:tc>
          <w:tcPr>
            <w:tcW w:type="dxa" w:w="4513"/>
          </w:tcPr>
          <w:p>
            <w:pPr>
              <w:spacing w:line="240" w:lineRule="auto" w:before="0" w:after="0"/>
              <w:ind w:firstLine="0"/>
              <w:jc w:val="left"/>
            </w:pPr>
            <w:r/>
            <w:r>
              <w:rPr>
                <w:rFonts w:ascii="Times New Roman" w:hAnsi="Times New Roman" w:eastAsia="Times New Roman"/>
                <w:b w:val="0"/>
                <w:i w:val="0"/>
                <w:sz w:val="24"/>
              </w:rPr>
              <w:t>χ² critical (0.05)</w:t>
            </w:r>
          </w:p>
        </w:tc>
        <w:tc>
          <w:tcPr>
            <w:tcW w:type="dxa" w:w="4513"/>
          </w:tcPr>
          <w:p>
            <w:pPr>
              <w:spacing w:line="240" w:lineRule="auto" w:before="0" w:after="0"/>
              <w:ind w:firstLine="0"/>
              <w:jc w:val="left"/>
            </w:pPr>
            <w:r/>
            <w:r>
              <w:rPr>
                <w:rFonts w:ascii="Times New Roman" w:hAnsi="Times New Roman" w:eastAsia="Times New Roman"/>
                <w:b w:val="0"/>
                <w:i w:val="0"/>
                <w:sz w:val="24"/>
              </w:rPr>
              <w:t>9.49</w:t>
            </w:r>
          </w:p>
        </w:tc>
      </w:tr>
      <w:tr>
        <w:tc>
          <w:tcPr>
            <w:tcW w:type="dxa" w:w="4513"/>
          </w:tcPr>
          <w:p>
            <w:pPr>
              <w:spacing w:line="240" w:lineRule="auto" w:before="0" w:after="0"/>
              <w:ind w:firstLine="0"/>
              <w:jc w:val="left"/>
            </w:pPr>
            <w:r/>
            <w:r>
              <w:rPr>
                <w:rFonts w:ascii="Times New Roman" w:hAnsi="Times New Roman" w:eastAsia="Times New Roman"/>
                <w:b w:val="0"/>
                <w:i w:val="0"/>
                <w:sz w:val="24"/>
              </w:rPr>
              <w:t>Decision</w:t>
            </w:r>
          </w:p>
        </w:tc>
        <w:tc>
          <w:tcPr>
            <w:tcW w:type="dxa" w:w="4513"/>
          </w:tcPr>
          <w:p>
            <w:pPr>
              <w:spacing w:line="240" w:lineRule="auto" w:before="0" w:after="0"/>
              <w:ind w:firstLine="0"/>
              <w:jc w:val="left"/>
            </w:pPr>
            <w:r/>
            <w:r>
              <w:rPr>
                <w:rFonts w:ascii="Times New Roman" w:hAnsi="Times New Roman" w:eastAsia="Times New Roman"/>
                <w:b w:val="0"/>
                <w:i w:val="0"/>
                <w:sz w:val="24"/>
              </w:rPr>
              <w:t>Reject H₀₁</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Because χ² calculated (18.42) exceeds χ² critical (9.49) at df = 4 and α = 0.05, the null hypothesis is rejected. Students who found overview useful were significantly more likely to report improved ability to adjust study strategies. The result matters for interpretation of Table 4.5: high usefulness means are not merely expressions of interface pleasure; they covary with a pedagogically relevant self-report—strategy adjustment. If overview were unrelated to adjustment, charts would be decorative. The Chi-square outcome indicates otherwise and supports the alternative hypothesis (H₁₁).</w:t>
      </w:r>
    </w:p>
    <w:p>
      <w:pPr>
        <w:spacing w:line="360" w:lineRule="auto" w:before="0" w:after="0"/>
        <w:ind w:firstLine="720"/>
        <w:jc w:val="both"/>
      </w:pPr>
      <w:r>
        <w:rPr>
          <w:rFonts w:ascii="Times New Roman" w:hAnsi="Times New Roman" w:eastAsia="Times New Roman"/>
          <w:b w:val="0"/>
          <w:i w:val="0"/>
          <w:sz w:val="28"/>
        </w:rPr>
        <w:t>Substantively, Hypothesis One connects the portal to the expectancy mechanism sketched in Chapter Two. Structured preknowledge should recalibrate what students expect and therefore how they prepare. The significant association between overview usefulness and reported adjustment ability is consistent with that mechanism, even though the present design cannot claim randomised causal proof. For an undergraduate developmental study, the inferential claim is appropriately modest: overview and adjustment co-vary beyond chance under the measured conditions.</w:t>
      </w:r>
    </w:p>
    <w:p>
      <w:pPr>
        <w:spacing w:line="360" w:lineRule="auto" w:before="0" w:after="0"/>
        <w:ind w:firstLine="720"/>
        <w:jc w:val="both"/>
      </w:pPr>
      <w:r>
        <w:rPr>
          <w:rFonts w:ascii="Times New Roman" w:hAnsi="Times New Roman" w:eastAsia="Times New Roman"/>
          <w:b w:val="0"/>
          <w:i w:val="0"/>
          <w:sz w:val="28"/>
        </w:rPr>
        <w:t>Interpreted against the expectancy-value framing in Chapter Two, the association is theoretically coherent. Structured overview recalibrates expectancy of what classroom success requires; students then report changing preparation behaviours accordingly. The test does not prove that grades rose—that would require longitudinal achievement data suggested for further research—but it does show that the portal’s claimed mechanism is empirically associated with user-reported adaptation in this sample.</w:t>
      </w:r>
    </w:p>
    <w:p>
      <w:pPr>
        <w:spacing w:line="360" w:lineRule="auto" w:before="80" w:after="40"/>
        <w:ind w:firstLine="0"/>
        <w:jc w:val="both"/>
      </w:pPr>
      <w:r>
        <w:rPr>
          <w:rFonts w:ascii="Times New Roman" w:hAnsi="Times New Roman" w:eastAsia="Times New Roman"/>
          <w:b/>
          <w:i/>
          <w:sz w:val="28"/>
        </w:rPr>
        <w:t>4.3.2 Hypothesis Two</w:t>
      </w:r>
    </w:p>
    <w:p>
      <w:pPr>
        <w:spacing w:line="360" w:lineRule="auto" w:before="0" w:after="0"/>
        <w:ind w:firstLine="720"/>
        <w:jc w:val="both"/>
      </w:pPr>
      <w:r>
        <w:rPr>
          <w:rFonts w:ascii="Times New Roman" w:hAnsi="Times New Roman" w:eastAsia="Times New Roman"/>
          <w:b/>
          <w:i w:val="0"/>
          <w:sz w:val="28"/>
        </w:rPr>
        <w:t>H₀₂:</w:t>
      </w:r>
      <w:r>
        <w:rPr>
          <w:rFonts w:ascii="Times New Roman" w:hAnsi="Times New Roman" w:eastAsia="Times New Roman"/>
          <w:b w:val="0"/>
          <w:i w:val="0"/>
          <w:sz w:val="28"/>
        </w:rPr>
        <w:t xml:space="preserve"> Aggregated student ratings on the eight lecturer quality indicators do not significantly differ across lecturers.</w:t>
      </w:r>
    </w:p>
    <w:p>
      <w:pPr>
        <w:spacing w:line="360" w:lineRule="auto" w:before="120" w:after="40"/>
        <w:ind w:firstLine="0"/>
        <w:jc w:val="center"/>
      </w:pPr>
      <w:r>
        <w:rPr>
          <w:rFonts w:ascii="Times New Roman" w:hAnsi="Times New Roman" w:eastAsia="Times New Roman"/>
          <w:b/>
          <w:i w:val="0"/>
          <w:sz w:val="28"/>
        </w:rPr>
        <w:t>Table 4.8: ANOVA Summary for Hypothesis Two</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Statistic</w:t>
            </w:r>
          </w:p>
        </w:tc>
        <w:tc>
          <w:tcPr>
            <w:tcW w:type="dxa" w:w="4513"/>
          </w:tcPr>
          <w:p>
            <w:pPr>
              <w:spacing w:line="240" w:lineRule="auto" w:before="0" w:after="0"/>
              <w:ind w:firstLine="0"/>
              <w:jc w:val="left"/>
            </w:pPr>
            <w:r/>
            <w:r>
              <w:rPr>
                <w:rFonts w:ascii="Times New Roman" w:hAnsi="Times New Roman" w:eastAsia="Times New Roman"/>
                <w:b/>
                <w:i w:val="0"/>
                <w:sz w:val="24"/>
              </w:rPr>
              <w:t>Value</w:t>
            </w:r>
          </w:p>
        </w:tc>
      </w:tr>
      <w:tr>
        <w:tc>
          <w:tcPr>
            <w:tcW w:type="dxa" w:w="4513"/>
          </w:tcPr>
          <w:p>
            <w:pPr>
              <w:spacing w:line="240" w:lineRule="auto" w:before="0" w:after="0"/>
              <w:ind w:firstLine="0"/>
              <w:jc w:val="left"/>
            </w:pPr>
            <w:r/>
            <w:r>
              <w:rPr>
                <w:rFonts w:ascii="Times New Roman" w:hAnsi="Times New Roman" w:eastAsia="Times New Roman"/>
                <w:b w:val="0"/>
                <w:i w:val="0"/>
                <w:sz w:val="24"/>
              </w:rPr>
              <w:t>F calculated</w:t>
            </w:r>
          </w:p>
        </w:tc>
        <w:tc>
          <w:tcPr>
            <w:tcW w:type="dxa" w:w="4513"/>
          </w:tcPr>
          <w:p>
            <w:pPr>
              <w:spacing w:line="240" w:lineRule="auto" w:before="0" w:after="0"/>
              <w:ind w:firstLine="0"/>
              <w:jc w:val="left"/>
            </w:pPr>
            <w:r/>
            <w:r>
              <w:rPr>
                <w:rFonts w:ascii="Times New Roman" w:hAnsi="Times New Roman" w:eastAsia="Times New Roman"/>
                <w:b w:val="0"/>
                <w:i w:val="0"/>
                <w:sz w:val="24"/>
              </w:rPr>
              <w:t>6.27</w:t>
            </w:r>
          </w:p>
        </w:tc>
      </w:tr>
      <w:tr>
        <w:tc>
          <w:tcPr>
            <w:tcW w:type="dxa" w:w="4513"/>
          </w:tcPr>
          <w:p>
            <w:pPr>
              <w:spacing w:line="240" w:lineRule="auto" w:before="0" w:after="0"/>
              <w:ind w:firstLine="0"/>
              <w:jc w:val="left"/>
            </w:pPr>
            <w:r/>
            <w:r>
              <w:rPr>
                <w:rFonts w:ascii="Times New Roman" w:hAnsi="Times New Roman" w:eastAsia="Times New Roman"/>
                <w:b w:val="0"/>
                <w:i w:val="0"/>
                <w:sz w:val="24"/>
              </w:rPr>
              <w:t>p-value</w:t>
            </w:r>
          </w:p>
        </w:tc>
        <w:tc>
          <w:tcPr>
            <w:tcW w:type="dxa" w:w="4513"/>
          </w:tcPr>
          <w:p>
            <w:pPr>
              <w:spacing w:line="240" w:lineRule="auto" w:before="0" w:after="0"/>
              <w:ind w:firstLine="0"/>
              <w:jc w:val="left"/>
            </w:pPr>
            <w:r/>
            <w:r>
              <w:rPr>
                <w:rFonts w:ascii="Times New Roman" w:hAnsi="Times New Roman" w:eastAsia="Times New Roman"/>
                <w:b w:val="0"/>
                <w:i w:val="0"/>
                <w:sz w:val="24"/>
              </w:rPr>
              <w:t>&lt; 0.05</w:t>
            </w:r>
          </w:p>
        </w:tc>
      </w:tr>
      <w:tr>
        <w:tc>
          <w:tcPr>
            <w:tcW w:type="dxa" w:w="4513"/>
          </w:tcPr>
          <w:p>
            <w:pPr>
              <w:spacing w:line="240" w:lineRule="auto" w:before="0" w:after="0"/>
              <w:ind w:firstLine="0"/>
              <w:jc w:val="left"/>
            </w:pPr>
            <w:r/>
            <w:r>
              <w:rPr>
                <w:rFonts w:ascii="Times New Roman" w:hAnsi="Times New Roman" w:eastAsia="Times New Roman"/>
                <w:b w:val="0"/>
                <w:i w:val="0"/>
                <w:sz w:val="24"/>
              </w:rPr>
              <w:t>Decision</w:t>
            </w:r>
          </w:p>
        </w:tc>
        <w:tc>
          <w:tcPr>
            <w:tcW w:type="dxa" w:w="4513"/>
          </w:tcPr>
          <w:p>
            <w:pPr>
              <w:spacing w:line="240" w:lineRule="auto" w:before="0" w:after="0"/>
              <w:ind w:firstLine="0"/>
              <w:jc w:val="left"/>
            </w:pPr>
            <w:r/>
            <w:r>
              <w:rPr>
                <w:rFonts w:ascii="Times New Roman" w:hAnsi="Times New Roman" w:eastAsia="Times New Roman"/>
                <w:b w:val="0"/>
                <w:i w:val="0"/>
                <w:sz w:val="24"/>
              </w:rPr>
              <w:t>Reject H₀₂</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The ANOVA result leads to rejection of H₀₂. Lecturers differ significantly across the assessed quality profiles, consistent with the descriptive contrasts in Table 4.6. This finding justifies multidimensional charts rather than one campus slogan or a single overall mean. If lecturers did not differ, separate profiles would be pointless and rumour’s crude labels might be “good enough.” Significant between-lecturer differences imply that overview has discriminatory content: students consulting the portal encounter real pattern variation, not noise around a common mean.</w:t>
      </w:r>
    </w:p>
    <w:p>
      <w:pPr>
        <w:spacing w:line="360" w:lineRule="auto" w:before="0" w:after="0"/>
        <w:ind w:firstLine="720"/>
        <w:jc w:val="both"/>
      </w:pPr>
      <w:r>
        <w:rPr>
          <w:rFonts w:ascii="Times New Roman" w:hAnsi="Times New Roman" w:eastAsia="Times New Roman"/>
          <w:b w:val="0"/>
          <w:i w:val="0"/>
          <w:sz w:val="28"/>
        </w:rPr>
        <w:t>Hypothesis Two also disciplines how the department should display results. A league-table of “best lecturer” overall scores would discard the very differences ANOVA detects—differences that students need for adaptation. Radar and bar charts preserve those differences; single ranks erase them. The statistical result therefore has interface consequences as well as interpretive ones.</w:t>
      </w:r>
    </w:p>
    <w:p>
      <w:pPr>
        <w:spacing w:line="360" w:lineRule="auto" w:before="80" w:after="40"/>
        <w:ind w:firstLine="0"/>
        <w:jc w:val="both"/>
      </w:pPr>
      <w:r>
        <w:rPr>
          <w:rFonts w:ascii="Times New Roman" w:hAnsi="Times New Roman" w:eastAsia="Times New Roman"/>
          <w:b/>
          <w:i w:val="0"/>
          <w:sz w:val="28"/>
        </w:rPr>
        <w:t>4.4 System Implementation Outcomes</w:t>
      </w:r>
    </w:p>
    <w:p>
      <w:pPr>
        <w:spacing w:line="360" w:lineRule="auto" w:before="0" w:after="0"/>
        <w:ind w:firstLine="720"/>
        <w:jc w:val="both"/>
      </w:pPr>
      <w:r>
        <w:rPr>
          <w:rFonts w:ascii="Times New Roman" w:hAnsi="Times New Roman" w:eastAsia="Times New Roman"/>
          <w:b w:val="0"/>
          <w:i w:val="0"/>
          <w:sz w:val="28"/>
        </w:rPr>
        <w:t>The PHP/MySQL portal was implemented with role-based modules corresponding to the design in Chapter Three:</w:t>
      </w:r>
    </w:p>
    <w:p>
      <w:pPr>
        <w:spacing w:line="360" w:lineRule="auto" w:before="0" w:after="0"/>
        <w:ind w:firstLine="720"/>
        <w:jc w:val="both"/>
      </w:pPr>
      <w:r>
        <w:rPr>
          <w:rFonts w:ascii="Times New Roman" w:hAnsi="Times New Roman" w:eastAsia="Times New Roman"/>
          <w:b w:val="0"/>
          <w:i w:val="0"/>
          <w:sz w:val="28"/>
        </w:rPr>
        <w:t xml:space="preserve">- </w:t>
      </w:r>
      <w:r>
        <w:rPr>
          <w:rFonts w:ascii="Times New Roman" w:hAnsi="Times New Roman" w:eastAsia="Times New Roman"/>
          <w:b/>
          <w:i w:val="0"/>
          <w:sz w:val="28"/>
        </w:rPr>
        <w:t>Students:</w:t>
      </w:r>
      <w:r>
        <w:rPr>
          <w:rFonts w:ascii="Times New Roman" w:hAnsi="Times New Roman" w:eastAsia="Times New Roman"/>
          <w:b w:val="0"/>
          <w:i w:val="0"/>
          <w:sz w:val="28"/>
        </w:rPr>
        <w:t xml:space="preserve"> register and log in (with academic level); at semester start select compulsory/elective courses published for their level; at semester end complete assessments only for lecturers of those courses; view overview charts; update level on profile when they progress. - </w:t>
      </w:r>
      <w:r>
        <w:rPr>
          <w:rFonts w:ascii="Times New Roman" w:hAnsi="Times New Roman" w:eastAsia="Times New Roman"/>
          <w:b/>
          <w:i w:val="0"/>
          <w:sz w:val="28"/>
        </w:rPr>
        <w:t>Lecturers:</w:t>
      </w:r>
      <w:r>
        <w:rPr>
          <w:rFonts w:ascii="Times New Roman" w:hAnsi="Times New Roman" w:eastAsia="Times New Roman"/>
          <w:b w:val="0"/>
          <w:i w:val="0"/>
          <w:sz w:val="28"/>
        </w:rPr>
        <w:t xml:space="preserve"> view aggregated personal dashboards (bar and radar summaries of the eight qualities). - </w:t>
      </w:r>
      <w:r>
        <w:rPr>
          <w:rFonts w:ascii="Times New Roman" w:hAnsi="Times New Roman" w:eastAsia="Times New Roman"/>
          <w:b/>
          <w:i w:val="0"/>
          <w:sz w:val="28"/>
        </w:rPr>
        <w:t>Admin:</w:t>
      </w:r>
      <w:r>
        <w:rPr>
          <w:rFonts w:ascii="Times New Roman" w:hAnsi="Times New Roman" w:eastAsia="Times New Roman"/>
          <w:b w:val="0"/>
          <w:i w:val="0"/>
          <w:sz w:val="28"/>
        </w:rPr>
        <w:t xml:space="preserve"> at semester start manage users, publish course offerings by level (compulsory/elective), assign lecturers, and oversee enrolments.</w:t>
      </w:r>
    </w:p>
    <w:p>
      <w:pPr>
        <w:spacing w:line="360" w:lineRule="auto" w:before="0" w:after="0"/>
        <w:ind w:firstLine="720"/>
        <w:jc w:val="both"/>
      </w:pPr>
      <w:r>
        <w:rPr>
          <w:rFonts w:ascii="Times New Roman" w:hAnsi="Times New Roman" w:eastAsia="Times New Roman"/>
          <w:b w:val="0"/>
          <w:i w:val="0"/>
          <w:sz w:val="28"/>
        </w:rPr>
        <w:t>Security features included hashed passwords (password_hash), prepared statements against SQL injection, session-based role gates, and CSRF protection on state-changing forms. Seeded demonstration data and live assessment submissions rendered Chart.js visualisations immediately, demonstrating that Objective 3 was achieved in working software, not only as a paper specification. Screenshots of the student assessment form and overview dashboard appear in Appendices (Figures 4.3 and 4.4); this section reports functional outcomes rather than reproducing those images.</w:t>
      </w:r>
    </w:p>
    <w:p>
      <w:pPr>
        <w:spacing w:line="360" w:lineRule="auto" w:before="0" w:after="0"/>
        <w:ind w:firstLine="720"/>
        <w:jc w:val="both"/>
      </w:pPr>
      <w:r>
        <w:rPr>
          <w:rFonts w:ascii="Times New Roman" w:hAnsi="Times New Roman" w:eastAsia="Times New Roman"/>
          <w:b/>
          <w:i w:val="0"/>
          <w:sz w:val="28"/>
        </w:rPr>
        <w:t>Functional and acceptance testing.</w:t>
      </w:r>
      <w:r>
        <w:rPr>
          <w:rFonts w:ascii="Times New Roman" w:hAnsi="Times New Roman" w:eastAsia="Times New Roman"/>
          <w:b w:val="0"/>
          <w:i w:val="0"/>
          <w:sz w:val="28"/>
        </w:rPr>
        <w:t xml:space="preserve"> Test cases confirmed successful authentication by role; rejection of unauthenticated access to protected pages; blocked duplicate assessments where configured; correct computation of quality means for chart endpoints; and readable layout on narrow mobile viewports. Boundary checks verified that Likert values outside the 1–5 range were rejected at validation, and that empty course or lecturer selections could not generate orphaned assessment rows. Aggregation queries were spot-checked against manual mean computations for sample lecturers to confirm Chart.js inputs matched database outputs. Usability feedback summarised in Table 4.5 supports user acceptance. Residual limitations noted during testing included dependence on server availability during peak campus use and the need for admin vigilance against abusive optional comments—issues recommended for operational policy rather than evidence of design failure.</w:t>
      </w:r>
    </w:p>
    <w:p>
      <w:pPr>
        <w:spacing w:line="360" w:lineRule="auto" w:before="0" w:after="0"/>
        <w:ind w:firstLine="720"/>
        <w:jc w:val="both"/>
      </w:pPr>
      <w:r>
        <w:rPr>
          <w:rFonts w:ascii="Times New Roman" w:hAnsi="Times New Roman" w:eastAsia="Times New Roman"/>
          <w:b w:val="0"/>
          <w:i w:val="0"/>
          <w:sz w:val="28"/>
        </w:rPr>
        <w:t>Overall, implementation outcomes show that an eight-quality preknowledge portal is technically feasible within a standard LAMP-style undergraduate stack and organisationally intelligible to Computer Science students and lecturers at UNN. The developmental claim of the thesis—software as remedy to an information failure—is therefore not speculative; it is demonstrated in a running system whose outputs students rated as useful for orientation.</w:t>
      </w:r>
    </w:p>
    <w:p>
      <w:pPr>
        <w:spacing w:line="360" w:lineRule="auto" w:before="80" w:after="40"/>
        <w:ind w:firstLine="0"/>
        <w:jc w:val="both"/>
      </w:pPr>
      <w:r>
        <w:rPr>
          <w:rFonts w:ascii="Times New Roman" w:hAnsi="Times New Roman" w:eastAsia="Times New Roman"/>
          <w:b/>
          <w:i w:val="0"/>
          <w:sz w:val="28"/>
        </w:rPr>
        <w:t>4.5 Discussion of Findings</w:t>
      </w:r>
    </w:p>
    <w:p>
      <w:pPr>
        <w:spacing w:line="360" w:lineRule="auto" w:before="0" w:after="0"/>
        <w:ind w:firstLine="720"/>
        <w:jc w:val="both"/>
      </w:pPr>
      <w:r>
        <w:rPr>
          <w:rFonts w:ascii="Times New Roman" w:hAnsi="Times New Roman" w:eastAsia="Times New Roman"/>
          <w:b w:val="0"/>
          <w:i w:val="0"/>
          <w:sz w:val="28"/>
        </w:rPr>
        <w:t>The findings align closely with multidimensional SET scholarship. Marsh (1982) demonstrated that students can differentiate teaching facets; Spooren et al. (2013) warned institutions against one-number fetishism; Benton and Cashin (2011) summarised practical conditions for useful evaluation. In this study, lecturers endorsed eight separable qualities (Table 4.3), students affirmed coverage and clarity (Table 4.4), and sample profiles (Table 4.6) displayed non-identical strength patterns. The portal’s value proposition—diagnosis rather than stereotype—is therefore empirically supported in the UNN Computer Science setting.</w:t>
      </w:r>
    </w:p>
    <w:p>
      <w:pPr>
        <w:spacing w:line="360" w:lineRule="auto" w:before="0" w:after="0"/>
        <w:ind w:firstLine="720"/>
        <w:jc w:val="both"/>
      </w:pPr>
      <w:r>
        <w:rPr>
          <w:rFonts w:ascii="Times New Roman" w:hAnsi="Times New Roman" w:eastAsia="Times New Roman"/>
          <w:b w:val="0"/>
          <w:i w:val="0"/>
          <w:sz w:val="28"/>
        </w:rPr>
        <w:t xml:space="preserve">Nigerian instrument and attitude studies provide legitimacy for local teaching evaluation. Archibong and Nja (2011) argued that teaching effectiveness has been weakly integrated into public-university appraisal and called for serious measurement. Amuche and Umar’s (2019) LECTAS work and Amini’s (2018) analysis of students’ evaluation of teaching similarly locate SET within Nigerian quality discourse. Inko-Tariah (2013) showed that many lecturers can hold positive attitudes toward student evaluation. Ani (2020) answered witch-hunt and corruption objections by insisting on careful timing and design. The present findings extend that legitimacy from instruments and attitudes into a </w:t>
      </w:r>
      <w:r>
        <w:rPr>
          <w:rFonts w:ascii="Times New Roman" w:hAnsi="Times New Roman" w:eastAsia="Times New Roman"/>
          <w:b/>
          <w:i w:val="0"/>
          <w:sz w:val="28"/>
        </w:rPr>
        <w:t>student-facing preknowledge system</w:t>
      </w:r>
      <w:r>
        <w:rPr>
          <w:rFonts w:ascii="Times New Roman" w:hAnsi="Times New Roman" w:eastAsia="Times New Roman"/>
          <w:b w:val="0"/>
          <w:i w:val="0"/>
          <w:sz w:val="28"/>
        </w:rPr>
        <w:t>: anonymity approval at 90.0% and High-band overview means suggest that fears are manageable when aggregation, purpose clarity, and multidimensionality are engineered into the tool. In other words, the political objections documented in Nigerian SET debates are best met not by abandoning student voice, but by building systems that make voice safer, clearer, and more useful.</w:t>
      </w:r>
    </w:p>
    <w:p>
      <w:pPr>
        <w:spacing w:line="360" w:lineRule="auto" w:before="0" w:after="0"/>
        <w:ind w:firstLine="720"/>
        <w:jc w:val="both"/>
      </w:pPr>
      <w:r>
        <w:rPr>
          <w:rFonts w:ascii="Times New Roman" w:hAnsi="Times New Roman" w:eastAsia="Times New Roman"/>
          <w:b w:val="0"/>
          <w:i w:val="0"/>
          <w:sz w:val="28"/>
        </w:rPr>
        <w:t>Compared with admin-centred Nigerian web evaluation case studies such as Onihunwa et al. (2020)—typically optimised for end-of-semester capture and management reporting—the distinctive outcome here is orientation value. Students reported reduced reliance on hostel and senior rumour (mean 4.08) and stronger early adjustment readiness (mean 4.15). That directly answers the project’s motivating story: students failing through late or wrong adaptation, and good lecturers losing early goodwill to inherited misconception. When information is structured, students gain a rehearsal script; lecturers can maintain reputation by staying consistent rather than campaigning each semester against folklore.</w:t>
      </w:r>
    </w:p>
    <w:p>
      <w:pPr>
        <w:spacing w:line="360" w:lineRule="auto" w:before="0" w:after="0"/>
        <w:ind w:firstLine="720"/>
        <w:jc w:val="both"/>
      </w:pPr>
      <w:r>
        <w:rPr>
          <w:rFonts w:ascii="Times New Roman" w:hAnsi="Times New Roman" w:eastAsia="Times New Roman"/>
          <w:b w:val="0"/>
          <w:i w:val="0"/>
          <w:sz w:val="28"/>
        </w:rPr>
        <w:t>Kindred and Mohammed (2005) and Otto et al. (2008) showed why informal and public rating cultures attract students: official evaluations are seldom designed for learner audiences. This project inverts that design priority. The primary audience for charts is the student seeking preknowledge; the lecturer dashboard is formative; administrative oversight is supportive rather than the sole purpose. In that inversion lies the local contribution relative to many Nigerian PHP evaluation projects that stop at management reports.</w:t>
      </w:r>
    </w:p>
    <w:p>
      <w:pPr>
        <w:spacing w:line="360" w:lineRule="auto" w:before="0" w:after="0"/>
        <w:ind w:firstLine="720"/>
        <w:jc w:val="both"/>
      </w:pPr>
      <w:r>
        <w:rPr>
          <w:rFonts w:ascii="Times New Roman" w:hAnsi="Times New Roman" w:eastAsia="Times New Roman"/>
          <w:b w:val="0"/>
          <w:i w:val="0"/>
          <w:sz w:val="28"/>
        </w:rPr>
        <w:t>The rumour thesis advanced in Chapters One and Two is therefore not merely rhetorical. Interview paraphrases describe fresher fear and trust-rebuilding labour; student open responses describe sticky WhatsApp warnings; hypothesis tests show that structured overview relates to adjustment and that lecturers truly differ on rated qualities. Informal peer networks remain an existing high-reach information system; the portal functions as a competing system with stronger evidence rules—anonymous multi-rater aggregates, updateable means, and visual multidimensional summary. Archibong and Nja’s (2011) call to take teaching evaluation seriously in Nigerian public universities finds a concrete departmental answer here: not only an instrument, but a living overview channel that students can actually use.</w:t>
      </w:r>
    </w:p>
    <w:p>
      <w:pPr>
        <w:spacing w:line="360" w:lineRule="auto" w:before="0" w:after="0"/>
        <w:ind w:firstLine="720"/>
        <w:jc w:val="both"/>
      </w:pPr>
      <w:r>
        <w:rPr>
          <w:rFonts w:ascii="Times New Roman" w:hAnsi="Times New Roman" w:eastAsia="Times New Roman"/>
          <w:b w:val="0"/>
          <w:i w:val="0"/>
          <w:sz w:val="28"/>
        </w:rPr>
        <w:t>Hypothesis results deserve emphasis in discussion. Rejection of H₀₁ implies that overview is coupled to reported behavioural adaptation, the mechanism through which preknowledge should improve learning conditions. Rejection of H₀₂ implies that charts carry discriminatory information across lecturers, justifying departmental investment in profile views rather than a single ranked list. Together with successful PHP implementation, the study meets its developmental objective: eight-quality overview can be operationalised in a UNN Computer Science context with anonymity and aggregation as trust features, not afterthoughts.</w:t>
      </w:r>
    </w:p>
    <w:p>
      <w:pPr>
        <w:spacing w:line="360" w:lineRule="auto" w:before="0" w:after="0"/>
        <w:ind w:firstLine="720"/>
        <w:jc w:val="both"/>
      </w:pPr>
      <w:r>
        <w:rPr>
          <w:rFonts w:ascii="Times New Roman" w:hAnsi="Times New Roman" w:eastAsia="Times New Roman"/>
          <w:b w:val="0"/>
          <w:i w:val="0"/>
          <w:sz w:val="28"/>
        </w:rPr>
        <w:t>Caveats remain. Self-reported adjustment is not the same as measured grade gain; sample profiles for Lecturers A, B, and C are illustrative aggregates within the study window; and SET bias risks documented internationally are not abolished by charts. Optional comments, though useful, require moderation so that anonymity does not become a channel for abuse. Nonetheless, within the scope of an undergraduate developmental project, the evidence supports a clear claim: rumour-driven orientation is an information failure that a formative, multidimensional, student-facing portal can meaningfully reduce. The appropriate institutional posture is therefore adoption with humility—use the portal to improve preparation and teaching practice, not to weaponise scores.</w:t>
      </w:r>
    </w:p>
    <w:p>
      <w:r>
        <w:br w:type="page"/>
      </w:r>
    </w:p>
    <w:p>
      <w:pPr>
        <w:spacing w:line="360" w:lineRule="auto" w:before="0" w:after="80"/>
        <w:ind w:firstLine="0"/>
        <w:jc w:val="center"/>
      </w:pPr>
      <w:r>
        <w:rPr>
          <w:rFonts w:ascii="Times New Roman" w:hAnsi="Times New Roman" w:eastAsia="Times New Roman"/>
          <w:b/>
          <w:i w:val="0"/>
          <w:sz w:val="28"/>
        </w:rPr>
        <w:t>REFERENCES</w:t>
      </w:r>
    </w:p>
    <w:p>
      <w:pPr>
        <w:spacing w:line="360" w:lineRule="auto" w:before="0" w:after="0"/>
        <w:ind w:left="720" w:hanging="720"/>
        <w:jc w:val="both"/>
      </w:pPr>
      <w:r>
        <w:rPr>
          <w:rFonts w:ascii="Times New Roman" w:hAnsi="Times New Roman" w:eastAsia="Times New Roman"/>
          <w:b w:val="0"/>
          <w:i w:val="0"/>
          <w:sz w:val="28"/>
        </w:rPr>
        <w:t xml:space="preserve">Adomi, E. E. (2007). Student expectations of faculty in a Nigerian LIS school. </w:t>
      </w:r>
      <w:r>
        <w:rPr>
          <w:rFonts w:ascii="Times New Roman" w:hAnsi="Times New Roman" w:eastAsia="Times New Roman"/>
          <w:b w:val="0"/>
          <w:i/>
          <w:sz w:val="28"/>
        </w:rPr>
        <w:t>Library Philosophy and Practice</w:t>
      </w:r>
      <w:r>
        <w:rPr>
          <w:rFonts w:ascii="Times New Roman" w:hAnsi="Times New Roman" w:eastAsia="Times New Roman"/>
          <w:b w:val="0"/>
          <w:i w:val="0"/>
          <w:sz w:val="28"/>
        </w:rPr>
        <w:t xml:space="preserve"> (e-journal), Article 114. https://digitalcommons.unl.edu/libphilprac/114</w:t>
      </w:r>
    </w:p>
    <w:p>
      <w:pPr>
        <w:spacing w:line="360" w:lineRule="auto" w:before="0" w:after="0"/>
        <w:ind w:left="720" w:hanging="720"/>
        <w:jc w:val="both"/>
      </w:pPr>
      <w:r>
        <w:rPr>
          <w:rFonts w:ascii="Times New Roman" w:hAnsi="Times New Roman" w:eastAsia="Times New Roman"/>
          <w:b w:val="0"/>
          <w:i w:val="0"/>
          <w:sz w:val="28"/>
        </w:rPr>
        <w:t xml:space="preserve">Akerlof, G. A. (1970). The market for “lemons”: Quality uncertainty and the market mechanism. </w:t>
      </w:r>
      <w:r>
        <w:rPr>
          <w:rFonts w:ascii="Times New Roman" w:hAnsi="Times New Roman" w:eastAsia="Times New Roman"/>
          <w:b w:val="0"/>
          <w:i/>
          <w:sz w:val="28"/>
        </w:rPr>
        <w:t>The Quarterly Journal of Economics, 84</w:t>
      </w:r>
      <w:r>
        <w:rPr>
          <w:rFonts w:ascii="Times New Roman" w:hAnsi="Times New Roman" w:eastAsia="Times New Roman"/>
          <w:b w:val="0"/>
          <w:i w:val="0"/>
          <w:sz w:val="28"/>
        </w:rPr>
        <w:t>(3), 488–500. https://doi.org/10.2307/1879431</w:t>
      </w:r>
    </w:p>
    <w:p>
      <w:pPr>
        <w:spacing w:line="360" w:lineRule="auto" w:before="0" w:after="0"/>
        <w:ind w:left="720" w:hanging="720"/>
        <w:jc w:val="both"/>
      </w:pPr>
      <w:r>
        <w:rPr>
          <w:rFonts w:ascii="Times New Roman" w:hAnsi="Times New Roman" w:eastAsia="Times New Roman"/>
          <w:b w:val="0"/>
          <w:i w:val="0"/>
          <w:sz w:val="28"/>
        </w:rPr>
        <w:t xml:space="preserve">Amini, C. M. (2018). Analysis of students’ evaluation of teaching in Nigeria higher institutions of learning: Implications for improving quality of instructions. </w:t>
      </w:r>
      <w:r>
        <w:rPr>
          <w:rFonts w:ascii="Times New Roman" w:hAnsi="Times New Roman" w:eastAsia="Times New Roman"/>
          <w:b w:val="0"/>
          <w:i/>
          <w:sz w:val="28"/>
        </w:rPr>
        <w:t>Benue State University Journal of Education, 18</w:t>
      </w:r>
      <w:r>
        <w:rPr>
          <w:rFonts w:ascii="Times New Roman" w:hAnsi="Times New Roman" w:eastAsia="Times New Roman"/>
          <w:b w:val="0"/>
          <w:i w:val="0"/>
          <w:sz w:val="28"/>
        </w:rPr>
        <w:t>(1), 223–229.</w:t>
      </w:r>
    </w:p>
    <w:p>
      <w:pPr>
        <w:spacing w:line="360" w:lineRule="auto" w:before="0" w:after="0"/>
        <w:ind w:left="720" w:hanging="720"/>
        <w:jc w:val="both"/>
      </w:pPr>
      <w:r>
        <w:rPr>
          <w:rFonts w:ascii="Times New Roman" w:hAnsi="Times New Roman" w:eastAsia="Times New Roman"/>
          <w:b w:val="0"/>
          <w:i w:val="0"/>
          <w:sz w:val="28"/>
        </w:rPr>
        <w:t xml:space="preserve">Amuche, C. I., &amp; Umar, M. H. (2019). Development and validation of lecturer teaching assessment scale for Nigerian universities. </w:t>
      </w:r>
      <w:r>
        <w:rPr>
          <w:rFonts w:ascii="Times New Roman" w:hAnsi="Times New Roman" w:eastAsia="Times New Roman"/>
          <w:b w:val="0"/>
          <w:i/>
          <w:sz w:val="28"/>
        </w:rPr>
        <w:t>Journal of Education and Practice, 10</w:t>
      </w:r>
      <w:r>
        <w:rPr>
          <w:rFonts w:ascii="Times New Roman" w:hAnsi="Times New Roman" w:eastAsia="Times New Roman"/>
          <w:b w:val="0"/>
          <w:i w:val="0"/>
          <w:sz w:val="28"/>
        </w:rPr>
        <w:t>(5). https://doi.org/10.7176/JEP/10-5-05</w:t>
      </w:r>
    </w:p>
    <w:p>
      <w:pPr>
        <w:spacing w:line="360" w:lineRule="auto" w:before="0" w:after="0"/>
        <w:ind w:left="720" w:hanging="720"/>
        <w:jc w:val="both"/>
      </w:pPr>
      <w:r>
        <w:rPr>
          <w:rFonts w:ascii="Times New Roman" w:hAnsi="Times New Roman" w:eastAsia="Times New Roman"/>
          <w:b w:val="0"/>
          <w:i w:val="0"/>
          <w:sz w:val="28"/>
        </w:rPr>
        <w:t xml:space="preserve">Ani, E. I. (2020). Responding to two arguments against the student evaluation of teaching scheme in Nigerian universities. </w:t>
      </w:r>
      <w:r>
        <w:rPr>
          <w:rFonts w:ascii="Times New Roman" w:hAnsi="Times New Roman" w:eastAsia="Times New Roman"/>
          <w:b w:val="0"/>
          <w:i/>
          <w:sz w:val="28"/>
        </w:rPr>
        <w:t>African Journal of Educational Studies in Mathematics and Sciences, 16</w:t>
      </w:r>
      <w:r>
        <w:rPr>
          <w:rFonts w:ascii="Times New Roman" w:hAnsi="Times New Roman" w:eastAsia="Times New Roman"/>
          <w:b w:val="0"/>
          <w:i w:val="0"/>
          <w:sz w:val="28"/>
        </w:rPr>
        <w:t>(1), 51–62. https://doi.org/10.4314/ajesms.v16i1.4</w:t>
      </w:r>
    </w:p>
    <w:p>
      <w:pPr>
        <w:spacing w:line="360" w:lineRule="auto" w:before="0" w:after="0"/>
        <w:ind w:left="720" w:hanging="720"/>
        <w:jc w:val="both"/>
      </w:pPr>
      <w:r>
        <w:rPr>
          <w:rFonts w:ascii="Times New Roman" w:hAnsi="Times New Roman" w:eastAsia="Times New Roman"/>
          <w:b w:val="0"/>
          <w:i w:val="0"/>
          <w:sz w:val="28"/>
        </w:rPr>
        <w:t xml:space="preserve">Archibong, I. A., &amp; Nja, M. E. (2011). Towards improved teaching effectiveness in Nigerian public universities: Instrument design and validation. </w:t>
      </w:r>
      <w:r>
        <w:rPr>
          <w:rFonts w:ascii="Times New Roman" w:hAnsi="Times New Roman" w:eastAsia="Times New Roman"/>
          <w:b w:val="0"/>
          <w:i/>
          <w:sz w:val="28"/>
        </w:rPr>
        <w:t>Higher Education Studies, 1</w:t>
      </w:r>
      <w:r>
        <w:rPr>
          <w:rFonts w:ascii="Times New Roman" w:hAnsi="Times New Roman" w:eastAsia="Times New Roman"/>
          <w:b w:val="0"/>
          <w:i w:val="0"/>
          <w:sz w:val="28"/>
        </w:rPr>
        <w:t>(2), 78–91. https://doi.org/10.5539/hes.v1n2p78</w:t>
      </w:r>
    </w:p>
    <w:p>
      <w:pPr>
        <w:spacing w:line="360" w:lineRule="auto" w:before="0" w:after="0"/>
        <w:ind w:left="720" w:hanging="720"/>
        <w:jc w:val="both"/>
      </w:pPr>
      <w:r>
        <w:rPr>
          <w:rFonts w:ascii="Times New Roman" w:hAnsi="Times New Roman" w:eastAsia="Times New Roman"/>
          <w:b w:val="0"/>
          <w:i w:val="0"/>
          <w:sz w:val="28"/>
        </w:rPr>
        <w:t xml:space="preserve">Benton, S. L., &amp; Cashin, W. E. (2011). </w:t>
      </w:r>
      <w:r>
        <w:rPr>
          <w:rFonts w:ascii="Times New Roman" w:hAnsi="Times New Roman" w:eastAsia="Times New Roman"/>
          <w:b w:val="0"/>
          <w:i/>
          <w:sz w:val="28"/>
        </w:rPr>
        <w:t>Student ratings of teaching: A summary of research and literature</w:t>
      </w:r>
      <w:r>
        <w:rPr>
          <w:rFonts w:ascii="Times New Roman" w:hAnsi="Times New Roman" w:eastAsia="Times New Roman"/>
          <w:b w:val="0"/>
          <w:i w:val="0"/>
          <w:sz w:val="28"/>
        </w:rPr>
        <w:t xml:space="preserve"> (IDEA Paper No. 50). The IDEA Center. https://www.ideaedu.org/idea_papers/student-ratings-of-teaching-a-summary-of-research-and-literature/</w:t>
      </w:r>
    </w:p>
    <w:p>
      <w:pPr>
        <w:spacing w:line="360" w:lineRule="auto" w:before="0" w:after="0"/>
        <w:ind w:left="720" w:hanging="720"/>
        <w:jc w:val="both"/>
      </w:pPr>
      <w:r>
        <w:rPr>
          <w:rFonts w:ascii="Times New Roman" w:hAnsi="Times New Roman" w:eastAsia="Times New Roman"/>
          <w:b w:val="0"/>
          <w:i w:val="0"/>
          <w:sz w:val="28"/>
        </w:rPr>
        <w:t xml:space="preserve">Eccles, J. S., &amp; Wigfield, A. (2002). Motivational beliefs, values, and goals. </w:t>
      </w:r>
      <w:r>
        <w:rPr>
          <w:rFonts w:ascii="Times New Roman" w:hAnsi="Times New Roman" w:eastAsia="Times New Roman"/>
          <w:b w:val="0"/>
          <w:i/>
          <w:sz w:val="28"/>
        </w:rPr>
        <w:t>Annual Review of Psychology, 53</w:t>
      </w:r>
      <w:r>
        <w:rPr>
          <w:rFonts w:ascii="Times New Roman" w:hAnsi="Times New Roman" w:eastAsia="Times New Roman"/>
          <w:b w:val="0"/>
          <w:i w:val="0"/>
          <w:sz w:val="28"/>
        </w:rPr>
        <w:t>, 109–132. https://doi.org/10.1146/annurev.psych.53.100901.135153</w:t>
      </w:r>
    </w:p>
    <w:p>
      <w:pPr>
        <w:spacing w:line="360" w:lineRule="auto" w:before="0" w:after="0"/>
        <w:ind w:left="720" w:hanging="720"/>
        <w:jc w:val="both"/>
      </w:pPr>
      <w:r>
        <w:rPr>
          <w:rFonts w:ascii="Times New Roman" w:hAnsi="Times New Roman" w:eastAsia="Times New Roman"/>
          <w:b w:val="0"/>
          <w:i w:val="0"/>
          <w:sz w:val="28"/>
        </w:rPr>
        <w:t xml:space="preserve">Hattie, J., &amp; Timperley, H. (2007). The power of feedback. </w:t>
      </w:r>
      <w:r>
        <w:rPr>
          <w:rFonts w:ascii="Times New Roman" w:hAnsi="Times New Roman" w:eastAsia="Times New Roman"/>
          <w:b w:val="0"/>
          <w:i/>
          <w:sz w:val="28"/>
        </w:rPr>
        <w:t>Review of Educational Research, 77</w:t>
      </w:r>
      <w:r>
        <w:rPr>
          <w:rFonts w:ascii="Times New Roman" w:hAnsi="Times New Roman" w:eastAsia="Times New Roman"/>
          <w:b w:val="0"/>
          <w:i w:val="0"/>
          <w:sz w:val="28"/>
        </w:rPr>
        <w:t>(1), 81–112. https://doi.org/10.3102/003465430298487</w:t>
      </w:r>
    </w:p>
    <w:p>
      <w:pPr>
        <w:spacing w:line="360" w:lineRule="auto" w:before="0" w:after="0"/>
        <w:ind w:left="720" w:hanging="720"/>
        <w:jc w:val="both"/>
      </w:pPr>
      <w:r>
        <w:rPr>
          <w:rFonts w:ascii="Times New Roman" w:hAnsi="Times New Roman" w:eastAsia="Times New Roman"/>
          <w:b w:val="0"/>
          <w:i w:val="0"/>
          <w:sz w:val="28"/>
        </w:rPr>
        <w:t xml:space="preserve">Inko-Tariah, D. C. (2013). Attitude of lecturers towards student’s evaluation of their teaching effectiveness in Nigerian universities. </w:t>
      </w:r>
      <w:r>
        <w:rPr>
          <w:rFonts w:ascii="Times New Roman" w:hAnsi="Times New Roman" w:eastAsia="Times New Roman"/>
          <w:b w:val="0"/>
          <w:i/>
          <w:sz w:val="28"/>
        </w:rPr>
        <w:t>Journal of Education and Practice, 4</w:t>
      </w:r>
      <w:r>
        <w:rPr>
          <w:rFonts w:ascii="Times New Roman" w:hAnsi="Times New Roman" w:eastAsia="Times New Roman"/>
          <w:b w:val="0"/>
          <w:i w:val="0"/>
          <w:sz w:val="28"/>
        </w:rPr>
        <w:t>(15), 21–27.</w:t>
      </w:r>
    </w:p>
    <w:p>
      <w:pPr>
        <w:spacing w:line="360" w:lineRule="auto" w:before="0" w:after="0"/>
        <w:ind w:left="720" w:hanging="720"/>
        <w:jc w:val="both"/>
      </w:pPr>
      <w:r>
        <w:rPr>
          <w:rFonts w:ascii="Times New Roman" w:hAnsi="Times New Roman" w:eastAsia="Times New Roman"/>
          <w:b w:val="0"/>
          <w:i w:val="0"/>
          <w:sz w:val="28"/>
        </w:rPr>
        <w:t xml:space="preserve">Kindred, J., &amp; Mohammed, S. N. (2005). “He will crush you like an academic ninja!”: Exploring teacher ratings on RateMyProfessors.com. </w:t>
      </w:r>
      <w:r>
        <w:rPr>
          <w:rFonts w:ascii="Times New Roman" w:hAnsi="Times New Roman" w:eastAsia="Times New Roman"/>
          <w:b w:val="0"/>
          <w:i/>
          <w:sz w:val="28"/>
        </w:rPr>
        <w:t>Journal of Computer-Mediated Communication, 10</w:t>
      </w:r>
      <w:r>
        <w:rPr>
          <w:rFonts w:ascii="Times New Roman" w:hAnsi="Times New Roman" w:eastAsia="Times New Roman"/>
          <w:b w:val="0"/>
          <w:i w:val="0"/>
          <w:sz w:val="28"/>
        </w:rPr>
        <w:t>(3), Article 9. https://doi.org/10.1111/j.1083-6101.2005.tb00257.x</w:t>
      </w:r>
    </w:p>
    <w:p>
      <w:pPr>
        <w:spacing w:line="360" w:lineRule="auto" w:before="0" w:after="0"/>
        <w:ind w:left="720" w:hanging="720"/>
        <w:jc w:val="both"/>
      </w:pPr>
      <w:r>
        <w:rPr>
          <w:rFonts w:ascii="Times New Roman" w:hAnsi="Times New Roman" w:eastAsia="Times New Roman"/>
          <w:b w:val="0"/>
          <w:i w:val="0"/>
          <w:sz w:val="28"/>
        </w:rPr>
        <w:t xml:space="preserve">Kluger, A. N., &amp; DeNisi, A. (1996). The effects of feedback interventions on performance: A historical review, a meta-analysis, and a preliminary feedback intervention theory. </w:t>
      </w:r>
      <w:r>
        <w:rPr>
          <w:rFonts w:ascii="Times New Roman" w:hAnsi="Times New Roman" w:eastAsia="Times New Roman"/>
          <w:b w:val="0"/>
          <w:i/>
          <w:sz w:val="28"/>
        </w:rPr>
        <w:t>Psychological Bulletin, 119</w:t>
      </w:r>
      <w:r>
        <w:rPr>
          <w:rFonts w:ascii="Times New Roman" w:hAnsi="Times New Roman" w:eastAsia="Times New Roman"/>
          <w:b w:val="0"/>
          <w:i w:val="0"/>
          <w:sz w:val="28"/>
        </w:rPr>
        <w:t>(2), 254–284. https://doi.org/10.1037/0033-2909.119.2.254</w:t>
      </w:r>
    </w:p>
    <w:p>
      <w:pPr>
        <w:spacing w:line="360" w:lineRule="auto" w:before="0" w:after="0"/>
        <w:ind w:left="720" w:hanging="720"/>
        <w:jc w:val="both"/>
      </w:pPr>
      <w:r>
        <w:rPr>
          <w:rFonts w:ascii="Times New Roman" w:hAnsi="Times New Roman" w:eastAsia="Times New Roman"/>
          <w:b w:val="0"/>
          <w:i w:val="0"/>
          <w:sz w:val="28"/>
        </w:rPr>
        <w:t xml:space="preserve">Marsh, H. W. (1982). SEEQ: A reliable, valid, and useful instrument for collecting students’ evaluations of university teaching. </w:t>
      </w:r>
      <w:r>
        <w:rPr>
          <w:rFonts w:ascii="Times New Roman" w:hAnsi="Times New Roman" w:eastAsia="Times New Roman"/>
          <w:b w:val="0"/>
          <w:i/>
          <w:sz w:val="28"/>
        </w:rPr>
        <w:t>British Journal of Educational Psychology, 52</w:t>
      </w:r>
      <w:r>
        <w:rPr>
          <w:rFonts w:ascii="Times New Roman" w:hAnsi="Times New Roman" w:eastAsia="Times New Roman"/>
          <w:b w:val="0"/>
          <w:i w:val="0"/>
          <w:sz w:val="28"/>
        </w:rPr>
        <w:t>(1), 77–95. https://doi.org/10.1111/j.2044-8279.1982.tb02505.x</w:t>
      </w:r>
    </w:p>
    <w:p>
      <w:pPr>
        <w:spacing w:line="360" w:lineRule="auto" w:before="0" w:after="0"/>
        <w:ind w:left="720" w:hanging="720"/>
        <w:jc w:val="both"/>
      </w:pPr>
      <w:r>
        <w:rPr>
          <w:rFonts w:ascii="Times New Roman" w:hAnsi="Times New Roman" w:eastAsia="Times New Roman"/>
          <w:b w:val="0"/>
          <w:i w:val="0"/>
          <w:sz w:val="28"/>
        </w:rPr>
        <w:t xml:space="preserve">Onihunwa, J. O., Jeje, C. A., &amp; Dada, O. S. (2020). Framework for development of a web based system for students’ appraisal on teaching performance of lecturers in Federal College of Wildlife Management, New Bussa, Niger State, Nigeria. </w:t>
      </w:r>
      <w:r>
        <w:rPr>
          <w:rFonts w:ascii="Times New Roman" w:hAnsi="Times New Roman" w:eastAsia="Times New Roman"/>
          <w:b w:val="0"/>
          <w:i/>
          <w:sz w:val="28"/>
        </w:rPr>
        <w:t>International Journal of Computer Applications, 176</w:t>
      </w:r>
      <w:r>
        <w:rPr>
          <w:rFonts w:ascii="Times New Roman" w:hAnsi="Times New Roman" w:eastAsia="Times New Roman"/>
          <w:b w:val="0"/>
          <w:i w:val="0"/>
          <w:sz w:val="28"/>
        </w:rPr>
        <w:t>(18), 27–33. https://doi.org/10.5120/ijca2020920020</w:t>
      </w:r>
    </w:p>
    <w:p>
      <w:pPr>
        <w:spacing w:line="360" w:lineRule="auto" w:before="0" w:after="0"/>
        <w:ind w:left="720" w:hanging="720"/>
        <w:jc w:val="both"/>
      </w:pPr>
      <w:r>
        <w:rPr>
          <w:rFonts w:ascii="Times New Roman" w:hAnsi="Times New Roman" w:eastAsia="Times New Roman"/>
          <w:b w:val="0"/>
          <w:i w:val="0"/>
          <w:sz w:val="28"/>
        </w:rPr>
        <w:t xml:space="preserve">Otto, J., Sanford, D. A., Jr., &amp; Ross, D. N. (2008). Does RateMyProfessor.com really rate my professor? </w:t>
      </w:r>
      <w:r>
        <w:rPr>
          <w:rFonts w:ascii="Times New Roman" w:hAnsi="Times New Roman" w:eastAsia="Times New Roman"/>
          <w:b w:val="0"/>
          <w:i/>
          <w:sz w:val="28"/>
        </w:rPr>
        <w:t>Assessment &amp; Evaluation in Higher Education, 33</w:t>
      </w:r>
      <w:r>
        <w:rPr>
          <w:rFonts w:ascii="Times New Roman" w:hAnsi="Times New Roman" w:eastAsia="Times New Roman"/>
          <w:b w:val="0"/>
          <w:i w:val="0"/>
          <w:sz w:val="28"/>
        </w:rPr>
        <w:t>(4), 355–368. https://doi.org/10.1080/02602930701293405</w:t>
      </w:r>
    </w:p>
    <w:p>
      <w:pPr>
        <w:spacing w:line="360" w:lineRule="auto" w:before="0" w:after="0"/>
        <w:ind w:left="720" w:hanging="720"/>
        <w:jc w:val="both"/>
      </w:pPr>
      <w:r>
        <w:rPr>
          <w:rFonts w:ascii="Times New Roman" w:hAnsi="Times New Roman" w:eastAsia="Times New Roman"/>
          <w:b w:val="0"/>
          <w:i w:val="0"/>
          <w:sz w:val="28"/>
        </w:rPr>
        <w:t xml:space="preserve">Pressman, R. S., &amp; Maxim, B. R. (2015). </w:t>
      </w:r>
      <w:r>
        <w:rPr>
          <w:rFonts w:ascii="Times New Roman" w:hAnsi="Times New Roman" w:eastAsia="Times New Roman"/>
          <w:b w:val="0"/>
          <w:i/>
          <w:sz w:val="28"/>
        </w:rPr>
        <w:t>Software engineering: A practitioner’s approach</w:t>
      </w:r>
      <w:r>
        <w:rPr>
          <w:rFonts w:ascii="Times New Roman" w:hAnsi="Times New Roman" w:eastAsia="Times New Roman"/>
          <w:b w:val="0"/>
          <w:i w:val="0"/>
          <w:sz w:val="28"/>
        </w:rPr>
        <w:t xml:space="preserve"> (8th ed.). McGraw-Hill Education.</w:t>
      </w:r>
    </w:p>
    <w:p>
      <w:pPr>
        <w:spacing w:line="360" w:lineRule="auto" w:before="0" w:after="0"/>
        <w:ind w:left="720" w:hanging="720"/>
        <w:jc w:val="both"/>
      </w:pPr>
      <w:r>
        <w:rPr>
          <w:rFonts w:ascii="Times New Roman" w:hAnsi="Times New Roman" w:eastAsia="Times New Roman"/>
          <w:b w:val="0"/>
          <w:i w:val="0"/>
          <w:sz w:val="28"/>
        </w:rPr>
        <w:t xml:space="preserve">Spooren, P., Brockx, B., &amp; Mortelmans, D. (2013). On the validity of student evaluation of teaching: The state of the art. </w:t>
      </w:r>
      <w:r>
        <w:rPr>
          <w:rFonts w:ascii="Times New Roman" w:hAnsi="Times New Roman" w:eastAsia="Times New Roman"/>
          <w:b w:val="0"/>
          <w:i/>
          <w:sz w:val="28"/>
        </w:rPr>
        <w:t>Review of Educational Research, 83</w:t>
      </w:r>
      <w:r>
        <w:rPr>
          <w:rFonts w:ascii="Times New Roman" w:hAnsi="Times New Roman" w:eastAsia="Times New Roman"/>
          <w:b w:val="0"/>
          <w:i w:val="0"/>
          <w:sz w:val="28"/>
        </w:rPr>
        <w:t>(4), 598–642. https://doi.org/10.3102/0034654313496870</w:t>
      </w:r>
    </w:p>
    <w:p>
      <w:pPr>
        <w:spacing w:line="360" w:lineRule="auto" w:before="0" w:after="0"/>
        <w:ind w:left="720" w:hanging="720"/>
        <w:jc w:val="both"/>
      </w:pPr>
      <w:r>
        <w:rPr>
          <w:rFonts w:ascii="Times New Roman" w:hAnsi="Times New Roman" w:eastAsia="Times New Roman"/>
          <w:b w:val="0"/>
          <w:i w:val="0"/>
          <w:sz w:val="28"/>
        </w:rPr>
        <w:t xml:space="preserve">van der Lans, R. M., van de Grift, W. J. C. M., &amp; van Veen, K. (2015). Developing a teacher evaluation instrument to provide formative feedback using student ratings of teaching acts. </w:t>
      </w:r>
      <w:r>
        <w:rPr>
          <w:rFonts w:ascii="Times New Roman" w:hAnsi="Times New Roman" w:eastAsia="Times New Roman"/>
          <w:b w:val="0"/>
          <w:i/>
          <w:sz w:val="28"/>
        </w:rPr>
        <w:t>Educational Measurement: Issues and Practice, 34</w:t>
      </w:r>
      <w:r>
        <w:rPr>
          <w:rFonts w:ascii="Times New Roman" w:hAnsi="Times New Roman" w:eastAsia="Times New Roman"/>
          <w:b w:val="0"/>
          <w:i w:val="0"/>
          <w:sz w:val="28"/>
        </w:rPr>
        <w:t>(3), 18–27. https://doi.org/10.1111/emip.12078</w:t>
      </w:r>
    </w:p>
    <w:p>
      <w:pPr>
        <w:spacing w:line="360" w:lineRule="auto" w:before="0" w:after="0"/>
        <w:ind w:left="720" w:hanging="720"/>
        <w:jc w:val="both"/>
      </w:pPr>
      <w:r>
        <w:rPr>
          <w:rFonts w:ascii="Times New Roman" w:hAnsi="Times New Roman" w:eastAsia="Times New Roman"/>
          <w:b w:val="0"/>
          <w:i w:val="0"/>
          <w:sz w:val="28"/>
        </w:rPr>
        <w:t xml:space="preserve">Yamane, T. (1967). </w:t>
      </w:r>
      <w:r>
        <w:rPr>
          <w:rFonts w:ascii="Times New Roman" w:hAnsi="Times New Roman" w:eastAsia="Times New Roman"/>
          <w:b w:val="0"/>
          <w:i/>
          <w:sz w:val="28"/>
        </w:rPr>
        <w:t>Statistics: An introductory analysis</w:t>
      </w:r>
      <w:r>
        <w:rPr>
          <w:rFonts w:ascii="Times New Roman" w:hAnsi="Times New Roman" w:eastAsia="Times New Roman"/>
          <w:b w:val="0"/>
          <w:i w:val="0"/>
          <w:sz w:val="28"/>
        </w:rPr>
        <w:t xml:space="preserve"> (2nd ed.). Harper &amp; Row.</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