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80"/>
        <w:ind w:firstLine="0"/>
        <w:jc w:val="center"/>
      </w:pPr>
      <w:r>
        <w:rPr>
          <w:rFonts w:ascii="Times New Roman" w:hAnsi="Times New Roman" w:eastAsia="Times New Roman"/>
          <w:b/>
          <w:i w:val="0"/>
          <w:sz w:val="28"/>
        </w:rPr>
        <w:t>CHAPTER FIVE</w:t>
      </w:r>
    </w:p>
    <w:p>
      <w:pPr>
        <w:spacing w:line="360" w:lineRule="auto" w:before="80" w:after="40"/>
        <w:ind w:firstLine="0"/>
        <w:jc w:val="both"/>
      </w:pPr>
      <w:r>
        <w:rPr>
          <w:rFonts w:ascii="Times New Roman" w:hAnsi="Times New Roman" w:eastAsia="Times New Roman"/>
          <w:b/>
          <w:i/>
          <w:sz w:val="28"/>
        </w:rPr>
        <w:t>SUMMARY, CONCLUSION, AND RECOMMENDATIONS</w:t>
      </w:r>
    </w:p>
    <w:p>
      <w:pPr>
        <w:spacing w:line="360" w:lineRule="auto" w:before="80" w:after="40"/>
        <w:ind w:firstLine="0"/>
        <w:jc w:val="both"/>
      </w:pPr>
      <w:r>
        <w:rPr>
          <w:rFonts w:ascii="Times New Roman" w:hAnsi="Times New Roman" w:eastAsia="Times New Roman"/>
          <w:b/>
          <w:i w:val="0"/>
          <w:sz w:val="28"/>
        </w:rPr>
        <w:t>5.1 Summary of Findings</w:t>
      </w:r>
    </w:p>
    <w:p>
      <w:pPr>
        <w:spacing w:line="360" w:lineRule="auto" w:before="0" w:after="0"/>
        <w:ind w:firstLine="720"/>
        <w:jc w:val="both"/>
      </w:pPr>
      <w:r>
        <w:rPr>
          <w:rFonts w:ascii="Times New Roman" w:hAnsi="Times New Roman" w:eastAsia="Times New Roman"/>
          <w:b w:val="0"/>
          <w:i w:val="0"/>
          <w:sz w:val="28"/>
        </w:rPr>
        <w:t>This study designed and developed an online students’ system for preknowledge and overview of lecturers in the Department of Computer Science, University of Nigeria, Nsukka. It combined lecturer interviews, an automated eight-quality assessment form, and a PHP/MySQL portal with Chart.js dashboards. The work addressed a practical information failure: undergraduates—especially freshers—often rely on informal senior narratives that are incomplete, exaggerated, or outdated, while capable lecturers repeatedly rebuild reputations damaged by inherited misconception. The mixed developmental design produced both empirical findings and a working software artefact evaluated by end users.</w:t>
      </w:r>
    </w:p>
    <w:p>
      <w:pPr>
        <w:spacing w:line="360" w:lineRule="auto" w:before="0" w:after="0"/>
        <w:ind w:firstLine="720"/>
        <w:jc w:val="both"/>
      </w:pPr>
      <w:r>
        <w:rPr>
          <w:rFonts w:ascii="Times New Roman" w:hAnsi="Times New Roman" w:eastAsia="Times New Roman"/>
          <w:b w:val="0"/>
          <w:i w:val="0"/>
          <w:sz w:val="28"/>
        </w:rPr>
        <w:t>The major findings are as follows.</w:t>
      </w:r>
    </w:p>
    <w:p>
      <w:pPr>
        <w:spacing w:line="360" w:lineRule="auto" w:before="0" w:after="0"/>
        <w:ind w:firstLine="720"/>
        <w:jc w:val="both"/>
      </w:pPr>
      <w:r>
        <w:rPr>
          <w:rFonts w:ascii="Times New Roman" w:hAnsi="Times New Roman" w:eastAsia="Times New Roman"/>
          <w:b w:val="0"/>
          <w:i w:val="0"/>
          <w:sz w:val="28"/>
        </w:rPr>
        <w:t xml:space="preserve">1. Ten Computer Science lecturers completed a questionnaire listing fifteen assessment qualities. The eight qualities most frequently selected across the ten questionnaires were retained for student evaluation: interactiveness, audibility, availability of lecture notes, class control, communication, punctuality, fairness in assessment, and approachability. Selection frequency across the ten lecturers determined which eight qualities were retained. Lecturers rejected one-number reputation labels in favour of dimensional feedback, and questionnaire responses confirmed that inherited fresher fear and early-semester reputational repair are recognised teaching burdens. This finding delivers </w:t>
      </w:r>
      <w:r>
        <w:rPr>
          <w:rFonts w:ascii="Times New Roman" w:hAnsi="Times New Roman" w:eastAsia="Times New Roman"/>
          <w:b/>
          <w:i w:val="0"/>
          <w:sz w:val="28"/>
        </w:rPr>
        <w:t>Objective 1</w:t>
      </w:r>
      <w:r>
        <w:rPr>
          <w:rFonts w:ascii="Times New Roman" w:hAnsi="Times New Roman" w:eastAsia="Times New Roman"/>
          <w:b w:val="0"/>
          <w:i w:val="0"/>
          <w:sz w:val="28"/>
        </w:rPr>
        <w:t>.</w:t>
      </w:r>
    </w:p>
    <w:p>
      <w:pPr>
        <w:spacing w:line="360" w:lineRule="auto" w:before="0" w:after="0"/>
        <w:ind w:firstLine="720"/>
        <w:jc w:val="both"/>
      </w:pPr>
      <w:r>
        <w:rPr>
          <w:rFonts w:ascii="Times New Roman" w:hAnsi="Times New Roman" w:eastAsia="Times New Roman"/>
          <w:b w:val="0"/>
          <w:i w:val="0"/>
          <w:sz w:val="28"/>
        </w:rPr>
        <w:t xml:space="preserve">2. Students judged the automated anonymous response form clear (87.5%), quick (83.8%), and honesty-supporting under anonymity (90.0%), with 85.0% affirming that the eight qualities covered what matters in class. Design features—controlled lecturer/course selection, Likert items, optional comments, and duplicate-submission control—proved workable in the departmental setting and addressed documented Nigerian concerns about victimisation in SET contexts. This finding delivers </w:t>
      </w:r>
      <w:r>
        <w:rPr>
          <w:rFonts w:ascii="Times New Roman" w:hAnsi="Times New Roman" w:eastAsia="Times New Roman"/>
          <w:b/>
          <w:i w:val="0"/>
          <w:sz w:val="28"/>
        </w:rPr>
        <w:t>Objective 2</w:t>
      </w:r>
      <w:r>
        <w:rPr>
          <w:rFonts w:ascii="Times New Roman" w:hAnsi="Times New Roman" w:eastAsia="Times New Roman"/>
          <w:b w:val="0"/>
          <w:i w:val="0"/>
          <w:sz w:val="28"/>
        </w:rPr>
        <w:t>.</w:t>
      </w:r>
    </w:p>
    <w:p>
      <w:pPr>
        <w:spacing w:line="360" w:lineRule="auto" w:before="0" w:after="0"/>
        <w:ind w:firstLine="720"/>
        <w:jc w:val="both"/>
      </w:pPr>
      <w:r>
        <w:rPr>
          <w:rFonts w:ascii="Times New Roman" w:hAnsi="Times New Roman" w:eastAsia="Times New Roman"/>
          <w:b w:val="0"/>
          <w:i w:val="0"/>
          <w:sz w:val="28"/>
        </w:rPr>
        <w:t>3. Portal dashboards scored in the High usefulness band on all evaluated items. Means ranged from 3.96 to 4.21 for chart clarity, reduced rumour dependence, early study-strategy adjustment, mobile usability, and trust in aggregates over single stories. These ratings were obtained after concrete interaction with charts, supporting Objective 3 as implemented software rather than as an unimplemented proposal.</w:t>
      </w:r>
    </w:p>
    <w:p>
      <w:pPr>
        <w:spacing w:line="360" w:lineRule="auto" w:before="0" w:after="0"/>
        <w:ind w:firstLine="720"/>
        <w:jc w:val="both"/>
      </w:pPr>
      <w:r>
        <w:rPr>
          <w:rFonts w:ascii="Times New Roman" w:hAnsi="Times New Roman" w:eastAsia="Times New Roman"/>
          <w:b w:val="0"/>
          <w:i w:val="0"/>
          <w:sz w:val="28"/>
        </w:rPr>
        <w:t>4. Sample aggregated profiles for Lecturers A, B, and C showed that no lecturer dominated every dimension. Overview therefore supported adaptive strategy - matching preparation to a lecturer's pattern - rather than stereotyping. Applying the Total Overview computation (simple average of the eight quality means, Section 3.7.1), Lecturer A ranked 1st (4.17), Lecturer C 2nd (4.04), and Lecturer B 3rd (3.83); all three fell in the High band. Contrasting profiles illustrated how control-and-punctuality strengths can coexist with lower interactiveness, and how notes-and-communication strengths can coexist with moderate audibility.</w:t>
      </w:r>
    </w:p>
    <w:p>
      <w:pPr>
        <w:spacing w:line="360" w:lineRule="auto" w:before="0" w:after="0"/>
        <w:ind w:firstLine="720"/>
        <w:jc w:val="both"/>
      </w:pPr>
      <w:r>
        <w:rPr>
          <w:rFonts w:ascii="Times New Roman" w:hAnsi="Times New Roman" w:eastAsia="Times New Roman"/>
          <w:b w:val="0"/>
          <w:i w:val="0"/>
          <w:sz w:val="28"/>
        </w:rPr>
        <w:t>5. Both null hypotheses were rejected at α = 0.05. Chi-square results indicated a significant relationship between structured overview access and reported adjustment ability. ANOVA results indicated significant differences in quality profiles across lecturers, justifying multidimensional displays over single ranks.</w:t>
      </w:r>
    </w:p>
    <w:p>
      <w:pPr>
        <w:spacing w:line="360" w:lineRule="auto" w:before="0" w:after="0"/>
        <w:ind w:firstLine="720"/>
        <w:jc w:val="both"/>
      </w:pPr>
      <w:r>
        <w:rPr>
          <w:rFonts w:ascii="Times New Roman" w:hAnsi="Times New Roman" w:eastAsia="Times New Roman"/>
          <w:b w:val="0"/>
          <w:i w:val="0"/>
          <w:sz w:val="28"/>
        </w:rPr>
        <w:t>6. Qualitative accounts from lecturers and students confirmed the dual harm of informal preknowledge: student style-mismatch and lecturer reputational reset. Implementation testing confirmed role-based authentication, correct aggregation, chart rendering, duplicate-assessment controls, and acceptable mobile layout.</w:t>
      </w:r>
    </w:p>
    <w:p>
      <w:pPr>
        <w:spacing w:line="360" w:lineRule="auto" w:before="0" w:after="0"/>
        <w:ind w:firstLine="720"/>
        <w:jc w:val="both"/>
      </w:pPr>
      <w:r>
        <w:rPr>
          <w:rFonts w:ascii="Times New Roman" w:hAnsi="Times New Roman" w:eastAsia="Times New Roman"/>
          <w:b w:val="0"/>
          <w:i w:val="0"/>
          <w:sz w:val="28"/>
        </w:rPr>
        <w:t>Collectively, the findings show that Objectives 1–3 were achieved and that the research questions received affirmative, evidence-based answers within the study’s scope.</w:t>
      </w:r>
    </w:p>
    <w:p>
      <w:pPr>
        <w:spacing w:line="360" w:lineRule="auto" w:before="80" w:after="40"/>
        <w:ind w:firstLine="0"/>
        <w:jc w:val="both"/>
      </w:pPr>
      <w:r>
        <w:rPr>
          <w:rFonts w:ascii="Times New Roman" w:hAnsi="Times New Roman" w:eastAsia="Times New Roman"/>
          <w:b/>
          <w:i w:val="0"/>
          <w:sz w:val="28"/>
        </w:rPr>
        <w:t>5.2 Conclusion</w:t>
      </w:r>
    </w:p>
    <w:p>
      <w:pPr>
        <w:spacing w:line="360" w:lineRule="auto" w:before="0" w:after="0"/>
        <w:ind w:firstLine="720"/>
        <w:jc w:val="both"/>
      </w:pPr>
      <w:r>
        <w:rPr>
          <w:rFonts w:ascii="Times New Roman" w:hAnsi="Times New Roman" w:eastAsia="Times New Roman"/>
          <w:b w:val="0"/>
          <w:i w:val="0"/>
          <w:sz w:val="28"/>
        </w:rPr>
        <w:t xml:space="preserve">Student difficulty and lecturer reputational stress in the Department of Computer Science, UNN, are partly products of </w:t>
      </w:r>
      <w:r>
        <w:rPr>
          <w:rFonts w:ascii="Times New Roman" w:hAnsi="Times New Roman" w:eastAsia="Times New Roman"/>
          <w:b/>
          <w:i w:val="0"/>
          <w:sz w:val="28"/>
        </w:rPr>
        <w:t>information failure</w:t>
      </w:r>
      <w:r>
        <w:rPr>
          <w:rFonts w:ascii="Times New Roman" w:hAnsi="Times New Roman" w:eastAsia="Times New Roman"/>
          <w:b w:val="0"/>
          <w:i w:val="0"/>
          <w:sz w:val="28"/>
        </w:rPr>
        <w:t>. When cohorts rely on unverified peer stories, expectancies distort before teaching begins. Students then misalign effort—participating too late, ignoring notes habits that a lecturer rewards, or fearing fairness where the real issue is classroom pace. Lecturers, for their part, spend early energy repairing image instead of simply teaching well. Reputation becomes a seasonal campaign rather than a maintained standard.</w:t>
      </w:r>
    </w:p>
    <w:p>
      <w:pPr>
        <w:spacing w:line="360" w:lineRule="auto" w:before="0" w:after="0"/>
        <w:ind w:firstLine="720"/>
        <w:jc w:val="both"/>
      </w:pPr>
      <w:r>
        <w:rPr>
          <w:rFonts w:ascii="Times New Roman" w:hAnsi="Times New Roman" w:eastAsia="Times New Roman"/>
          <w:b w:val="0"/>
          <w:i w:val="0"/>
          <w:sz w:val="28"/>
        </w:rPr>
        <w:t>A web-based assessment and overview portal—grounded in lecturer-endorsed qualities, fed by automated anonymous responses, and expressed through clear charts—offers a practical remedy. The eight qualities give the remedy its grammar: interactiveness, audibility, lecture notes, class control, communication, punctuality, fairness, and approachability turn vague campus talk into comparable dimensions. The system should not become a popularity weapon or the sole promotion tool. Used formatively, it helps students prepare intelligently and helps lecturers maintain reputation through consistency. The empirical pattern in this study—lecturer endorsement, form acceptance, High-band usefulness means, and rejected null hypotheses—supports that formative claim within the Department of Computer Science, UNN. Stay true to good practice; let the multidimensional record speak more steadily than rumour. In that sense, the project concludes that campus gossip is not merely a cultural nuisance but an unreliable information system that better-structured software can compete with and improve upon.</w:t>
      </w:r>
    </w:p>
    <w:p>
      <w:pPr>
        <w:spacing w:line="360" w:lineRule="auto" w:before="80" w:after="40"/>
        <w:ind w:firstLine="0"/>
        <w:jc w:val="both"/>
      </w:pPr>
      <w:r>
        <w:rPr>
          <w:rFonts w:ascii="Times New Roman" w:hAnsi="Times New Roman" w:eastAsia="Times New Roman"/>
          <w:b/>
          <w:i w:val="0"/>
          <w:sz w:val="28"/>
        </w:rPr>
        <w:t>5.3 Recommendations</w:t>
      </w:r>
    </w:p>
    <w:p>
      <w:pPr>
        <w:spacing w:line="360" w:lineRule="auto" w:before="0" w:after="0"/>
        <w:ind w:firstLine="720"/>
        <w:jc w:val="both"/>
      </w:pPr>
      <w:r>
        <w:rPr>
          <w:rFonts w:ascii="Times New Roman" w:hAnsi="Times New Roman" w:eastAsia="Times New Roman"/>
          <w:b w:val="0"/>
          <w:i w:val="0"/>
          <w:sz w:val="28"/>
        </w:rPr>
        <w:t>Based on the findings, the following recommendations are made:</w:t>
      </w:r>
    </w:p>
    <w:p>
      <w:pPr>
        <w:spacing w:line="360" w:lineRule="auto" w:before="0" w:after="0"/>
        <w:ind w:firstLine="720"/>
        <w:jc w:val="both"/>
      </w:pPr>
      <w:r>
        <w:rPr>
          <w:rFonts w:ascii="Times New Roman" w:hAnsi="Times New Roman" w:eastAsia="Times New Roman"/>
          <w:b w:val="0"/>
          <w:i w:val="0"/>
          <w:sz w:val="28"/>
        </w:rPr>
        <w:t>1. The Department of Computer Science should adopt the portal, or an equivalent eight-quality overview system, each semester for student orientation and formative lecturer feedback, with a short briefing so that freshers understand charts as preparation aids rather than as gossip replacements with official stamps. 2. Students should consult multidimensional overviews early in the semester and then verify patterns through personal classroom experience, treating charts as preparation aids rather than as final verdicts. 3. Lecturers should use dashboards as improvement intelligence—protecting strengths and addressing weaker dimensions—while maintaining consistency that allows reputation to stabilise across intakes. 4. Departmental and university management should support anonymous aggregated teaching feedback without making it the sole criterion for promotion or disciplinary action. 5. System administrators should protect privacy, moderate abusive optional comments, keep course and lecturer records current, schedule assessment windows that reduce both fear and ballot-stuffing incentives, and operate the password-recovery and rate-limiting controls (5 attempts / 15-minute lockout) so that account recovery remains available without weakening authentication. 6. Student associations and orientation leaders should gradually shift fresher culture from fear stories toward evidence-based adjustment tips linked to the portal’s quality dimensions—for example, advising peers to check notes and punctuality means before repeating unverified “fail everyone” claims.</w:t>
      </w:r>
    </w:p>
    <w:p>
      <w:pPr>
        <w:spacing w:line="360" w:lineRule="auto" w:before="80" w:after="40"/>
        <w:ind w:firstLine="0"/>
        <w:jc w:val="both"/>
      </w:pPr>
      <w:r>
        <w:rPr>
          <w:rFonts w:ascii="Times New Roman" w:hAnsi="Times New Roman" w:eastAsia="Times New Roman"/>
          <w:b/>
          <w:i w:val="0"/>
          <w:sz w:val="28"/>
        </w:rPr>
        <w:t>5.4 Contribution to Knowledge</w:t>
      </w:r>
    </w:p>
    <w:p>
      <w:pPr>
        <w:spacing w:line="360" w:lineRule="auto" w:before="0" w:after="0"/>
        <w:ind w:firstLine="720"/>
        <w:jc w:val="both"/>
      </w:pPr>
      <w:r>
        <w:rPr>
          <w:rFonts w:ascii="Times New Roman" w:hAnsi="Times New Roman" w:eastAsia="Times New Roman"/>
          <w:b w:val="0"/>
          <w:i w:val="0"/>
          <w:sz w:val="28"/>
        </w:rPr>
        <w:t>The study contributes to knowledge in four related ways.</w:t>
      </w:r>
    </w:p>
    <w:p>
      <w:pPr>
        <w:spacing w:line="360" w:lineRule="auto" w:before="0" w:after="0"/>
        <w:ind w:firstLine="720"/>
        <w:jc w:val="both"/>
      </w:pPr>
      <w:r>
        <w:rPr>
          <w:rFonts w:ascii="Times New Roman" w:hAnsi="Times New Roman" w:eastAsia="Times New Roman"/>
          <w:b w:val="0"/>
          <w:i w:val="0"/>
          <w:sz w:val="28"/>
        </w:rPr>
        <w:t xml:space="preserve">1. It provides an eight-quality lecturer assessment framework grounded in a fifteen-quality questionnaire administered to ten Computer Science lecturers at the University of Nigeria, Nsukka, from which the eight most selected qualities were retained, translating local classroom concerns into measurable indicators aligned with multidimensional SET scholarship. 2. It documents a complete pipeline from quality validation, through an automated response form, to a PHP chart-based overview designed expressly for </w:t>
      </w:r>
      <w:r>
        <w:rPr>
          <w:rFonts w:ascii="Times New Roman" w:hAnsi="Times New Roman" w:eastAsia="Times New Roman"/>
          <w:b/>
          <w:i w:val="0"/>
          <w:sz w:val="28"/>
        </w:rPr>
        <w:t>student preknowledge</w:t>
      </w:r>
      <w:r>
        <w:rPr>
          <w:rFonts w:ascii="Times New Roman" w:hAnsi="Times New Roman" w:eastAsia="Times New Roman"/>
          <w:b w:val="0"/>
          <w:i w:val="0"/>
          <w:sz w:val="28"/>
        </w:rPr>
        <w:t>, not only for administrative filing. 3. It frames campus rumour and lecturer reputational reset as an information-systems problem with a socio-technical software remedy, linking SET scholarship (Marsh, 1982; Spooren et al., 2013; Archibong &amp; Nja, 2011; Ani, 2020) to applied web development in a Nigerian computing department. 4. It offers a replicable model—roles, schema logic, anonymity rules, and visualisation approach—for other Nigerian computing departments facing similar orientation gaps, together with empirical signals that overview usefulness relates to reported study-strategy adjustment and that lecturer quality profiles differ in statistically meaningful ways.</w:t>
      </w:r>
    </w:p>
    <w:p>
      <w:pPr>
        <w:spacing w:line="360" w:lineRule="auto" w:before="80" w:after="40"/>
        <w:ind w:firstLine="0"/>
        <w:jc w:val="both"/>
      </w:pPr>
      <w:r>
        <w:rPr>
          <w:rFonts w:ascii="Times New Roman" w:hAnsi="Times New Roman" w:eastAsia="Times New Roman"/>
          <w:b/>
          <w:i w:val="0"/>
          <w:sz w:val="28"/>
        </w:rPr>
        <w:t>5.5 Suggestions for Further Research</w:t>
      </w:r>
    </w:p>
    <w:p>
      <w:pPr>
        <w:spacing w:line="360" w:lineRule="auto" w:before="0" w:after="0"/>
        <w:ind w:firstLine="720"/>
        <w:jc w:val="both"/>
      </w:pPr>
      <w:r>
        <w:rPr>
          <w:rFonts w:ascii="Times New Roman" w:hAnsi="Times New Roman" w:eastAsia="Times New Roman"/>
          <w:b w:val="0"/>
          <w:i w:val="0"/>
          <w:sz w:val="28"/>
        </w:rPr>
        <w:t>Further research may extend this work in several directions:</w:t>
      </w:r>
    </w:p>
    <w:p>
      <w:pPr>
        <w:spacing w:line="360" w:lineRule="auto" w:before="0" w:after="0"/>
        <w:ind w:firstLine="720"/>
        <w:jc w:val="both"/>
      </w:pPr>
      <w:r>
        <w:rPr>
          <w:rFonts w:ascii="Times New Roman" w:hAnsi="Times New Roman" w:eastAsia="Times New Roman"/>
          <w:b w:val="0"/>
          <w:i w:val="0"/>
          <w:sz w:val="28"/>
        </w:rPr>
        <w:t>1. Faculty-wide or multi-university deployment and comparative evaluation of preknowledge portals across disciplines with different class sizes and teaching cultures. 2. Sentiment analysis of optional student comments alongside numeric charts, to enrich formative feedback without exposing identities. 3. Longitudinal studies testing whether overview use predicts actual academic outcomes (attendance patterns, continuous assessment performance, and grades), beyond self-reported adjustment. 4. Hybrid evaluation models combining student ratings, peer review of teaching, and lecturer self-assessment for a fuller quality picture. 5. Mobile-native or offline-capable versions that remain usable during low-connectivity campus periods, and controlled studies of bias mitigation strategies within anonymous digital SET.</w:t>
      </w:r>
    </w:p>
    <w:p>
      <w:pPr>
        <w:spacing w:line="360" w:lineRule="auto" w:before="0" w:after="0"/>
        <w:ind w:firstLine="720"/>
        <w:jc w:val="both"/>
      </w:pPr>
      <w:r>
        <w:rPr>
          <w:rFonts w:ascii="Times New Roman" w:hAnsi="Times New Roman" w:eastAsia="Times New Roman"/>
          <w:b w:val="0"/>
          <w:i w:val="0"/>
          <w:sz w:val="28"/>
        </w:rPr>
        <w:t>Such extensions would test whether the departmental gains reported here scale, deepen, and endure beyond a single undergraduate project cycle, while preserving the formative, multidimensional, and privacy-conscious principles that made the present portal acceptable to students and lecturers.</w:t>
      </w:r>
    </w:p>
    <w:sectPr w:rsidR="00FC693F" w:rsidRPr="0006063C" w:rsidSect="00034616">
      <w:footerReference w:type="default" r:id="rId9"/>
      <w:pgSz w:w="11906" w:h="16838"/>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center"/>
    </w:pPr>
    <w:r>
      <w:rPr>
        <w:rFonts w:ascii="Times New Roman" w:hAnsi="Times New Roman" w:eastAsia="Times New Roman"/>
        <w:b w:val="0"/>
        <w:i w:val="0"/>
        <w:sz w:val="24"/>
      </w:rPr>
      <w:fldChar w:fldCharType="begin"/>
    </w:r>
    <w:r>
      <w:rPr>
        <w:rFonts w:ascii="Times New Roman" w:hAnsi="Times New Roman" w:eastAsia="Times New Roman"/>
        <w:b w:val="0"/>
        <w:i w:val="0"/>
        <w:sz w:val="24"/>
      </w:rPr>
      <w:instrText xml:space="preserve"> PAGE </w:instrText>
    </w:r>
    <w:r>
      <w:rPr>
        <w:rFonts w:ascii="Times New Roman" w:hAnsi="Times New Roman" w:eastAsia="Times New Roman"/>
        <w:b w:val="0"/>
        <w:i w:val="0"/>
        <w:sz w:val="24"/>
      </w:rPr>
      <w:fldChar w:fldCharType="separate"/>
      <w:t>1</w:t>
    </w:r>
    <w:r>
      <w:rPr>
        <w:rFonts w:ascii="Times New Roman" w:hAnsi="Times New Roman" w:eastAsia="Times New Roman"/>
        <w:b w:val="0"/>
        <w:i w:val="0"/>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