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EE07" w14:textId="6ED90554" w:rsidR="008800AA" w:rsidRDefault="008800AA" w:rsidP="00CD4563">
      <w:pPr>
        <w:pStyle w:val="Heading1"/>
        <w:jc w:val="both"/>
      </w:pPr>
      <w:r w:rsidRPr="002606BE">
        <w:t xml:space="preserve">Referto di </w:t>
      </w:r>
      <w:r>
        <w:t>Medicina di Laboratorio – Esame Trasfusionale</w:t>
      </w:r>
    </w:p>
    <w:p w14:paraId="15CB9539" w14:textId="19073F5B" w:rsidR="00743238" w:rsidRPr="00C74B84" w:rsidRDefault="00A22B28" w:rsidP="00743238">
      <w:pPr>
        <w:pStyle w:val="Heading2"/>
        <w:jc w:val="both"/>
        <w:rPr>
          <w:color w:val="FF0000"/>
        </w:rPr>
      </w:pPr>
      <w:r w:rsidRPr="00C74B84">
        <w:rPr>
          <w:color w:val="FF0000"/>
        </w:rPr>
        <w:t xml:space="preserve">NB - </w:t>
      </w:r>
      <w:r w:rsidR="0082570C" w:rsidRPr="00C74B84">
        <w:rPr>
          <w:color w:val="FF0000"/>
        </w:rPr>
        <w:t>Indicazioni Iniziali</w:t>
      </w:r>
    </w:p>
    <w:p w14:paraId="1CD666FB" w14:textId="23BE8F7C" w:rsidR="00743238" w:rsidRDefault="00743238" w:rsidP="00743238">
      <w:pPr>
        <w:jc w:val="both"/>
        <w:rPr>
          <w:color w:val="000000" w:themeColor="text1"/>
        </w:rPr>
      </w:pPr>
      <w:r w:rsidRPr="00FB68F1">
        <w:rPr>
          <w:color w:val="000000" w:themeColor="text1"/>
        </w:rPr>
        <w:t>Per l'accreditamento (convalida) dei software al sistema FSE 2.0, anche se l’applicativo produce solo referti di Laboratorio Trasfusionale, è necessario svolgere correttamente</w:t>
      </w:r>
      <w:r w:rsidR="003F1228">
        <w:rPr>
          <w:color w:val="000000" w:themeColor="text1"/>
        </w:rPr>
        <w:t>,</w:t>
      </w:r>
      <w:r w:rsidRPr="00FB68F1">
        <w:rPr>
          <w:color w:val="000000" w:themeColor="text1"/>
        </w:rPr>
        <w:t xml:space="preserve"> </w:t>
      </w:r>
      <w:r w:rsidR="009314C9">
        <w:rPr>
          <w:color w:val="000000" w:themeColor="text1"/>
        </w:rPr>
        <w:t>ove possibile</w:t>
      </w:r>
      <w:r w:rsidR="003F1228">
        <w:rPr>
          <w:color w:val="000000" w:themeColor="text1"/>
        </w:rPr>
        <w:t>,</w:t>
      </w:r>
      <w:r w:rsidRPr="00FB68F1">
        <w:rPr>
          <w:color w:val="000000" w:themeColor="text1"/>
        </w:rPr>
        <w:t xml:space="preserve"> </w:t>
      </w:r>
      <w:r w:rsidR="00E125E9">
        <w:rPr>
          <w:color w:val="000000" w:themeColor="text1"/>
        </w:rPr>
        <w:t>i casi</w:t>
      </w:r>
      <w:r w:rsidRPr="00FB68F1">
        <w:rPr>
          <w:color w:val="000000" w:themeColor="text1"/>
        </w:rPr>
        <w:t xml:space="preserve"> di Test OK e tutti i casi di Test KO relativi al Referto Medicina di Laboratorio disponibili ai seguenti link:</w:t>
      </w:r>
    </w:p>
    <w:p w14:paraId="68397F8D" w14:textId="30E6BB7D" w:rsidR="00743238" w:rsidRPr="00681393" w:rsidRDefault="0019096B" w:rsidP="00743238">
      <w:pPr>
        <w:pStyle w:val="ListParagraph"/>
        <w:numPr>
          <w:ilvl w:val="0"/>
          <w:numId w:val="9"/>
        </w:numPr>
        <w:jc w:val="both"/>
        <w:rPr>
          <w:i/>
          <w:color w:val="000000" w:themeColor="text1"/>
        </w:rPr>
      </w:pPr>
      <w:hyperlink r:id="rId10" w:history="1">
        <w:r w:rsidR="00627991">
          <w:rPr>
            <w:rStyle w:val="Hyperlink"/>
          </w:rPr>
          <w:t>Casi di Test LAB.docx</w:t>
        </w:r>
      </w:hyperlink>
      <w:r w:rsidR="00755DC5" w:rsidRPr="00681393">
        <w:rPr>
          <w:i/>
          <w:iCs/>
        </w:rPr>
        <w:t>;</w:t>
      </w:r>
    </w:p>
    <w:p w14:paraId="216FA922" w14:textId="4355639C" w:rsidR="00755DC5" w:rsidRPr="00A4136D" w:rsidRDefault="0019096B" w:rsidP="00743238">
      <w:pPr>
        <w:pStyle w:val="ListParagraph"/>
        <w:numPr>
          <w:ilvl w:val="0"/>
          <w:numId w:val="9"/>
        </w:numPr>
        <w:jc w:val="both"/>
        <w:rPr>
          <w:i/>
          <w:color w:val="000000" w:themeColor="text1"/>
        </w:rPr>
      </w:pPr>
      <w:hyperlink r:id="rId11" w:history="1">
        <w:r w:rsidR="00A73DF5">
          <w:rPr>
            <w:rStyle w:val="Hyperlink"/>
          </w:rPr>
          <w:t>CDA2_Referto Medicina di Laboratorio_OK.xlsx</w:t>
        </w:r>
      </w:hyperlink>
      <w:r w:rsidR="00352CEA" w:rsidRPr="00A4136D">
        <w:rPr>
          <w:i/>
          <w:iCs/>
          <w:color w:val="000000" w:themeColor="text1"/>
        </w:rPr>
        <w:t>;</w:t>
      </w:r>
    </w:p>
    <w:p w14:paraId="065E1980" w14:textId="2AEAE161" w:rsidR="00905FD8" w:rsidRPr="00627991" w:rsidRDefault="0019096B" w:rsidP="00743238">
      <w:pPr>
        <w:pStyle w:val="ListParagraph"/>
        <w:numPr>
          <w:ilvl w:val="0"/>
          <w:numId w:val="9"/>
        </w:numPr>
        <w:jc w:val="both"/>
        <w:rPr>
          <w:i/>
          <w:color w:val="000000" w:themeColor="text1"/>
        </w:rPr>
      </w:pPr>
      <w:hyperlink r:id="rId12" w:history="1">
        <w:r w:rsidR="00A73DF5">
          <w:rPr>
            <w:rStyle w:val="Hyperlink"/>
          </w:rPr>
          <w:t>CDA2_Referto Medicina di Laboratorio_KO.xlsx</w:t>
        </w:r>
      </w:hyperlink>
      <w:r w:rsidR="00352CEA" w:rsidRPr="00627991">
        <w:rPr>
          <w:i/>
          <w:iCs/>
          <w:color w:val="000000" w:themeColor="text1"/>
        </w:rPr>
        <w:t>.</w:t>
      </w:r>
    </w:p>
    <w:p w14:paraId="573AE9C5" w14:textId="0EF32661" w:rsidR="008800AA" w:rsidRDefault="008800AA" w:rsidP="00CD4563">
      <w:pPr>
        <w:pStyle w:val="Heading2"/>
        <w:jc w:val="both"/>
      </w:pPr>
      <w:r w:rsidRPr="00F1588F">
        <w:t>Cas</w:t>
      </w:r>
      <w:r>
        <w:t xml:space="preserve">o </w:t>
      </w:r>
      <w:r w:rsidRPr="00F1588F">
        <w:t>di Test – OK</w:t>
      </w:r>
    </w:p>
    <w:p w14:paraId="3FBC9333" w14:textId="0EBDFA34" w:rsidR="00D126CF" w:rsidRPr="00D126CF" w:rsidRDefault="00C443EA" w:rsidP="00CD45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FC160" wp14:editId="19DF2875">
                <wp:simplePos x="0" y="0"/>
                <wp:positionH relativeFrom="column">
                  <wp:posOffset>-5715</wp:posOffset>
                </wp:positionH>
                <wp:positionV relativeFrom="paragraph">
                  <wp:posOffset>294640</wp:posOffset>
                </wp:positionV>
                <wp:extent cx="613410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D6831" w14:textId="2B3AFE1A" w:rsidR="00C02BB5" w:rsidRDefault="00A73DF5" w:rsidP="00C02BB5">
                            <w:pPr>
                              <w:jc w:val="both"/>
                            </w:pPr>
                            <w:r>
                              <w:t>Affinché</w:t>
                            </w:r>
                            <w:r w:rsidR="00C02BB5">
                              <w:t xml:space="preserve"> i casi di test OK siano svolti correttamente, per ogni elemento fare riferimento alle colonne “Cardinalità</w:t>
                            </w:r>
                            <w:r w:rsidR="00D77D86">
                              <w:t>/Obbligatorietà</w:t>
                            </w:r>
                            <w:r w:rsidR="00C02BB5">
                              <w:t xml:space="preserve"> per Test case OK”</w:t>
                            </w:r>
                          </w:p>
                          <w:p w14:paraId="62A82CC3" w14:textId="77777777" w:rsidR="00232A31" w:rsidRDefault="00232A31" w:rsidP="00C02BB5">
                            <w:pPr>
                              <w:jc w:val="both"/>
                            </w:pPr>
                          </w:p>
                          <w:p w14:paraId="270205B4" w14:textId="41CCF925" w:rsidR="00C02BB5" w:rsidRDefault="00C02BB5" w:rsidP="00C02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C160" id="Rectangle 3" o:spid="_x0000_s1026" style="position:absolute;left:0;text-align:left;margin-left:-.45pt;margin-top:23.2pt;width:483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" fillcolor="#fbe4d5 [661]" strokecolor="#4472c4 [3204]" strokeweight="1pt">
                <v:textbox>
                  <w:txbxContent>
                    <w:p w14:paraId="085D6831" w14:textId="2B3AFE1A" w:rsidR="00C02BB5" w:rsidRDefault="00A73DF5" w:rsidP="00C02BB5">
                      <w:pPr>
                        <w:jc w:val="both"/>
                      </w:pPr>
                      <w:r>
                        <w:t>Affinché</w:t>
                      </w:r>
                      <w:r w:rsidR="00C02BB5">
                        <w:t xml:space="preserve"> i casi di test OK siano svolti correttamente, per ogni elemento fare riferimento alle colonne “Cardinalità</w:t>
                      </w:r>
                      <w:r w:rsidR="00D77D86">
                        <w:t>/Obbligatorietà</w:t>
                      </w:r>
                      <w:r w:rsidR="00C02BB5">
                        <w:t xml:space="preserve"> per Test case OK”</w:t>
                      </w:r>
                    </w:p>
                    <w:p w14:paraId="62A82CC3" w14:textId="77777777" w:rsidR="00232A31" w:rsidRDefault="00232A31" w:rsidP="00C02BB5">
                      <w:pPr>
                        <w:jc w:val="both"/>
                      </w:pPr>
                    </w:p>
                    <w:p w14:paraId="270205B4" w14:textId="41CCF925" w:rsidR="00C02BB5" w:rsidRDefault="00C02BB5" w:rsidP="00C02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26CF">
        <w:t>Di seguito viene riportata la struttura e il contenuto informativo del Referto relativo all’esame trasfusionale.</w:t>
      </w:r>
    </w:p>
    <w:p w14:paraId="7C97FA8A" w14:textId="5CC13D40" w:rsidR="06BA02F4" w:rsidRDefault="06BA02F4" w:rsidP="2A2DC2CF">
      <w:pPr>
        <w:jc w:val="both"/>
      </w:pPr>
    </w:p>
    <w:p w14:paraId="5211B6A4" w14:textId="062A94F8" w:rsidR="00C443EA" w:rsidRDefault="00C443EA" w:rsidP="00CD4563">
      <w:pPr>
        <w:jc w:val="both"/>
        <w:rPr>
          <w:b/>
          <w:bCs/>
          <w:i/>
          <w:iCs/>
        </w:rPr>
      </w:pPr>
    </w:p>
    <w:p w14:paraId="72F6DFDB" w14:textId="37BF8C40" w:rsidR="003D3B20" w:rsidRDefault="008800AA" w:rsidP="00CD4563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</w:t>
      </w:r>
      <w:r w:rsidR="003D3B20">
        <w:t xml:space="preserve">Tale sezione rappresenta la </w:t>
      </w:r>
      <w:r w:rsidR="00363DCA">
        <w:t>specialità</w:t>
      </w:r>
      <w:r w:rsidR="003D3B20">
        <w:t xml:space="preserve"> di esame di laboratorio che si sta effettuando (Banca del sangue)</w:t>
      </w:r>
      <w:r w:rsidR="00A721C5">
        <w:t>, rappresentata dal seguente codice LOINC 1871</w:t>
      </w:r>
      <w:r w:rsidR="00363DCA">
        <w:t xml:space="preserve">7-9, </w:t>
      </w:r>
      <w:r w:rsidR="003D3B20">
        <w:t>e conterrà al suo interno una sezione foglia.</w:t>
      </w:r>
    </w:p>
    <w:p w14:paraId="497C2AF4" w14:textId="35A0D224" w:rsidR="00073826" w:rsidRDefault="008800AA" w:rsidP="00CD4563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</w:t>
      </w:r>
      <w:r w:rsidR="00C12EF2">
        <w:t>T</w:t>
      </w:r>
      <w:r>
        <w:t>ale sezione riporta le informazioni relative a</w:t>
      </w:r>
      <w:r w:rsidR="00472D75">
        <w:t>i vari esami che si effettuano</w:t>
      </w:r>
      <w:r w:rsidR="00C12EF2">
        <w:t xml:space="preserve"> </w:t>
      </w:r>
      <w:r w:rsidR="00477A7F">
        <w:t>nel caso specifico</w:t>
      </w:r>
      <w:r w:rsidR="00866B97">
        <w:t>.</w:t>
      </w:r>
      <w:r>
        <w:t xml:space="preserve"> </w:t>
      </w:r>
    </w:p>
    <w:p w14:paraId="48932E14" w14:textId="3E25D8F9" w:rsidR="009B6B7D" w:rsidRDefault="00E73871" w:rsidP="00CD4563">
      <w:pPr>
        <w:jc w:val="both"/>
      </w:pPr>
      <w:r>
        <w:t xml:space="preserve">Gli elementi che </w:t>
      </w:r>
      <w:r w:rsidR="001A0030">
        <w:t>costituiscono il contenuto informativo</w:t>
      </w:r>
      <w:r w:rsidR="002D34FB">
        <w:t xml:space="preserve"> </w:t>
      </w:r>
      <w:r w:rsidR="00344219">
        <w:t>presenti al</w:t>
      </w:r>
      <w:r w:rsidR="002D34FB">
        <w:t>l’</w:t>
      </w:r>
      <w:r w:rsidR="00344219">
        <w:t>interno dell’</w:t>
      </w:r>
      <w:r w:rsidR="002D34FB">
        <w:t>elemento entry/act</w:t>
      </w:r>
      <w:r w:rsidR="001A0030">
        <w:t xml:space="preserve"> sono:</w:t>
      </w:r>
    </w:p>
    <w:p w14:paraId="199BDFE9" w14:textId="74379933" w:rsidR="00D40D4A" w:rsidRPr="00D40D4A" w:rsidRDefault="000F409F" w:rsidP="00CD4563">
      <w:pPr>
        <w:pStyle w:val="ListParagraph"/>
        <w:numPr>
          <w:ilvl w:val="0"/>
          <w:numId w:val="5"/>
        </w:numPr>
        <w:jc w:val="both"/>
      </w:pPr>
      <w:r w:rsidRPr="00866B97">
        <w:rPr>
          <w:i/>
          <w:iCs/>
        </w:rPr>
        <w:t>s</w:t>
      </w:r>
      <w:r w:rsidR="001A0030" w:rsidRPr="00866B97">
        <w:rPr>
          <w:i/>
          <w:iCs/>
        </w:rPr>
        <w:t>pecimen</w:t>
      </w:r>
      <w:r w:rsidR="001A0030">
        <w:t xml:space="preserve">: </w:t>
      </w:r>
      <w:r w:rsidR="00D40D4A" w:rsidRPr="00D40D4A">
        <w:t>in questo elemento viene specificato la tipologia di campione che si sta analizzand</w:t>
      </w:r>
      <w:r w:rsidR="009112A3">
        <w:t>o</w:t>
      </w:r>
      <w:r w:rsidR="00D40D4A" w:rsidRPr="00D40D4A">
        <w:t>;</w:t>
      </w:r>
    </w:p>
    <w:p w14:paraId="16B2BED3" w14:textId="722A8EC9" w:rsidR="001A0030" w:rsidRDefault="00253EFB" w:rsidP="00CD4563">
      <w:pPr>
        <w:pStyle w:val="ListParagraph"/>
        <w:numPr>
          <w:ilvl w:val="0"/>
          <w:numId w:val="5"/>
        </w:numPr>
        <w:jc w:val="both"/>
      </w:pPr>
      <w:proofErr w:type="spellStart"/>
      <w:r w:rsidRPr="00866B97">
        <w:rPr>
          <w:i/>
          <w:iCs/>
        </w:rPr>
        <w:t>entryRelationship</w:t>
      </w:r>
      <w:proofErr w:type="spellEnd"/>
      <w:r w:rsidRPr="00866B97">
        <w:rPr>
          <w:i/>
          <w:iCs/>
        </w:rPr>
        <w:t>/organizer</w:t>
      </w:r>
      <w:r w:rsidR="00344219">
        <w:rPr>
          <w:i/>
          <w:iCs/>
        </w:rPr>
        <w:t>[@classCode</w:t>
      </w:r>
      <w:proofErr w:type="gramStart"/>
      <w:r w:rsidR="00344219">
        <w:rPr>
          <w:i/>
          <w:iCs/>
        </w:rPr>
        <w:t>=”BATTERY</w:t>
      </w:r>
      <w:proofErr w:type="gramEnd"/>
      <w:r w:rsidR="00344219">
        <w:rPr>
          <w:i/>
          <w:iCs/>
        </w:rPr>
        <w:t>”]</w:t>
      </w:r>
      <w:r>
        <w:t>: rappresen</w:t>
      </w:r>
      <w:r w:rsidR="00B20F80">
        <w:t>t</w:t>
      </w:r>
      <w:r>
        <w:t>a una serie di osservazioni raggruppate in batteria di esami</w:t>
      </w:r>
      <w:r w:rsidR="00866B97">
        <w:t xml:space="preserve">, contenente una serie di </w:t>
      </w:r>
      <w:r w:rsidR="00866B97" w:rsidRPr="00866B97">
        <w:rPr>
          <w:i/>
          <w:iCs/>
        </w:rPr>
        <w:t>component/</w:t>
      </w:r>
      <w:proofErr w:type="spellStart"/>
      <w:r w:rsidR="00866B97" w:rsidRPr="00866B97">
        <w:rPr>
          <w:i/>
          <w:iCs/>
        </w:rPr>
        <w:t>observation</w:t>
      </w:r>
      <w:proofErr w:type="spellEnd"/>
      <w:r w:rsidR="00866B97">
        <w:t xml:space="preserve"> ognuna associata ad un</w:t>
      </w:r>
      <w:r w:rsidR="00C12EF2">
        <w:t xml:space="preserve"> </w:t>
      </w:r>
      <w:r w:rsidR="00866B97">
        <w:t>esame specifico fatto sul medesimo campione:</w:t>
      </w:r>
    </w:p>
    <w:p w14:paraId="37B90C5E" w14:textId="77F03D8C" w:rsidR="002D34FB" w:rsidRDefault="002D34FB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>: rappresenta l’osservazione relativa all’esame sul gruppo sanguigno;</w:t>
      </w:r>
    </w:p>
    <w:p w14:paraId="5786191F" w14:textId="3879B70F" w:rsidR="002F1E96" w:rsidRPr="002F1E96" w:rsidRDefault="002D34FB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>: rappresenta</w:t>
      </w:r>
      <w:r w:rsidR="00551F43">
        <w:t xml:space="preserve"> </w:t>
      </w:r>
      <w:r w:rsidR="002F1E96">
        <w:t xml:space="preserve">l’osservazione relativa al </w:t>
      </w:r>
      <w:r w:rsidR="002F1E96" w:rsidRPr="002F1E96">
        <w:t>Fenotipo Rh</w:t>
      </w:r>
      <w:r w:rsidR="001E0AF2">
        <w:t>;</w:t>
      </w:r>
    </w:p>
    <w:p w14:paraId="67B2247B" w14:textId="74F423AE" w:rsidR="002F1E96" w:rsidRPr="002F1E96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 xml:space="preserve">: rappresenta l’osservazione relativa alla </w:t>
      </w:r>
      <w:r w:rsidRPr="002F1E96">
        <w:t>Tipizzazione eritrocitaria</w:t>
      </w:r>
      <w:r w:rsidR="001E0AF2">
        <w:t>;</w:t>
      </w:r>
    </w:p>
    <w:p w14:paraId="540BAE59" w14:textId="2A9464E7" w:rsidR="002F1E96" w:rsidRPr="002F1E96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 xml:space="preserve">: rappresenta l’osservazione relativa al </w:t>
      </w:r>
      <w:r w:rsidRPr="002F1E96">
        <w:t>Test di Coombs diretto (DAT)</w:t>
      </w:r>
      <w:r w:rsidR="001E0AF2">
        <w:t>;</w:t>
      </w:r>
    </w:p>
    <w:p w14:paraId="6055C088" w14:textId="185AC672" w:rsidR="002F1E96" w:rsidRPr="002F1E96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 xml:space="preserve">: rappresenta l’osservazione relativa al </w:t>
      </w:r>
      <w:r w:rsidRPr="002F1E96">
        <w:t>Test di Coombs indiretto (IAT)</w:t>
      </w:r>
      <w:r w:rsidR="001E0AF2">
        <w:t>;</w:t>
      </w:r>
    </w:p>
    <w:p w14:paraId="47415D69" w14:textId="4425869E" w:rsidR="002D34FB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>: rappresenta l’osservazione relativa</w:t>
      </w:r>
      <w:r w:rsidR="00420C19">
        <w:t xml:space="preserve"> alla </w:t>
      </w:r>
      <w:r w:rsidR="00420C19" w:rsidRPr="00420C19">
        <w:t>Ricerca crioglobuline (1 provetta a secco tappo rosso mantenuta a 37°C)</w:t>
      </w:r>
      <w:r w:rsidR="001E0AF2">
        <w:t>.</w:t>
      </w:r>
    </w:p>
    <w:p w14:paraId="2D40E4AF" w14:textId="2504C085" w:rsidR="00B914EB" w:rsidRDefault="00740296" w:rsidP="00CD4563">
      <w:pPr>
        <w:pStyle w:val="ListParagraph"/>
        <w:numPr>
          <w:ilvl w:val="0"/>
          <w:numId w:val="5"/>
        </w:numPr>
        <w:jc w:val="both"/>
      </w:pPr>
      <w:proofErr w:type="spellStart"/>
      <w:r w:rsidRPr="001E0AF2">
        <w:rPr>
          <w:i/>
          <w:iCs/>
        </w:rPr>
        <w:t>entryRelationship</w:t>
      </w:r>
      <w:proofErr w:type="spellEnd"/>
      <w:r w:rsidR="00B914EB" w:rsidRPr="001E0AF2">
        <w:rPr>
          <w:i/>
          <w:iCs/>
        </w:rPr>
        <w:t>/act</w:t>
      </w:r>
      <w:r w:rsidR="00B914EB">
        <w:t>: rappresenta la parte narrativa di annotazioni e commenti, per avere una corretta interpretazione del risultat</w:t>
      </w:r>
      <w:r w:rsidR="00B350D2">
        <w:t>o. Ad esempio</w:t>
      </w:r>
      <w:r w:rsidR="00AF5325">
        <w:t>,</w:t>
      </w:r>
      <w:r w:rsidR="00B350D2">
        <w:t xml:space="preserve"> è possibile riportare il caso in cui il paziente è in stato di gravidanza, se sta effettuando terapie immunosoppressive, se è affetto da patologie oppure se ha fatto in passato trasfusioni o trapianti.</w:t>
      </w:r>
    </w:p>
    <w:p w14:paraId="46ABAAB0" w14:textId="1EC013F7" w:rsidR="004D7E03" w:rsidRDefault="004D7E03" w:rsidP="004D7E03">
      <w:pPr>
        <w:pStyle w:val="Heading2"/>
        <w:jc w:val="both"/>
      </w:pPr>
      <w:r>
        <w:t>Caso di Test</w:t>
      </w:r>
      <w:r w:rsidR="007359AE">
        <w:t xml:space="preserve"> OK</w:t>
      </w:r>
      <w:r>
        <w:t xml:space="preserve"> - HLA</w:t>
      </w:r>
    </w:p>
    <w:p w14:paraId="464E4A3E" w14:textId="49CABD73" w:rsidR="004D7E03" w:rsidRPr="00D126CF" w:rsidRDefault="00C443EA" w:rsidP="004D7E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A22F63" wp14:editId="44A90C13">
                <wp:simplePos x="0" y="0"/>
                <wp:positionH relativeFrom="column">
                  <wp:posOffset>3810</wp:posOffset>
                </wp:positionH>
                <wp:positionV relativeFrom="paragraph">
                  <wp:posOffset>456565</wp:posOffset>
                </wp:positionV>
                <wp:extent cx="61341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123C" w14:textId="1F8C6060" w:rsidR="00906FF0" w:rsidRDefault="00A73DF5" w:rsidP="00906FF0">
                            <w:pPr>
                              <w:jc w:val="both"/>
                            </w:pPr>
                            <w:r>
                              <w:t>Affinché</w:t>
                            </w:r>
                            <w:r w:rsidR="00906FF0">
                              <w:t xml:space="preserve"> i casi di test OK siano svolti correttamente, per ogni elemento fare riferimento alle colonne “Cardinalità /Obbligatorietà per Test case OK-HLA”.</w:t>
                            </w:r>
                          </w:p>
                          <w:p w14:paraId="1475004C" w14:textId="77777777" w:rsidR="00C443EA" w:rsidRDefault="00C443EA" w:rsidP="00C443EA">
                            <w:pPr>
                              <w:jc w:val="both"/>
                            </w:pPr>
                            <w:proofErr w:type="spellStart"/>
                            <w:r>
                              <w:t>Affinchè</w:t>
                            </w:r>
                            <w:proofErr w:type="spellEnd"/>
                            <w:r>
                              <w:t xml:space="preserve"> i casi di test OK siano svolti correttamente, per ogni elemento fare riferimento alle colonne “Cardinalità per Test case OK/OK-HLA” e “Obbligatorietà per Test case OK/OK-HLA”.</w:t>
                            </w:r>
                          </w:p>
                          <w:p w14:paraId="67991728" w14:textId="77777777" w:rsidR="00C443EA" w:rsidRDefault="00C443EA" w:rsidP="00C443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A22F63" id="Rectangle 4" o:spid="_x0000_s1027" style="position:absolute;left:0;text-align:left;margin-left:.3pt;margin-top:35.95pt;width:483pt;height:36.7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" fillcolor="#fbe4d5 [661]" strokecolor="#4472c4 [3204]" strokeweight="1pt">
                <v:textbox>
                  <w:txbxContent>
                    <w:p w14:paraId="6BE0123C" w14:textId="1F8C6060" w:rsidR="00906FF0" w:rsidRDefault="00A73DF5" w:rsidP="00906FF0">
                      <w:pPr>
                        <w:jc w:val="both"/>
                      </w:pPr>
                      <w:r>
                        <w:t>Affinché</w:t>
                      </w:r>
                      <w:r w:rsidR="00906FF0">
                        <w:t xml:space="preserve"> i casi di test OK siano svolti correttamente, per ogni elemento fare riferimento alle colonne “Cardinalità /Obbligatorietà per Test case OK-HLA”.</w:t>
                      </w:r>
                    </w:p>
                    <w:p w14:paraId="1475004C" w14:textId="77777777" w:rsidR="00C443EA" w:rsidRDefault="00C443EA" w:rsidP="00C443EA">
                      <w:pPr>
                        <w:jc w:val="both"/>
                      </w:pPr>
                      <w:proofErr w:type="spellStart"/>
                      <w:r>
                        <w:t>Affinchè</w:t>
                      </w:r>
                      <w:proofErr w:type="spellEnd"/>
                      <w:r>
                        <w:t xml:space="preserve"> i casi di test OK siano svolti correttamente, per ogni elemento fare riferimento alle colonne “Cardinalità per Test case OK/OK-HLA” e “Obbligatorietà per Test case OK/OK-HLA”.</w:t>
                      </w:r>
                    </w:p>
                    <w:p w14:paraId="67991728" w14:textId="77777777" w:rsidR="00C443EA" w:rsidRDefault="00C443EA" w:rsidP="00C443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7E03">
        <w:t>Di seguito viene riportata la struttura e il contenuto informativo del Referto relativo</w:t>
      </w:r>
      <w:r w:rsidR="00ED179A">
        <w:t xml:space="preserve"> ad uno specifico </w:t>
      </w:r>
      <w:r w:rsidR="004D7E03">
        <w:t>esame trasfusionale</w:t>
      </w:r>
      <w:r w:rsidR="00ED179A">
        <w:t xml:space="preserve"> riguardante la tipizzazione HLA</w:t>
      </w:r>
      <w:r w:rsidR="004D7E03">
        <w:t>.</w:t>
      </w:r>
    </w:p>
    <w:p w14:paraId="4482FC06" w14:textId="4EFC0504" w:rsidR="004D7E03" w:rsidRDefault="004D7E03" w:rsidP="004D7E03">
      <w:pPr>
        <w:jc w:val="both"/>
      </w:pPr>
    </w:p>
    <w:p w14:paraId="1EF4E1EE" w14:textId="77777777" w:rsidR="00C443EA" w:rsidRDefault="00C443EA" w:rsidP="00E105B1">
      <w:pPr>
        <w:jc w:val="both"/>
        <w:rPr>
          <w:b/>
          <w:bCs/>
          <w:i/>
          <w:iCs/>
        </w:rPr>
      </w:pPr>
    </w:p>
    <w:p w14:paraId="1EF43B18" w14:textId="6A38A0BC" w:rsidR="00E105B1" w:rsidRDefault="00E105B1" w:rsidP="00E105B1">
      <w:pPr>
        <w:jc w:val="both"/>
      </w:pPr>
      <w:proofErr w:type="spellStart"/>
      <w:r>
        <w:rPr>
          <w:b/>
          <w:bCs/>
          <w:i/>
          <w:iCs/>
        </w:rPr>
        <w:lastRenderedPageBreak/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 di esame di laboratorio che si sta effettuando (</w:t>
      </w:r>
      <w:r w:rsidR="00DA3865">
        <w:t>HLA</w:t>
      </w:r>
      <w:r>
        <w:t xml:space="preserve">), rappresentata dal seguente codice LOINC </w:t>
      </w:r>
      <w:r w:rsidR="00721229" w:rsidRPr="00721229">
        <w:t>18724-5</w:t>
      </w:r>
      <w:r>
        <w:t>, e conterrà al suo interno una sezione foglia.</w:t>
      </w:r>
    </w:p>
    <w:p w14:paraId="58758CF7" w14:textId="77777777" w:rsidR="00D44647" w:rsidRDefault="00D44647" w:rsidP="00D44647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ai vari esami che si effettuano nel caso specifico. </w:t>
      </w:r>
    </w:p>
    <w:p w14:paraId="3FFFEEB6" w14:textId="448BBF2F" w:rsidR="00D44647" w:rsidRDefault="00D44647" w:rsidP="00E105B1">
      <w:pPr>
        <w:jc w:val="both"/>
      </w:pPr>
      <w:r>
        <w:t>Gli elementi che costituiscono il contenuto informativo presenti all’interno dell’elemento entry/act sono:</w:t>
      </w:r>
    </w:p>
    <w:p w14:paraId="3F2DD6AC" w14:textId="77777777" w:rsidR="00CC5606" w:rsidRPr="00D40D4A" w:rsidRDefault="00CC5606" w:rsidP="00CC5606">
      <w:pPr>
        <w:pStyle w:val="ListParagraph"/>
        <w:numPr>
          <w:ilvl w:val="0"/>
          <w:numId w:val="5"/>
        </w:numPr>
        <w:jc w:val="both"/>
      </w:pPr>
      <w:r w:rsidRPr="00866B97">
        <w:rPr>
          <w:i/>
          <w:iCs/>
        </w:rPr>
        <w:t>specimen</w:t>
      </w:r>
      <w:r>
        <w:t xml:space="preserve">: </w:t>
      </w:r>
      <w:r w:rsidRPr="00D40D4A">
        <w:t>in questo elemento viene specificato la tipologia di campione che si sta analizzand</w:t>
      </w:r>
      <w:r>
        <w:t>o</w:t>
      </w:r>
      <w:r w:rsidRPr="00D40D4A">
        <w:t>;</w:t>
      </w:r>
    </w:p>
    <w:p w14:paraId="5C915F4C" w14:textId="662A089E" w:rsidR="00CC5606" w:rsidRDefault="00CC5606" w:rsidP="00CC5606">
      <w:pPr>
        <w:pStyle w:val="ListParagraph"/>
        <w:numPr>
          <w:ilvl w:val="0"/>
          <w:numId w:val="5"/>
        </w:numPr>
        <w:jc w:val="both"/>
      </w:pPr>
      <w:proofErr w:type="spellStart"/>
      <w:r w:rsidRPr="00866B97">
        <w:rPr>
          <w:i/>
          <w:iCs/>
        </w:rPr>
        <w:t>entryRelationship</w:t>
      </w:r>
      <w:proofErr w:type="spellEnd"/>
      <w:r w:rsidRPr="00866B97">
        <w:rPr>
          <w:i/>
          <w:iCs/>
        </w:rPr>
        <w:t>/organizer</w:t>
      </w:r>
      <w:r>
        <w:rPr>
          <w:i/>
          <w:iCs/>
        </w:rPr>
        <w:t>[@classCode</w:t>
      </w:r>
      <w:proofErr w:type="gramStart"/>
      <w:r>
        <w:rPr>
          <w:i/>
          <w:iCs/>
        </w:rPr>
        <w:t>=”BATTERY</w:t>
      </w:r>
      <w:proofErr w:type="gramEnd"/>
      <w:r>
        <w:rPr>
          <w:i/>
          <w:iCs/>
        </w:rPr>
        <w:t>”]</w:t>
      </w:r>
      <w:r>
        <w:t>:</w:t>
      </w:r>
      <w:r w:rsidR="00A84479">
        <w:t xml:space="preserve"> </w:t>
      </w:r>
      <w:r>
        <w:t xml:space="preserve">rappresenta una serie di osservazioni raggruppate in batteria di esami, </w:t>
      </w:r>
      <w:r w:rsidR="00100724">
        <w:t xml:space="preserve"> </w:t>
      </w:r>
      <w:r>
        <w:t xml:space="preserve">contenente </w:t>
      </w:r>
      <w:r w:rsidR="00100724">
        <w:t xml:space="preserve">almeno una  </w:t>
      </w: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 w:rsidR="00C530F7">
        <w:rPr>
          <w:i/>
          <w:iCs/>
        </w:rPr>
        <w:t xml:space="preserve"> </w:t>
      </w:r>
      <w:r>
        <w:t xml:space="preserve"> ognuna associata ad un esame specifico fatto sul medesimo campione:</w:t>
      </w:r>
    </w:p>
    <w:p w14:paraId="1818A461" w14:textId="77777777" w:rsidR="003E3FC8" w:rsidRPr="003E3FC8" w:rsidRDefault="009818E0" w:rsidP="00E71579">
      <w:pPr>
        <w:pStyle w:val="ListParagraph"/>
        <w:numPr>
          <w:ilvl w:val="1"/>
          <w:numId w:val="5"/>
        </w:numPr>
        <w:jc w:val="both"/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 w:rsidRPr="003E3FC8">
        <w:rPr>
          <w:i/>
          <w:iCs/>
        </w:rPr>
        <w:t>component/</w:t>
      </w:r>
      <w:proofErr w:type="spellStart"/>
      <w:r w:rsidRPr="003E3FC8">
        <w:rPr>
          <w:i/>
          <w:iCs/>
        </w:rPr>
        <w:t>observation</w:t>
      </w:r>
      <w:proofErr w:type="spellEnd"/>
      <w:r>
        <w:t xml:space="preserve">: rappresenta l’osservazione relativa </w:t>
      </w:r>
      <w:r w:rsidR="002C189B">
        <w:t>a</w:t>
      </w:r>
      <w:r w:rsidR="008538C0">
        <w:t>d</w:t>
      </w:r>
      <w:r w:rsidR="002C189B">
        <w:t xml:space="preserve"> </w:t>
      </w:r>
      <w:r w:rsidR="00D027E6">
        <w:t xml:space="preserve">uno dei seguenti </w:t>
      </w:r>
      <w:r w:rsidR="00363655" w:rsidRPr="003E3FC8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geni HLA (human </w:t>
      </w:r>
      <w:proofErr w:type="spellStart"/>
      <w:r w:rsidR="00363655" w:rsidRPr="003E3FC8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leukocyte</w:t>
      </w:r>
      <w:proofErr w:type="spellEnd"/>
      <w:r w:rsidR="00363655" w:rsidRPr="003E3FC8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63655" w:rsidRPr="003E3FC8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antigen</w:t>
      </w:r>
      <w:proofErr w:type="spellEnd"/>
      <w:r w:rsidR="00363655" w:rsidRPr="003E3FC8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)</w:t>
      </w:r>
    </w:p>
    <w:p w14:paraId="384125B3" w14:textId="5AC66453" w:rsidR="001750D0" w:rsidRDefault="001750D0" w:rsidP="003E3FC8">
      <w:pPr>
        <w:pStyle w:val="ListParagraph"/>
        <w:numPr>
          <w:ilvl w:val="2"/>
          <w:numId w:val="5"/>
        </w:numPr>
        <w:jc w:val="both"/>
      </w:pPr>
      <w:r>
        <w:t>HLA-A;</w:t>
      </w:r>
    </w:p>
    <w:p w14:paraId="36501985" w14:textId="0803B260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HLA-B;</w:t>
      </w:r>
    </w:p>
    <w:p w14:paraId="39EFE6D2" w14:textId="10DEC7C6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HLA-C;</w:t>
      </w:r>
    </w:p>
    <w:p w14:paraId="4376E885" w14:textId="4DA2A190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HLA-DRB1;</w:t>
      </w:r>
    </w:p>
    <w:p w14:paraId="43C3152D" w14:textId="731CF8B6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HLA-DRB3;</w:t>
      </w:r>
    </w:p>
    <w:p w14:paraId="2E10378A" w14:textId="397E516F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HLA-DRB4;</w:t>
      </w:r>
    </w:p>
    <w:p w14:paraId="3F2F7AF4" w14:textId="3E06D7C8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HLA-DRB5</w:t>
      </w:r>
    </w:p>
    <w:p w14:paraId="1B8CC9F8" w14:textId="2790DFEF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HLA-DQA1;</w:t>
      </w:r>
    </w:p>
    <w:p w14:paraId="032CF515" w14:textId="7BEBAA37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HLA-DQB1;</w:t>
      </w:r>
    </w:p>
    <w:p w14:paraId="6EC2CCC4" w14:textId="1AEDEA62" w:rsidR="001750D0" w:rsidRDefault="001750D0" w:rsidP="001750D0">
      <w:pPr>
        <w:pStyle w:val="ListParagraph"/>
        <w:numPr>
          <w:ilvl w:val="2"/>
          <w:numId w:val="5"/>
        </w:numPr>
        <w:jc w:val="both"/>
      </w:pPr>
      <w:r>
        <w:t>HLA-DPB1;</w:t>
      </w:r>
    </w:p>
    <w:p w14:paraId="7FF3F9FA" w14:textId="4EB02D77" w:rsidR="00D027E6" w:rsidRDefault="001750D0" w:rsidP="001750D0">
      <w:pPr>
        <w:pStyle w:val="ListParagraph"/>
        <w:numPr>
          <w:ilvl w:val="2"/>
          <w:numId w:val="5"/>
        </w:numPr>
        <w:jc w:val="both"/>
      </w:pPr>
      <w:r>
        <w:t>HLA-DPA1</w:t>
      </w:r>
      <w:r w:rsidR="003974BC">
        <w:t>.</w:t>
      </w:r>
    </w:p>
    <w:p w14:paraId="6E22A971" w14:textId="7C7647E2" w:rsidR="001750D0" w:rsidRDefault="001750D0" w:rsidP="001750D0">
      <w:pPr>
        <w:pStyle w:val="ListParagraph"/>
        <w:numPr>
          <w:ilvl w:val="0"/>
          <w:numId w:val="5"/>
        </w:numPr>
        <w:jc w:val="both"/>
      </w:pPr>
      <w:proofErr w:type="spellStart"/>
      <w:r w:rsidRPr="001750D0">
        <w:rPr>
          <w:i/>
          <w:iCs/>
        </w:rPr>
        <w:t>entryRelationship</w:t>
      </w:r>
      <w:proofErr w:type="spellEnd"/>
      <w:r w:rsidRPr="001750D0">
        <w:rPr>
          <w:i/>
          <w:iCs/>
        </w:rPr>
        <w:t>/act</w:t>
      </w:r>
      <w:r>
        <w:t>: rappresenta la parte narrativa di annotazioni e commenti, per avere una corretta interpretazione del risultato.</w:t>
      </w:r>
    </w:p>
    <w:p w14:paraId="67A5A6B3" w14:textId="2EA5DADB" w:rsidR="00866B97" w:rsidRDefault="00866B97" w:rsidP="00CD4563">
      <w:pPr>
        <w:jc w:val="both"/>
      </w:pPr>
    </w:p>
    <w:p w14:paraId="1E4E6E80" w14:textId="77777777" w:rsidR="00866B97" w:rsidRDefault="00866B97" w:rsidP="00CD4563">
      <w:pPr>
        <w:jc w:val="both"/>
      </w:pPr>
    </w:p>
    <w:sectPr w:rsidR="00866B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AF4F" w14:textId="77777777" w:rsidR="0019096B" w:rsidRDefault="0019096B" w:rsidP="00A70013">
      <w:pPr>
        <w:spacing w:after="0" w:line="240" w:lineRule="auto"/>
      </w:pPr>
      <w:r>
        <w:separator/>
      </w:r>
    </w:p>
  </w:endnote>
  <w:endnote w:type="continuationSeparator" w:id="0">
    <w:p w14:paraId="65E4C567" w14:textId="77777777" w:rsidR="0019096B" w:rsidRDefault="0019096B" w:rsidP="00A70013">
      <w:pPr>
        <w:spacing w:after="0" w:line="240" w:lineRule="auto"/>
      </w:pPr>
      <w:r>
        <w:continuationSeparator/>
      </w:r>
    </w:p>
  </w:endnote>
  <w:endnote w:type="continuationNotice" w:id="1">
    <w:p w14:paraId="0B1D06CE" w14:textId="77777777" w:rsidR="0019096B" w:rsidRDefault="001909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F719" w14:textId="77777777" w:rsidR="0019096B" w:rsidRDefault="0019096B" w:rsidP="00A70013">
      <w:pPr>
        <w:spacing w:after="0" w:line="240" w:lineRule="auto"/>
      </w:pPr>
      <w:r>
        <w:separator/>
      </w:r>
    </w:p>
  </w:footnote>
  <w:footnote w:type="continuationSeparator" w:id="0">
    <w:p w14:paraId="78053244" w14:textId="77777777" w:rsidR="0019096B" w:rsidRDefault="0019096B" w:rsidP="00A70013">
      <w:pPr>
        <w:spacing w:after="0" w:line="240" w:lineRule="auto"/>
      </w:pPr>
      <w:r>
        <w:continuationSeparator/>
      </w:r>
    </w:p>
  </w:footnote>
  <w:footnote w:type="continuationNotice" w:id="1">
    <w:p w14:paraId="44416206" w14:textId="77777777" w:rsidR="0019096B" w:rsidRDefault="001909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4B4"/>
    <w:multiLevelType w:val="hybridMultilevel"/>
    <w:tmpl w:val="35AEB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67543A"/>
    <w:multiLevelType w:val="hybridMultilevel"/>
    <w:tmpl w:val="F9085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24C5D"/>
    <w:multiLevelType w:val="hybridMultilevel"/>
    <w:tmpl w:val="5E80DBB8"/>
    <w:lvl w:ilvl="0" w:tplc="F2E4B56C">
      <w:numFmt w:val="bullet"/>
      <w:lvlText w:val="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12D0B"/>
    <w:multiLevelType w:val="hybridMultilevel"/>
    <w:tmpl w:val="57FA81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C714FE"/>
    <w:multiLevelType w:val="hybridMultilevel"/>
    <w:tmpl w:val="28BAC4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E2C78"/>
    <w:multiLevelType w:val="hybridMultilevel"/>
    <w:tmpl w:val="D8943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2A63"/>
    <w:multiLevelType w:val="hybridMultilevel"/>
    <w:tmpl w:val="A3744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55D81"/>
    <w:multiLevelType w:val="hybridMultilevel"/>
    <w:tmpl w:val="F1782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13"/>
    <w:rsid w:val="00016E14"/>
    <w:rsid w:val="00025B26"/>
    <w:rsid w:val="00026995"/>
    <w:rsid w:val="00027FC9"/>
    <w:rsid w:val="0007027E"/>
    <w:rsid w:val="00073826"/>
    <w:rsid w:val="00087B62"/>
    <w:rsid w:val="000B50F3"/>
    <w:rsid w:val="000C5E70"/>
    <w:rsid w:val="000D1EAF"/>
    <w:rsid w:val="000E2DC7"/>
    <w:rsid w:val="000F409F"/>
    <w:rsid w:val="000F5133"/>
    <w:rsid w:val="00100724"/>
    <w:rsid w:val="0012010A"/>
    <w:rsid w:val="00132F3F"/>
    <w:rsid w:val="00167D80"/>
    <w:rsid w:val="00174A19"/>
    <w:rsid w:val="001750D0"/>
    <w:rsid w:val="00187F42"/>
    <w:rsid w:val="0019096B"/>
    <w:rsid w:val="001A0030"/>
    <w:rsid w:val="001D4085"/>
    <w:rsid w:val="001E04FE"/>
    <w:rsid w:val="001E0AF2"/>
    <w:rsid w:val="001F5D21"/>
    <w:rsid w:val="00232A31"/>
    <w:rsid w:val="00253EFB"/>
    <w:rsid w:val="00261E5E"/>
    <w:rsid w:val="00281A7A"/>
    <w:rsid w:val="00295A1A"/>
    <w:rsid w:val="002A21CE"/>
    <w:rsid w:val="002A73D1"/>
    <w:rsid w:val="002C189B"/>
    <w:rsid w:val="002D34FB"/>
    <w:rsid w:val="002F1E96"/>
    <w:rsid w:val="003316CB"/>
    <w:rsid w:val="00333861"/>
    <w:rsid w:val="00344219"/>
    <w:rsid w:val="00352CEA"/>
    <w:rsid w:val="00363655"/>
    <w:rsid w:val="00363DCA"/>
    <w:rsid w:val="00366DA3"/>
    <w:rsid w:val="00380F66"/>
    <w:rsid w:val="00385467"/>
    <w:rsid w:val="003974BC"/>
    <w:rsid w:val="003D20A2"/>
    <w:rsid w:val="003D3B20"/>
    <w:rsid w:val="003E0029"/>
    <w:rsid w:val="003E3FC8"/>
    <w:rsid w:val="003F1228"/>
    <w:rsid w:val="003F1A7D"/>
    <w:rsid w:val="00401166"/>
    <w:rsid w:val="00420C19"/>
    <w:rsid w:val="0044243A"/>
    <w:rsid w:val="00445C2A"/>
    <w:rsid w:val="00452C58"/>
    <w:rsid w:val="00464485"/>
    <w:rsid w:val="00472D75"/>
    <w:rsid w:val="00477A7F"/>
    <w:rsid w:val="00481B16"/>
    <w:rsid w:val="00490ED8"/>
    <w:rsid w:val="004A2757"/>
    <w:rsid w:val="004A7443"/>
    <w:rsid w:val="004D7E03"/>
    <w:rsid w:val="00532F75"/>
    <w:rsid w:val="005338ED"/>
    <w:rsid w:val="00535937"/>
    <w:rsid w:val="00551C08"/>
    <w:rsid w:val="00551F43"/>
    <w:rsid w:val="0056315A"/>
    <w:rsid w:val="0057050B"/>
    <w:rsid w:val="00570CFA"/>
    <w:rsid w:val="0058698C"/>
    <w:rsid w:val="005B2742"/>
    <w:rsid w:val="0060726A"/>
    <w:rsid w:val="0061540D"/>
    <w:rsid w:val="00625A12"/>
    <w:rsid w:val="00627991"/>
    <w:rsid w:val="00633DF5"/>
    <w:rsid w:val="00634C8F"/>
    <w:rsid w:val="00681393"/>
    <w:rsid w:val="006B6E06"/>
    <w:rsid w:val="006D2F70"/>
    <w:rsid w:val="006F3355"/>
    <w:rsid w:val="006F7AF4"/>
    <w:rsid w:val="0071141A"/>
    <w:rsid w:val="00721229"/>
    <w:rsid w:val="007359AE"/>
    <w:rsid w:val="00740296"/>
    <w:rsid w:val="00743238"/>
    <w:rsid w:val="00745FD8"/>
    <w:rsid w:val="00751DC4"/>
    <w:rsid w:val="00755DC5"/>
    <w:rsid w:val="007636FE"/>
    <w:rsid w:val="0077077E"/>
    <w:rsid w:val="00774C8A"/>
    <w:rsid w:val="00797026"/>
    <w:rsid w:val="007B340F"/>
    <w:rsid w:val="007C42F8"/>
    <w:rsid w:val="007D32DB"/>
    <w:rsid w:val="007D5028"/>
    <w:rsid w:val="007D7047"/>
    <w:rsid w:val="00820883"/>
    <w:rsid w:val="00820E94"/>
    <w:rsid w:val="0082570C"/>
    <w:rsid w:val="008538C0"/>
    <w:rsid w:val="00857E4C"/>
    <w:rsid w:val="00866B97"/>
    <w:rsid w:val="008800AA"/>
    <w:rsid w:val="008A6187"/>
    <w:rsid w:val="008C02A2"/>
    <w:rsid w:val="008D02F5"/>
    <w:rsid w:val="008D4D8A"/>
    <w:rsid w:val="008D6D75"/>
    <w:rsid w:val="008E3D3C"/>
    <w:rsid w:val="0090211A"/>
    <w:rsid w:val="00905FD8"/>
    <w:rsid w:val="00906FF0"/>
    <w:rsid w:val="009112A3"/>
    <w:rsid w:val="009204D6"/>
    <w:rsid w:val="009314C9"/>
    <w:rsid w:val="00932EB7"/>
    <w:rsid w:val="00951E9F"/>
    <w:rsid w:val="0095408C"/>
    <w:rsid w:val="00963DF9"/>
    <w:rsid w:val="009818E0"/>
    <w:rsid w:val="0098338D"/>
    <w:rsid w:val="0098520B"/>
    <w:rsid w:val="00991033"/>
    <w:rsid w:val="0099423A"/>
    <w:rsid w:val="009A3C03"/>
    <w:rsid w:val="009B07DC"/>
    <w:rsid w:val="009B2B83"/>
    <w:rsid w:val="009B6B7D"/>
    <w:rsid w:val="009D08D1"/>
    <w:rsid w:val="009E4586"/>
    <w:rsid w:val="009F4AB1"/>
    <w:rsid w:val="00A1070D"/>
    <w:rsid w:val="00A21C44"/>
    <w:rsid w:val="00A21FA9"/>
    <w:rsid w:val="00A22B28"/>
    <w:rsid w:val="00A4136D"/>
    <w:rsid w:val="00A43096"/>
    <w:rsid w:val="00A45E69"/>
    <w:rsid w:val="00A57BC0"/>
    <w:rsid w:val="00A609C3"/>
    <w:rsid w:val="00A70013"/>
    <w:rsid w:val="00A721C5"/>
    <w:rsid w:val="00A73DF5"/>
    <w:rsid w:val="00A76985"/>
    <w:rsid w:val="00A84479"/>
    <w:rsid w:val="00A92E81"/>
    <w:rsid w:val="00A93F2F"/>
    <w:rsid w:val="00A95B3F"/>
    <w:rsid w:val="00AA034C"/>
    <w:rsid w:val="00AC1F0C"/>
    <w:rsid w:val="00AE3FC0"/>
    <w:rsid w:val="00AE4436"/>
    <w:rsid w:val="00AE6176"/>
    <w:rsid w:val="00AE6C59"/>
    <w:rsid w:val="00AF32AC"/>
    <w:rsid w:val="00AF5325"/>
    <w:rsid w:val="00B20F80"/>
    <w:rsid w:val="00B350D2"/>
    <w:rsid w:val="00B357D1"/>
    <w:rsid w:val="00B506BD"/>
    <w:rsid w:val="00B76EBC"/>
    <w:rsid w:val="00B801F2"/>
    <w:rsid w:val="00B914EB"/>
    <w:rsid w:val="00B91D24"/>
    <w:rsid w:val="00B929D3"/>
    <w:rsid w:val="00B97D19"/>
    <w:rsid w:val="00BA47DC"/>
    <w:rsid w:val="00BA6C1C"/>
    <w:rsid w:val="00BB66B4"/>
    <w:rsid w:val="00BC0097"/>
    <w:rsid w:val="00BC37A3"/>
    <w:rsid w:val="00BD2A8D"/>
    <w:rsid w:val="00BF6AD5"/>
    <w:rsid w:val="00C02BB5"/>
    <w:rsid w:val="00C12EF2"/>
    <w:rsid w:val="00C2463E"/>
    <w:rsid w:val="00C443EA"/>
    <w:rsid w:val="00C530F7"/>
    <w:rsid w:val="00C63FE5"/>
    <w:rsid w:val="00C70577"/>
    <w:rsid w:val="00C74B84"/>
    <w:rsid w:val="00C875A5"/>
    <w:rsid w:val="00CA368B"/>
    <w:rsid w:val="00CB080A"/>
    <w:rsid w:val="00CB647E"/>
    <w:rsid w:val="00CC09C2"/>
    <w:rsid w:val="00CC5606"/>
    <w:rsid w:val="00CD4563"/>
    <w:rsid w:val="00D027E6"/>
    <w:rsid w:val="00D126CF"/>
    <w:rsid w:val="00D21079"/>
    <w:rsid w:val="00D235EA"/>
    <w:rsid w:val="00D40D4A"/>
    <w:rsid w:val="00D44647"/>
    <w:rsid w:val="00D77D86"/>
    <w:rsid w:val="00DA3865"/>
    <w:rsid w:val="00DC2C3B"/>
    <w:rsid w:val="00DC5B0F"/>
    <w:rsid w:val="00DF1DFA"/>
    <w:rsid w:val="00E016D4"/>
    <w:rsid w:val="00E105B1"/>
    <w:rsid w:val="00E125E9"/>
    <w:rsid w:val="00E71579"/>
    <w:rsid w:val="00E73871"/>
    <w:rsid w:val="00E86D2B"/>
    <w:rsid w:val="00EA270A"/>
    <w:rsid w:val="00ED0006"/>
    <w:rsid w:val="00ED179A"/>
    <w:rsid w:val="00ED39B8"/>
    <w:rsid w:val="00EE060D"/>
    <w:rsid w:val="00EE2AA9"/>
    <w:rsid w:val="00F01D5E"/>
    <w:rsid w:val="00F1722E"/>
    <w:rsid w:val="00F20B63"/>
    <w:rsid w:val="00F6545F"/>
    <w:rsid w:val="00F65C2D"/>
    <w:rsid w:val="00F903BD"/>
    <w:rsid w:val="00FB68F1"/>
    <w:rsid w:val="00FC2A7C"/>
    <w:rsid w:val="00FC4FE5"/>
    <w:rsid w:val="06BA02F4"/>
    <w:rsid w:val="2A2D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7E178"/>
  <w15:chartTrackingRefBased/>
  <w15:docId w15:val="{88F034DD-BFB1-4B02-8206-177C0EF4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AA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AA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7AF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00AA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AA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0AA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D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DC4"/>
  </w:style>
  <w:style w:type="paragraph" w:styleId="Footer">
    <w:name w:val="footer"/>
    <w:basedOn w:val="Normal"/>
    <w:link w:val="FooterChar"/>
    <w:uiPriority w:val="99"/>
    <w:semiHidden/>
    <w:unhideWhenUsed/>
    <w:rsid w:val="00751D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nistero-salute/it-fse-accreditamento/blob/main/Test%20Case/Validazione/5-Referto%20di%20Medicina%20di%20Laboratorio/CDA2_Referto%20Medicina%20di%20Laboratorio_KO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nistero-salute/it-fse-accreditamento/blob/main/Test%20Case/Validazione/5-Referto%20di%20Medicina%20di%20Laboratorio/CDA2_Referto%20Medicina%20di%20Laboratorio_OK.xlsx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inistero-salute/it-fse-accreditamento/blob/main/Test%20Case/Validazione/5-Referto%20di%20Medicina%20di%20Laboratorio/casi%20di%20test%20LAB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B1AB1B-8783-4EF1-96FC-B337084AD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317A8-7B6C-4169-9884-D7F2B4ABC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ED557C-4A4D-436D-A397-3C821C480F2F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153</cp:revision>
  <dcterms:created xsi:type="dcterms:W3CDTF">2023-01-19T10:46:00Z</dcterms:created>
  <dcterms:modified xsi:type="dcterms:W3CDTF">2023-06-08T15:41:00Z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Order">
    <vt:r8>257100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