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proofErr w:type="spellStart"/>
      <w:proofErr w:type="spellEnd"/>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Police Custody</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lastRenderedPageBreak/>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did not respond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6A77" w14:textId="77777777" w:rsidR="00E55F6F" w:rsidRDefault="00E55F6F">
      <w:r>
        <w:separator/>
      </w:r>
    </w:p>
  </w:endnote>
  <w:endnote w:type="continuationSeparator" w:id="0">
    <w:p w14:paraId="374D2BE9" w14:textId="77777777" w:rsidR="00E55F6F" w:rsidRDefault="00E5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FE97C" w14:textId="77777777" w:rsidR="00E55F6F" w:rsidRDefault="00E55F6F">
      <w:r>
        <w:separator/>
      </w:r>
    </w:p>
  </w:footnote>
  <w:footnote w:type="continuationSeparator" w:id="0">
    <w:p w14:paraId="13343EE6" w14:textId="77777777" w:rsidR="00E55F6F" w:rsidRDefault="00E55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69</TotalTime>
  <Pages>8</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2022-07-14T08:45:00Z</dcterms:created>
  <dc:creator>Thompson, Emma [NOMS]</dc:creator>
  <cp:lastModifiedBy>Jack Maloney</cp:lastModifiedBy>
  <cp:lastPrinted>2018-07-03T07:14:00Z</cp:lastPrinted>
  <dcterms:modified xsi:type="dcterms:W3CDTF">2022-08-12T09:11:00Z</dcterms:modified>
  <cp:revision>9</cp:revision>
  <dc:title>Recall and Review - Part A Recall Report</dc:title>
</cp:coreProperties>
</file>