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04978BFC" w:rsidR="00AC158B" w:rsidRPr="00807873" w:rsidRDefault="00AB0E5F"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182DB1D1" w14:textId="784F6F08"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0B47D1">
        <w:rPr>
          <w:rFonts w:ascii="Arial" w:hAnsi="Arial" w:cs="Arial"/>
        </w:rPr>
        <w:fldChar w:fldCharType="begin">
          <w:ffData>
            <w:name w:val=""/>
            <w:enabled/>
            <w:calcOnExit w:val="0"/>
            <w:statusText w:type="text" w:val="senior manager authorisation  - Name:"/>
            <w:textInput>
              <w:default w:val="{{countersign_spo_name}}"/>
            </w:textInput>
          </w:ffData>
        </w:fldChar>
      </w:r>
      <w:r w:rsidR="000B47D1">
        <w:rPr>
          <w:rFonts w:ascii="Arial" w:hAnsi="Arial" w:cs="Arial"/>
        </w:rPr>
        <w:instrText xml:space="preserve"> FORMTEXT </w:instrText>
      </w:r>
      <w:r w:rsidR="000B47D1">
        <w:rPr>
          <w:rFonts w:ascii="Arial" w:hAnsi="Arial" w:cs="Arial"/>
        </w:rPr>
      </w:r>
      <w:r w:rsidR="000B47D1">
        <w:rPr>
          <w:rFonts w:ascii="Arial" w:hAnsi="Arial" w:cs="Arial"/>
        </w:rPr>
        <w:fldChar w:fldCharType="separate"/>
      </w:r>
      <w:r w:rsidR="000B47D1">
        <w:rPr>
          <w:rFonts w:ascii="Arial" w:hAnsi="Arial" w:cs="Arial"/>
          <w:noProof/>
        </w:rPr>
        <w:t>{{countersign_spo_name}}</w:t>
      </w:r>
      <w:r w:rsidR="000B47D1">
        <w:rPr>
          <w:rFonts w:ascii="Arial" w:hAnsi="Arial" w:cs="Arial"/>
        </w:rPr>
        <w:fldChar w:fldCharType="end"/>
      </w:r>
    </w:p>
    <w:p w14:paraId="2C0B55C6" w14:textId="3B84E8C3"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8C5324">
        <w:rPr>
          <w:rFonts w:ascii="Arial" w:hAnsi="Arial" w:cs="Arial"/>
          <w:bCs/>
        </w:rPr>
        <w:fldChar w:fldCharType="begin">
          <w:ffData>
            <w:name w:val=""/>
            <w:enabled/>
            <w:calcOnExit w:val="0"/>
            <w:textInput>
              <w:default w:val="{{countersign_spo_telephone}}"/>
            </w:textInput>
          </w:ffData>
        </w:fldChar>
      </w:r>
      <w:r w:rsidR="008C5324">
        <w:rPr>
          <w:rFonts w:ascii="Arial" w:hAnsi="Arial" w:cs="Arial"/>
          <w:bCs/>
        </w:rPr>
        <w:instrText xml:space="preserve"> FORMTEXT </w:instrText>
      </w:r>
      <w:r w:rsidR="008C5324">
        <w:rPr>
          <w:rFonts w:ascii="Arial" w:hAnsi="Arial" w:cs="Arial"/>
          <w:bCs/>
        </w:rPr>
      </w:r>
      <w:r w:rsidR="008C5324">
        <w:rPr>
          <w:rFonts w:ascii="Arial" w:hAnsi="Arial" w:cs="Arial"/>
          <w:bCs/>
        </w:rPr>
        <w:fldChar w:fldCharType="separate"/>
      </w:r>
      <w:r w:rsidR="008C5324">
        <w:rPr>
          <w:rFonts w:ascii="Arial" w:hAnsi="Arial" w:cs="Arial"/>
          <w:bCs/>
          <w:noProof/>
        </w:rPr>
        <w:t>{{countersign_spo_telephone}}</w:t>
      </w:r>
      <w:r w:rsidR="008C5324">
        <w:rPr>
          <w:rFonts w:ascii="Arial" w:hAnsi="Arial" w:cs="Arial"/>
          <w:bCs/>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3CFF015A"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6B31EF">
        <w:rPr>
          <w:rFonts w:ascii="Arial" w:hAnsi="Arial" w:cs="Arial"/>
        </w:rPr>
        <w:fldChar w:fldCharType="begin">
          <w:ffData>
            <w:name w:val=""/>
            <w:enabled/>
            <w:calcOnExit w:val="0"/>
            <w:statusText w:type="text" w:val="senior manager authorisation  - date:"/>
            <w:textInput>
              <w:default w:val="{{countersign_spo_date}}"/>
            </w:textInput>
          </w:ffData>
        </w:fldChar>
      </w:r>
      <w:r w:rsidR="006B31EF">
        <w:rPr>
          <w:rFonts w:ascii="Arial" w:hAnsi="Arial" w:cs="Arial"/>
        </w:rPr>
        <w:instrText xml:space="preserve"> FORMTEXT </w:instrText>
      </w:r>
      <w:r w:rsidR="006B31EF">
        <w:rPr>
          <w:rFonts w:ascii="Arial" w:hAnsi="Arial" w:cs="Arial"/>
        </w:rPr>
      </w:r>
      <w:r w:rsidR="006B31EF">
        <w:rPr>
          <w:rFonts w:ascii="Arial" w:hAnsi="Arial" w:cs="Arial"/>
        </w:rPr>
        <w:fldChar w:fldCharType="separate"/>
      </w:r>
      <w:r w:rsidR="006B31EF">
        <w:rPr>
          <w:rFonts w:ascii="Arial" w:hAnsi="Arial" w:cs="Arial"/>
          <w:noProof/>
        </w:rPr>
        <w:t>{{countersign_spo_date}}</w:t>
      </w:r>
      <w:r w:rsidR="006B31EF">
        <w:rPr>
          <w:rFonts w:ascii="Arial" w:hAnsi="Arial" w:cs="Arial"/>
        </w:rPr>
        <w:fldChar w:fldCharType="end"/>
      </w:r>
    </w:p>
    <w:p w14:paraId="5E1568BC" w14:textId="09E33C3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6B31EF">
        <w:rPr>
          <w:rFonts w:ascii="Arial" w:hAnsi="Arial" w:cs="Arial"/>
        </w:rPr>
        <w:fldChar w:fldCharType="begin">
          <w:ffData>
            <w:name w:val=""/>
            <w:enabled/>
            <w:calcOnExit w:val="0"/>
            <w:statusText w:type="text" w:val="senior manager authorisation  - time (24hr):"/>
            <w:textInput>
              <w:default w:val="{{countersign_spo_time}}"/>
            </w:textInput>
          </w:ffData>
        </w:fldChar>
      </w:r>
      <w:r w:rsidR="006B31EF">
        <w:rPr>
          <w:rFonts w:ascii="Arial" w:hAnsi="Arial" w:cs="Arial"/>
        </w:rPr>
        <w:instrText xml:space="preserve"> FORMTEXT </w:instrText>
      </w:r>
      <w:r w:rsidR="006B31EF">
        <w:rPr>
          <w:rFonts w:ascii="Arial" w:hAnsi="Arial" w:cs="Arial"/>
        </w:rPr>
      </w:r>
      <w:r w:rsidR="006B31EF">
        <w:rPr>
          <w:rFonts w:ascii="Arial" w:hAnsi="Arial" w:cs="Arial"/>
        </w:rPr>
        <w:fldChar w:fldCharType="separate"/>
      </w:r>
      <w:r w:rsidR="006B31EF">
        <w:rPr>
          <w:rFonts w:ascii="Arial" w:hAnsi="Arial" w:cs="Arial"/>
          <w:noProof/>
        </w:rPr>
        <w:t>{{countersign_spo_time}}</w:t>
      </w:r>
      <w:r w:rsidR="006B31EF">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D7EC" w14:textId="77777777" w:rsidR="00DB0503" w:rsidRDefault="00DB0503">
      <w:r>
        <w:separator/>
      </w:r>
    </w:p>
  </w:endnote>
  <w:endnote w:type="continuationSeparator" w:id="0">
    <w:p w14:paraId="65CDF961" w14:textId="77777777" w:rsidR="00DB0503" w:rsidRDefault="00DB0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41DB" w14:textId="77777777" w:rsidR="00DB0503" w:rsidRDefault="00DB0503">
      <w:r>
        <w:separator/>
      </w:r>
    </w:p>
  </w:footnote>
  <w:footnote w:type="continuationSeparator" w:id="0">
    <w:p w14:paraId="5DD9B5FB" w14:textId="77777777" w:rsidR="00DB0503" w:rsidRDefault="00DB0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5FC4"/>
    <w:rsid w:val="00897B62"/>
    <w:rsid w:val="008A16A0"/>
    <w:rsid w:val="008B06B1"/>
    <w:rsid w:val="008B2994"/>
    <w:rsid w:val="008C4704"/>
    <w:rsid w:val="008C532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B0E5F"/>
    <w:rsid w:val="00AB6D7D"/>
    <w:rsid w:val="00AC0DCC"/>
    <w:rsid w:val="00AC158B"/>
    <w:rsid w:val="00AC20C6"/>
    <w:rsid w:val="00AD2E61"/>
    <w:rsid w:val="00AD7664"/>
    <w:rsid w:val="00AE6C4B"/>
    <w:rsid w:val="00AF0AA3"/>
    <w:rsid w:val="00AF167B"/>
    <w:rsid w:val="00B0596E"/>
    <w:rsid w:val="00B075FD"/>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225</TotalTime>
  <Pages>9</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 sclater</cp:lastModifiedBy>
  <cp:revision>41</cp:revision>
  <cp:lastPrinted>2018-07-03T07:14:00Z</cp:lastPrinted>
  <dcterms:created xsi:type="dcterms:W3CDTF">2022-09-08T10:44:00Z</dcterms:created>
  <dcterms:modified xsi:type="dcterms:W3CDTF">2023-05-11T10:00:00Z</dcterms:modified>
</cp:coreProperties>
</file>