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
        <w:jc w:val="center"/>
      </w:pPr>
      <w:r>
        <w:rPr>
          <w:b/>
          <w:bCs/>
          <w:color w:val="1F3864"/>
          <w:sz w:val="40"/>
          <w:szCs w:val="40"/>
        </w:rPr>
        <w:t xml:space="preserve">Hybrid Identity — Day 3 Guide</w:t>
      </w:r>
    </w:p>
    <w:p>
      <w:pPr>
        <w:spacing w:after="220"/>
        <w:jc w:val="center"/>
      </w:pPr>
      <w:r>
        <w:rPr>
          <w:i/>
          <w:iCs/>
          <w:color w:val="595959"/>
          <w:sz w:val="24"/>
          <w:szCs w:val="24"/>
        </w:rPr>
        <w:t xml:space="preserve">On-Prem Active Directory to Microsoft Entra ID — nishant360.online Edition</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B45309" w:sz="6"/>
              <w:left w:val="single" w:color="B45309" w:sz="6"/>
              <w:bottom w:val="single" w:color="B45309" w:sz="6"/>
              <w:right w:val="single" w:color="B45309" w:sz="6"/>
            </w:tcBorders>
            <w:shd w:fill="FDF1E6" w:val="clear"/>
            <w:tcMar>
              <w:top w:type="dxa" w:w="140"/>
              <w:left w:type="dxa" w:w="180"/>
              <w:bottom w:type="dxa" w:w="140"/>
              <w:right w:type="dxa" w:w="180"/>
            </w:tcMar>
          </w:tcPr>
          <w:p>
            <w:pPr>
              <w:spacing w:after="80"/>
            </w:pPr>
            <w:r>
              <w:rPr>
                <w:b/>
                <w:bCs/>
                <w:color w:val="B45309"/>
                <w:sz w:val="22"/>
                <w:szCs w:val="22"/>
              </w:rPr>
              <w:t xml:space="preserve">Domain Change Notice</w:t>
            </w:r>
          </w:p>
          <w:p>
            <w:r>
              <w:rPr>
                <w:sz w:val="20"/>
                <w:szCs w:val="20"/>
              </w:rPr>
              <w:t xml:space="preserve">This guide replaces every use of minjtech.xyz from the earlier draft with nishant360.online — the domain actually owned in GoDaddy. minjtech.xyz cannot be used for the Entra ID custom-domain verification steps in this guide (Section 6) because ownership can't be proven for a domain that isn't actually registered to you. It can still be used as a purely internal, never-verified AD name if you ever want a lab that skips cloud verification entirely — but everything below assumes the real, ownable domain: nishant360.online.</w:t>
            </w:r>
          </w:p>
        </w:tc>
      </w:tr>
    </w:tbl>
    <w:p>
      <w:pPr>
        <w:pStyle w:val="Heading1"/>
        <w:pBdr>
          <w:bottom w:val="single" w:color="1F3864" w:sz="6" w:space="8"/>
        </w:pBdr>
        <w:spacing w:after="160" w:before="340"/>
      </w:pPr>
      <w:r>
        <w:rPr>
          <w:b/>
          <w:bCs/>
          <w:color w:val="1F3864"/>
        </w:rPr>
        <w:t xml:space="preserve">Updated Lab Values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val="clear"/>
            <w:tcMar>
              <w:top w:type="dxa" w:w="80"/>
              <w:left w:type="dxa" w:w="100"/>
              <w:bottom w:type="dxa" w:w="80"/>
              <w:right w:type="dxa" w:w="100"/>
            </w:tcMar>
          </w:tcPr>
          <w:p>
            <w:r>
              <w:rPr>
                <w:b/>
                <w:bCs/>
                <w:color w:val="FFFFFF"/>
                <w:sz w:val="19"/>
                <w:szCs w:val="19"/>
              </w:rPr>
              <w:t xml:space="preserve">Setting</w:t>
            </w:r>
          </w:p>
        </w:tc>
        <w:tc>
          <w:tcPr>
            <w:shd w:fill="1F3864" w:val="clear"/>
            <w:tcMar>
              <w:top w:type="dxa" w:w="80"/>
              <w:left w:type="dxa" w:w="100"/>
              <w:bottom w:type="dxa" w:w="80"/>
              <w:right w:type="dxa" w:w="100"/>
            </w:tcMar>
          </w:tcPr>
          <w:p>
            <w:r>
              <w:rPr>
                <w:b/>
                <w:bCs/>
                <w:color w:val="FFFFFF"/>
                <w:sz w:val="19"/>
                <w:szCs w:val="19"/>
              </w:rPr>
              <w:t xml:space="preserve">Value</w:t>
            </w:r>
          </w:p>
        </w:tc>
      </w:tr>
      <w:tr>
        <w:tc>
          <w:tcPr>
            <w:shd w:fill="FFFFFF" w:val="clear"/>
            <w:tcMar>
              <w:top w:type="dxa" w:w="80"/>
              <w:left w:type="dxa" w:w="100"/>
              <w:bottom w:type="dxa" w:w="80"/>
              <w:right w:type="dxa" w:w="100"/>
            </w:tcMar>
          </w:tcPr>
          <w:p>
            <w:r>
              <w:rPr>
                <w:b/>
                <w:bCs/>
                <w:sz w:val="18"/>
                <w:szCs w:val="18"/>
              </w:rPr>
              <w:t xml:space="preserve">Public domain (GoDaddy)</w:t>
            </w:r>
          </w:p>
        </w:tc>
        <w:tc>
          <w:tcPr>
            <w:shd w:fill="FFFFFF" w:val="clear"/>
            <w:tcMar>
              <w:top w:type="dxa" w:w="80"/>
              <w:left w:type="dxa" w:w="100"/>
              <w:bottom w:type="dxa" w:w="80"/>
              <w:right w:type="dxa" w:w="100"/>
            </w:tcMar>
          </w:tcPr>
          <w:p>
            <w:r>
              <w:rPr>
                <w:b w:val="false"/>
                <w:bCs w:val="false"/>
                <w:sz w:val="18"/>
                <w:szCs w:val="18"/>
              </w:rPr>
              <w:t xml:space="preserve">nishant360.online</w:t>
            </w:r>
          </w:p>
        </w:tc>
      </w:tr>
      <w:tr>
        <w:tc>
          <w:tcPr>
            <w:shd w:fill="F7F9FC" w:val="clear"/>
            <w:tcMar>
              <w:top w:type="dxa" w:w="80"/>
              <w:left w:type="dxa" w:w="100"/>
              <w:bottom w:type="dxa" w:w="80"/>
              <w:right w:type="dxa" w:w="100"/>
            </w:tcMar>
          </w:tcPr>
          <w:p>
            <w:r>
              <w:rPr>
                <w:b/>
                <w:bCs/>
                <w:sz w:val="18"/>
                <w:szCs w:val="18"/>
              </w:rPr>
              <w:t xml:space="preserve">AD domain</w:t>
            </w:r>
          </w:p>
        </w:tc>
        <w:tc>
          <w:tcPr>
            <w:shd w:fill="F7F9FC" w:val="clear"/>
            <w:tcMar>
              <w:top w:type="dxa" w:w="80"/>
              <w:left w:type="dxa" w:w="100"/>
              <w:bottom w:type="dxa" w:w="80"/>
              <w:right w:type="dxa" w:w="100"/>
            </w:tcMar>
          </w:tcPr>
          <w:p>
            <w:r>
              <w:rPr>
                <w:b w:val="false"/>
                <w:bCs w:val="false"/>
                <w:sz w:val="18"/>
                <w:szCs w:val="18"/>
              </w:rPr>
              <w:t xml:space="preserve">nishant360.online (bare — matches the public domain, see Section 3)</w:t>
            </w:r>
          </w:p>
        </w:tc>
      </w:tr>
      <w:tr>
        <w:tc>
          <w:tcPr>
            <w:shd w:fill="FFFFFF" w:val="clear"/>
            <w:tcMar>
              <w:top w:type="dxa" w:w="80"/>
              <w:left w:type="dxa" w:w="100"/>
              <w:bottom w:type="dxa" w:w="80"/>
              <w:right w:type="dxa" w:w="100"/>
            </w:tcMar>
          </w:tcPr>
          <w:p>
            <w:r>
              <w:rPr>
                <w:b/>
                <w:bCs/>
                <w:sz w:val="18"/>
                <w:szCs w:val="18"/>
              </w:rPr>
              <w:t xml:space="preserve">NetBIOS name</w:t>
            </w:r>
          </w:p>
        </w:tc>
        <w:tc>
          <w:tcPr>
            <w:shd w:fill="FFFFFF" w:val="clear"/>
            <w:tcMar>
              <w:top w:type="dxa" w:w="80"/>
              <w:left w:type="dxa" w:w="100"/>
              <w:bottom w:type="dxa" w:w="80"/>
              <w:right w:type="dxa" w:w="100"/>
            </w:tcMar>
          </w:tcPr>
          <w:p>
            <w:r>
              <w:rPr>
                <w:b w:val="false"/>
                <w:bCs w:val="false"/>
                <w:sz w:val="18"/>
                <w:szCs w:val="18"/>
              </w:rPr>
              <w:t xml:space="preserve">NISHANT360</w:t>
            </w:r>
          </w:p>
        </w:tc>
      </w:tr>
      <w:tr>
        <w:tc>
          <w:tcPr>
            <w:shd w:fill="F7F9FC" w:val="clear"/>
            <w:tcMar>
              <w:top w:type="dxa" w:w="80"/>
              <w:left w:type="dxa" w:w="100"/>
              <w:bottom w:type="dxa" w:w="80"/>
              <w:right w:type="dxa" w:w="100"/>
            </w:tcMar>
          </w:tcPr>
          <w:p>
            <w:r>
              <w:rPr>
                <w:b/>
                <w:bCs/>
                <w:sz w:val="18"/>
                <w:szCs w:val="18"/>
              </w:rPr>
              <w:t xml:space="preserve">Resource Group</w:t>
            </w:r>
          </w:p>
        </w:tc>
        <w:tc>
          <w:tcPr>
            <w:shd w:fill="F7F9FC" w:val="clear"/>
            <w:tcMar>
              <w:top w:type="dxa" w:w="80"/>
              <w:left w:type="dxa" w:w="100"/>
              <w:bottom w:type="dxa" w:w="80"/>
              <w:right w:type="dxa" w:w="100"/>
            </w:tcMar>
          </w:tcPr>
          <w:p>
            <w:r>
              <w:rPr>
                <w:b w:val="false"/>
                <w:bCs w:val="false"/>
                <w:sz w:val="18"/>
                <w:szCs w:val="18"/>
              </w:rPr>
              <w:t xml:space="preserve">rg-nishant360-hybrid-id</w:t>
            </w:r>
          </w:p>
        </w:tc>
      </w:tr>
      <w:tr>
        <w:tc>
          <w:tcPr>
            <w:shd w:fill="FFFFFF" w:val="clear"/>
            <w:tcMar>
              <w:top w:type="dxa" w:w="80"/>
              <w:left w:type="dxa" w:w="100"/>
              <w:bottom w:type="dxa" w:w="80"/>
              <w:right w:type="dxa" w:w="100"/>
            </w:tcMar>
          </w:tcPr>
          <w:p>
            <w:r>
              <w:rPr>
                <w:b/>
                <w:bCs/>
                <w:sz w:val="18"/>
                <w:szCs w:val="18"/>
              </w:rPr>
              <w:t xml:space="preserve">VNet</w:t>
            </w:r>
          </w:p>
        </w:tc>
        <w:tc>
          <w:tcPr>
            <w:shd w:fill="FFFFFF" w:val="clear"/>
            <w:tcMar>
              <w:top w:type="dxa" w:w="80"/>
              <w:left w:type="dxa" w:w="100"/>
              <w:bottom w:type="dxa" w:w="80"/>
              <w:right w:type="dxa" w:w="100"/>
            </w:tcMar>
          </w:tcPr>
          <w:p>
            <w:r>
              <w:rPr>
                <w:b w:val="false"/>
                <w:bCs w:val="false"/>
                <w:sz w:val="18"/>
                <w:szCs w:val="18"/>
              </w:rPr>
              <w:t xml:space="preserve">vnet-nishant360-hybrid (10.10.0.0/16)</w:t>
            </w:r>
          </w:p>
        </w:tc>
      </w:tr>
      <w:tr>
        <w:tc>
          <w:tcPr>
            <w:shd w:fill="F7F9FC" w:val="clear"/>
            <w:tcMar>
              <w:top w:type="dxa" w:w="80"/>
              <w:left w:type="dxa" w:w="100"/>
              <w:bottom w:type="dxa" w:w="80"/>
              <w:right w:type="dxa" w:w="100"/>
            </w:tcMar>
          </w:tcPr>
          <w:p>
            <w:r>
              <w:rPr>
                <w:b/>
                <w:bCs/>
                <w:sz w:val="18"/>
                <w:szCs w:val="18"/>
              </w:rPr>
              <w:t xml:space="preserve">Domain Controller</w:t>
            </w:r>
          </w:p>
        </w:tc>
        <w:tc>
          <w:tcPr>
            <w:shd w:fill="F7F9FC" w:val="clear"/>
            <w:tcMar>
              <w:top w:type="dxa" w:w="80"/>
              <w:left w:type="dxa" w:w="100"/>
              <w:bottom w:type="dxa" w:w="80"/>
              <w:right w:type="dxa" w:w="100"/>
            </w:tcMar>
          </w:tcPr>
          <w:p>
            <w:r>
              <w:rPr>
                <w:b w:val="false"/>
                <w:bCs w:val="false"/>
                <w:sz w:val="18"/>
                <w:szCs w:val="18"/>
              </w:rPr>
              <w:t xml:space="preserve">app010w001 — 10.10.1.10</w:t>
            </w:r>
          </w:p>
        </w:tc>
      </w:tr>
      <w:tr>
        <w:tc>
          <w:tcPr>
            <w:shd w:fill="FFFFFF" w:val="clear"/>
            <w:tcMar>
              <w:top w:type="dxa" w:w="80"/>
              <w:left w:type="dxa" w:w="100"/>
              <w:bottom w:type="dxa" w:w="80"/>
              <w:right w:type="dxa" w:w="100"/>
            </w:tcMar>
          </w:tcPr>
          <w:p>
            <w:r>
              <w:rPr>
                <w:b/>
                <w:bCs/>
                <w:sz w:val="18"/>
                <w:szCs w:val="18"/>
              </w:rPr>
              <w:t xml:space="preserve">Entra Connect server</w:t>
            </w:r>
          </w:p>
        </w:tc>
        <w:tc>
          <w:tcPr>
            <w:shd w:fill="FFFFFF" w:val="clear"/>
            <w:tcMar>
              <w:top w:type="dxa" w:w="80"/>
              <w:left w:type="dxa" w:w="100"/>
              <w:bottom w:type="dxa" w:w="80"/>
              <w:right w:type="dxa" w:w="100"/>
            </w:tcMar>
          </w:tcPr>
          <w:p>
            <w:r>
              <w:rPr>
                <w:b w:val="false"/>
                <w:bCs w:val="false"/>
                <w:sz w:val="18"/>
                <w:szCs w:val="18"/>
              </w:rPr>
              <w:t xml:space="preserve">AADCONNECT01 — 10.10.1.20</w:t>
            </w:r>
          </w:p>
        </w:tc>
      </w:tr>
      <w:tr>
        <w:tc>
          <w:tcPr>
            <w:shd w:fill="F7F9FC" w:val="clear"/>
            <w:tcMar>
              <w:top w:type="dxa" w:w="80"/>
              <w:left w:type="dxa" w:w="100"/>
              <w:bottom w:type="dxa" w:w="80"/>
              <w:right w:type="dxa" w:w="100"/>
            </w:tcMar>
          </w:tcPr>
          <w:p>
            <w:r>
              <w:rPr>
                <w:b/>
                <w:bCs/>
                <w:sz w:val="18"/>
                <w:szCs w:val="18"/>
              </w:rPr>
              <w:t xml:space="preserve">Test client</w:t>
            </w:r>
          </w:p>
        </w:tc>
        <w:tc>
          <w:tcPr>
            <w:shd w:fill="F7F9FC" w:val="clear"/>
            <w:tcMar>
              <w:top w:type="dxa" w:w="80"/>
              <w:left w:type="dxa" w:w="100"/>
              <w:bottom w:type="dxa" w:w="80"/>
              <w:right w:type="dxa" w:w="100"/>
            </w:tcMar>
          </w:tcPr>
          <w:p>
            <w:r>
              <w:rPr>
                <w:b w:val="false"/>
                <w:bCs w:val="false"/>
                <w:sz w:val="18"/>
                <w:szCs w:val="18"/>
              </w:rPr>
              <w:t xml:space="preserve">CLIENT01 — 10.10.2.10</w:t>
            </w:r>
          </w:p>
        </w:tc>
      </w:tr>
      <w:tr>
        <w:tc>
          <w:tcPr>
            <w:shd w:fill="FFFFFF" w:val="clear"/>
            <w:tcMar>
              <w:top w:type="dxa" w:w="80"/>
              <w:left w:type="dxa" w:w="100"/>
              <w:bottom w:type="dxa" w:w="80"/>
              <w:right w:type="dxa" w:w="100"/>
            </w:tcMar>
          </w:tcPr>
          <w:p>
            <w:r>
              <w:rPr>
                <w:b/>
                <w:bCs/>
                <w:sz w:val="18"/>
                <w:szCs w:val="18"/>
              </w:rPr>
              <w:t xml:space="preserve">Build method</w:t>
            </w:r>
          </w:p>
        </w:tc>
        <w:tc>
          <w:tcPr>
            <w:shd w:fill="FFFFFF" w:val="clear"/>
            <w:tcMar>
              <w:top w:type="dxa" w:w="80"/>
              <w:left w:type="dxa" w:w="100"/>
              <w:bottom w:type="dxa" w:w="80"/>
              <w:right w:type="dxa" w:w="100"/>
            </w:tcMar>
          </w:tcPr>
          <w:p>
            <w:r>
              <w:rPr>
                <w:b w:val="false"/>
                <w:bCs w:val="false"/>
                <w:sz w:val="18"/>
                <w:szCs w:val="18"/>
              </w:rPr>
              <w:t xml:space="preserve">C:\Scripts\Setup-ADDS-DNS.ps1 ($DomainName = "nishant360.online", $NetbiosName = "NISHANT360")</w:t>
            </w:r>
          </w:p>
        </w:tc>
      </w:tr>
    </w:tbl>
    <w:p>
      <w:pPr>
        <w:spacing w:after="140"/>
      </w:pPr>
      <w:r>
        <w:rPr>
          <w:i/>
          <w:iCs/>
          <w:color w:val="808080"/>
          <w:sz w:val="20"/>
          <w:szCs w:val="20"/>
        </w:rPr>
        <w:t xml:space="preserve">All IPs and names are lab values — change them to match your own environment.</w:t>
      </w:r>
    </w:p>
    <w:p>
      <w:pPr>
        <w:pStyle w:val="Heading1"/>
        <w:pBdr>
          <w:bottom w:val="single" w:color="1F3864" w:sz="6" w:space="8"/>
        </w:pBdr>
        <w:spacing w:after="160" w:before="340"/>
      </w:pPr>
      <w:r>
        <w:rPr>
          <w:b/>
          <w:bCs/>
          <w:color w:val="1F3864"/>
        </w:rPr>
        <w:t xml:space="preserve">1. What Is Hybrid Identity?</w:t>
      </w:r>
    </w:p>
    <w:p>
      <w:pPr>
        <w:spacing w:after="140"/>
      </w:pPr>
      <w:r>
        <w:t xml:space="preserve">On-prem Active Directory stays the source of truth for user accounts. Microsoft Entra Connect continuously copies (synchronizes) those accounts into Microsoft Entra ID, so one identity — nishant@nishant360.online — works for both office logins and cloud apps like Microsoft 365. This lab uses Password Hash Synchronization (PHS): Entra ID can authenticate users even if the on-prem network or app010w001 is temporarily down, and it's the simplest method to deploy and operate.</w:t>
      </w:r>
    </w:p>
    <w:p>
      <w:pPr>
        <w:spacing w:after="200" w:before="100"/>
        <w:jc w:val="center"/>
      </w:pPr>
      <w:r>
        <w:drawing>
          <wp:inline distT="0" distB="0" distL="0" distR="0">
            <wp:extent cx="4476750" cy="58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5810250"/>
                    </a:xfrm>
                    <a:prstGeom prst="rect">
                      <a:avLst/>
                    </a:prstGeom>
                  </pic:spPr>
                </pic:pic>
              </a:graphicData>
            </a:graphic>
          </wp:inline>
        </w:drawing>
      </w:r>
    </w:p>
    <w:p>
      <w:pPr>
        <w:pStyle w:val="Heading1"/>
        <w:pBdr>
          <w:bottom w:val="single" w:color="1F3864" w:sz="6" w:space="8"/>
        </w:pBdr>
        <w:spacing w:after="160" w:before="340"/>
      </w:pPr>
      <w:r>
        <w:rPr>
          <w:b/>
          <w:bCs/>
          <w:color w:val="1F3864"/>
        </w:rPr>
        <w:t xml:space="preserve">2. Lab Network Architecture</w:t>
      </w:r>
    </w:p>
    <w:p>
      <w:pPr>
        <w:spacing w:after="140"/>
      </w:pPr>
      <w:r>
        <w:t xml:space="preserve">A mini version of a real company network, entirely inside Azure. app010w001 is the Domain Controller (AD DS + DNS). AADCONNECT01 is kept on a separate VM deliberately, so an Entra Connect issue never affects core domain services. CLIENT01 is optional, for testing real sign-in and SSO.</w:t>
      </w:r>
    </w:p>
    <w:p>
      <w:pPr>
        <w:spacing w:after="200" w:before="100"/>
        <w:jc w:val="center"/>
      </w:pPr>
      <w:r>
        <w:drawing>
          <wp:inline distT="0" distB="0" distL="0" distR="0">
            <wp:extent cx="4762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333750"/>
                    </a:xfrm>
                    <a:prstGeom prst="rect">
                      <a:avLst/>
                    </a:prstGeom>
                  </pic:spPr>
                </pic:pic>
              </a:graphicData>
            </a:graphic>
          </wp:inline>
        </w:drawing>
      </w:r>
    </w:p>
    <w:p>
      <w:pPr>
        <w:pStyle w:val="Heading2"/>
        <w:spacing w:after="100" w:before="240"/>
      </w:pPr>
      <w:r>
        <w:rPr>
          <w:b/>
          <w:bCs/>
          <w:color w:val="2E5AAC"/>
        </w:rPr>
        <w:t xml:space="preserve">Portal navigation — create the network foundation</w:t>
      </w:r>
    </w:p>
    <w:p>
      <w:pPr>
        <w:pStyle w:val="ListParagraph"/>
        <w:numPr>
          <w:ilvl w:val="0"/>
          <w:numId w:val="2"/>
        </w:numPr>
        <w:spacing w:after="70"/>
      </w:pPr>
      <w:r>
        <w:t xml:space="preserve">portal.azure.com → Resource groups → + Create → rg-nishant360-hybrid-id → pick a region → Review + create</w:t>
      </w:r>
    </w:p>
    <w:p>
      <w:pPr>
        <w:pStyle w:val="ListParagraph"/>
        <w:numPr>
          <w:ilvl w:val="0"/>
          <w:numId w:val="2"/>
        </w:numPr>
        <w:spacing w:after="70"/>
      </w:pPr>
      <w:r>
        <w:t xml:space="preserve">Virtual networks → + Create → Resource group = rg-nishant360-hybrid-id → Name = vnet-nishant360-hybrid → IPv4 address space = 10.10.0.0/16</w:t>
      </w:r>
    </w:p>
    <w:p>
      <w:pPr>
        <w:pStyle w:val="ListParagraph"/>
        <w:numPr>
          <w:ilvl w:val="0"/>
          <w:numId w:val="2"/>
        </w:numPr>
        <w:spacing w:after="70"/>
      </w:pPr>
      <w:r>
        <w:t xml:space="preserve">IP Addresses tab → + Add subnet → subnet-domain (10.10.1.0/24) → Add another subnet → subnet-management (10.10.2.0/24) → Review + create</w:t>
      </w:r>
    </w:p>
    <w:p>
      <w:pPr>
        <w:pStyle w:val="ListParagraph"/>
        <w:numPr>
          <w:ilvl w:val="0"/>
          <w:numId w:val="2"/>
        </w:numPr>
        <w:spacing w:after="70"/>
      </w:pPr>
      <w:r>
        <w:t xml:space="preserve">Network security groups → + Create → nsg-nishant360-hybrid → associate it to subnet-management after creation</w:t>
      </w:r>
    </w:p>
    <w:p>
      <w:pPr>
        <w:pStyle w:val="Heading1"/>
        <w:pBdr>
          <w:bottom w:val="single" w:color="1F3864" w:sz="6" w:space="8"/>
        </w:pBdr>
        <w:spacing w:after="160" w:before="340"/>
      </w:pPr>
      <w:r>
        <w:rPr>
          <w:b/>
          <w:bCs/>
          <w:color w:val="1F3864"/>
        </w:rPr>
        <w:t xml:space="preserve">3. Domain Naming Decision — Why the Bare Domain</w:t>
      </w:r>
    </w:p>
    <w:p>
      <w:pPr>
        <w:spacing w:after="140"/>
      </w:pPr>
      <w:r>
        <w:t xml:space="preserve">The options, same trade-offs as before, now against the domain you actually own:</w:t>
      </w:r>
    </w:p>
    <w:p>
      <w:pPr>
        <w:pStyle w:val="ListParagraph"/>
        <w:numPr>
          <w:ilvl w:val="0"/>
          <w:numId w:val="3"/>
        </w:numPr>
        <w:spacing w:after="70"/>
      </w:pPr>
      <w:r>
        <w:t xml:space="preserve">nishant360.online (bare, same as public domain) — SELECTED. Simplest: one less moving part, every login is already a clean nishant@nishant360.online with zero extra UPN configuration. This is what Setup-ADDS-DNS.ps1 deploys.</w:t>
      </w:r>
    </w:p>
    <w:p>
      <w:pPr>
        <w:pStyle w:val="ListParagraph"/>
        <w:numPr>
          <w:ilvl w:val="0"/>
          <w:numId w:val="3"/>
        </w:numPr>
        <w:spacing w:after="70"/>
      </w:pPr>
      <w:r>
        <w:t xml:space="preserve">ad.nishant360.online (subdomain) — cleaner public/private DNS separation, at the cost of one extra UPN suffix configuration step. Equally valid if you'd rather isolate the AD namespace from the internet-facing one.</w:t>
      </w:r>
    </w:p>
    <w:p>
      <w:pPr>
        <w:pStyle w:val="ListParagraph"/>
        <w:numPr>
          <w:ilvl w:val="0"/>
          <w:numId w:val="3"/>
        </w:numPr>
        <w:spacing w:after="70"/>
      </w:pPr>
      <w:r>
        <w:t xml:space="preserve">nishant360.local — avoid. Non-routable, breaks certificate issuance, and Microsoft no longer recommends .local for new builds.</w:t>
      </w:r>
    </w:p>
    <w:p>
      <w:pPr>
        <w:spacing w:after="140"/>
      </w:pPr>
      <w:r>
        <w:t xml:space="preserve">If you later want stricter public/private separation, moving to a subdomain is a forest rebuild, not a simple rename — worth deciding deliberately, which is why this trade-off is called out explicitly rather than assumed.</w:t>
      </w:r>
    </w:p>
    <w:p>
      <w:pPr>
        <w:pStyle w:val="Heading1"/>
        <w:pBdr>
          <w:bottom w:val="single" w:color="1F3864" w:sz="6" w:space="8"/>
        </w:pBdr>
        <w:spacing w:after="160" w:before="340"/>
      </w:pPr>
      <w:r>
        <w:rPr>
          <w:b/>
          <w:bCs/>
          <w:color w:val="1F3864"/>
        </w:rPr>
        <w:t xml:space="preserve">4. Public DNS (GoDaddy) vs Private AD DNS</w:t>
      </w:r>
    </w:p>
    <w:p>
      <w:pPr>
        <w:spacing w:after="140"/>
      </w:pPr>
      <w:r>
        <w:t xml:space="preserve">You own nishant360.online through GoDaddy. Public DNS there is for things the whole internet needs to find (a website, mail routing, and — critically — the one TXT record that proves ownership to Entra ID). Private AD DNS, hosted on app010w001, is for things only the internal network needs (domain controllers, LDAP, Kerberos SRV records like _ldap._tcp.dc._msdcs.nishant360.online). Never publish internal AD records in GoDaddy — that exposes internal infrastructure to the internet.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val="clear"/>
            <w:tcMar>
              <w:top w:type="dxa" w:w="80"/>
              <w:left w:type="dxa" w:w="100"/>
              <w:bottom w:type="dxa" w:w="80"/>
              <w:right w:type="dxa" w:w="100"/>
            </w:tcMar>
          </w:tcPr>
          <w:p>
            <w:r>
              <w:rPr>
                <w:b/>
                <w:bCs/>
                <w:color w:val="FFFFFF"/>
                <w:sz w:val="19"/>
                <w:szCs w:val="19"/>
              </w:rPr>
              <w:t xml:space="preserve"/>
            </w:r>
          </w:p>
        </w:tc>
        <w:tc>
          <w:tcPr>
            <w:shd w:fill="1F3864" w:val="clear"/>
            <w:tcMar>
              <w:top w:type="dxa" w:w="80"/>
              <w:left w:type="dxa" w:w="100"/>
              <w:bottom w:type="dxa" w:w="80"/>
              <w:right w:type="dxa" w:w="100"/>
            </w:tcMar>
          </w:tcPr>
          <w:p>
            <w:r>
              <w:rPr>
                <w:b/>
                <w:bCs/>
                <w:color w:val="FFFFFF"/>
                <w:sz w:val="19"/>
                <w:szCs w:val="19"/>
              </w:rPr>
              <w:t xml:space="preserve">Public DNS (GoDaddy)</w:t>
            </w:r>
          </w:p>
        </w:tc>
        <w:tc>
          <w:tcPr>
            <w:shd w:fill="1F3864" w:val="clear"/>
            <w:tcMar>
              <w:top w:type="dxa" w:w="80"/>
              <w:left w:type="dxa" w:w="100"/>
              <w:bottom w:type="dxa" w:w="80"/>
              <w:right w:type="dxa" w:w="100"/>
            </w:tcMar>
          </w:tcPr>
          <w:p>
            <w:r>
              <w:rPr>
                <w:b/>
                <w:bCs/>
                <w:color w:val="FFFFFF"/>
                <w:sz w:val="19"/>
                <w:szCs w:val="19"/>
              </w:rPr>
              <w:t xml:space="preserve">Private AD DNS (app010w001)</w:t>
            </w:r>
          </w:p>
        </w:tc>
      </w:tr>
      <w:tr>
        <w:tc>
          <w:tcPr>
            <w:shd w:fill="FFFFFF" w:val="clear"/>
            <w:tcMar>
              <w:top w:type="dxa" w:w="80"/>
              <w:left w:type="dxa" w:w="100"/>
              <w:bottom w:type="dxa" w:w="80"/>
              <w:right w:type="dxa" w:w="100"/>
            </w:tcMar>
          </w:tcPr>
          <w:p>
            <w:r>
              <w:rPr>
                <w:b/>
                <w:bCs/>
                <w:sz w:val="18"/>
                <w:szCs w:val="18"/>
              </w:rPr>
              <w:t xml:space="preserve">Records live here</w:t>
            </w:r>
          </w:p>
        </w:tc>
        <w:tc>
          <w:tcPr>
            <w:shd w:fill="FFFFFF" w:val="clear"/>
            <w:tcMar>
              <w:top w:type="dxa" w:w="80"/>
              <w:left w:type="dxa" w:w="100"/>
              <w:bottom w:type="dxa" w:w="80"/>
              <w:right w:type="dxa" w:w="100"/>
            </w:tcMar>
          </w:tcPr>
          <w:p>
            <w:r>
              <w:rPr>
                <w:b w:val="false"/>
                <w:bCs w:val="false"/>
                <w:sz w:val="18"/>
                <w:szCs w:val="18"/>
              </w:rPr>
              <w:t xml:space="preserve">MX, TXT (verification), website A/CNAME</w:t>
            </w:r>
          </w:p>
        </w:tc>
        <w:tc>
          <w:tcPr>
            <w:shd w:fill="FFFFFF" w:val="clear"/>
            <w:tcMar>
              <w:top w:type="dxa" w:w="80"/>
              <w:left w:type="dxa" w:w="100"/>
              <w:bottom w:type="dxa" w:w="80"/>
              <w:right w:type="dxa" w:w="100"/>
            </w:tcMar>
          </w:tcPr>
          <w:p>
            <w:r>
              <w:rPr>
                <w:b w:val="false"/>
                <w:bCs w:val="false"/>
                <w:sz w:val="18"/>
                <w:szCs w:val="18"/>
              </w:rPr>
              <w:t xml:space="preserve">_ldap, _kerberos SRV, A, PTR (internal only)</w:t>
            </w:r>
          </w:p>
        </w:tc>
      </w:tr>
      <w:tr>
        <w:tc>
          <w:tcPr>
            <w:shd w:fill="F7F9FC" w:val="clear"/>
            <w:tcMar>
              <w:top w:type="dxa" w:w="80"/>
              <w:left w:type="dxa" w:w="100"/>
              <w:bottom w:type="dxa" w:w="80"/>
              <w:right w:type="dxa" w:w="100"/>
            </w:tcMar>
          </w:tcPr>
          <w:p>
            <w:r>
              <w:rPr>
                <w:b/>
                <w:bCs/>
                <w:sz w:val="18"/>
                <w:szCs w:val="18"/>
              </w:rPr>
              <w:t xml:space="preserve">Who queries it</w:t>
            </w:r>
          </w:p>
        </w:tc>
        <w:tc>
          <w:tcPr>
            <w:shd w:fill="F7F9FC" w:val="clear"/>
            <w:tcMar>
              <w:top w:type="dxa" w:w="80"/>
              <w:left w:type="dxa" w:w="100"/>
              <w:bottom w:type="dxa" w:w="80"/>
              <w:right w:type="dxa" w:w="100"/>
            </w:tcMar>
          </w:tcPr>
          <w:p>
            <w:r>
              <w:rPr>
                <w:b w:val="false"/>
                <w:bCs w:val="false"/>
                <w:sz w:val="18"/>
                <w:szCs w:val="18"/>
              </w:rPr>
              <w:t xml:space="preserve">Anyone on the internet</w:t>
            </w:r>
          </w:p>
        </w:tc>
        <w:tc>
          <w:tcPr>
            <w:shd w:fill="F7F9FC" w:val="clear"/>
            <w:tcMar>
              <w:top w:type="dxa" w:w="80"/>
              <w:left w:type="dxa" w:w="100"/>
              <w:bottom w:type="dxa" w:w="80"/>
              <w:right w:type="dxa" w:w="100"/>
            </w:tcMar>
          </w:tcPr>
          <w:p>
            <w:r>
              <w:rPr>
                <w:b w:val="false"/>
                <w:bCs w:val="false"/>
                <w:sz w:val="18"/>
                <w:szCs w:val="18"/>
              </w:rPr>
              <w:t xml:space="preserve">Only devices inside the VNet</w:t>
            </w:r>
          </w:p>
        </w:tc>
      </w:tr>
      <w:tr>
        <w:tc>
          <w:tcPr>
            <w:shd w:fill="FFFFFF" w:val="clear"/>
            <w:tcMar>
              <w:top w:type="dxa" w:w="80"/>
              <w:left w:type="dxa" w:w="100"/>
              <w:bottom w:type="dxa" w:w="80"/>
              <w:right w:type="dxa" w:w="100"/>
            </w:tcMar>
          </w:tcPr>
          <w:p>
            <w:r>
              <w:rPr>
                <w:b/>
                <w:bCs/>
                <w:sz w:val="18"/>
                <w:szCs w:val="18"/>
              </w:rPr>
              <w:t xml:space="preserve">Never put here</w:t>
            </w:r>
          </w:p>
        </w:tc>
        <w:tc>
          <w:tcPr>
            <w:shd w:fill="FFFFFF" w:val="clear"/>
            <w:tcMar>
              <w:top w:type="dxa" w:w="80"/>
              <w:left w:type="dxa" w:w="100"/>
              <w:bottom w:type="dxa" w:w="80"/>
              <w:right w:type="dxa" w:w="100"/>
            </w:tcMar>
          </w:tcPr>
          <w:p>
            <w:r>
              <w:rPr>
                <w:b w:val="false"/>
                <w:bCs w:val="false"/>
                <w:sz w:val="18"/>
                <w:szCs w:val="18"/>
              </w:rPr>
              <w:t xml:space="preserve">Any internal AD/domain-controller record</w:t>
            </w:r>
          </w:p>
        </w:tc>
        <w:tc>
          <w:tcPr>
            <w:shd w:fill="FFFFFF" w:val="clear"/>
            <w:tcMar>
              <w:top w:type="dxa" w:w="80"/>
              <w:left w:type="dxa" w:w="100"/>
              <w:bottom w:type="dxa" w:w="80"/>
              <w:right w:type="dxa" w:w="100"/>
            </w:tcMar>
          </w:tcPr>
          <w:p>
            <w:r>
              <w:rPr>
                <w:b w:val="false"/>
                <w:bCs w:val="false"/>
                <w:sz w:val="18"/>
                <w:szCs w:val="18"/>
              </w:rPr>
              <w:t xml:space="preserve">Anything the public internet needs</w:t>
            </w:r>
          </w:p>
        </w:tc>
      </w:tr>
    </w:tbl>
    <w:p>
      <w:r>
        <w:br w:type="page"/>
      </w:r>
    </w:p>
    <w:p>
      <w:pPr>
        <w:pStyle w:val="Heading1"/>
        <w:pBdr>
          <w:bottom w:val="single" w:color="1F3864" w:sz="6" w:space="8"/>
        </w:pBdr>
        <w:spacing w:after="160" w:before="340"/>
      </w:pPr>
      <w:r>
        <w:rPr>
          <w:b/>
          <w:bCs/>
          <w:color w:val="1F3864"/>
        </w:rPr>
        <w:t xml:space="preserve">5. Build app010w001 — What the Script Actually Does</w:t>
      </w:r>
    </w:p>
    <w:p>
      <w:pPr>
        <w:spacing w:after="140"/>
      </w:pPr>
      <w:r>
        <w:t xml:space="preserve">app010w001 was built with C:\Scripts\Setup-ADDS-DNS.ps1 rather than the manual Server Manager wizards — a single unattended, reboot-resilient script. It writes progress to SetupStage.txt before anything that reboots, and a scheduled task (ADSetupContinuation) re-launches it at every startup until setup finishes.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1F3864" w:val="clear"/>
            <w:tcMar>
              <w:top w:type="dxa" w:w="80"/>
              <w:left w:type="dxa" w:w="100"/>
              <w:bottom w:type="dxa" w:w="80"/>
              <w:right w:type="dxa" w:w="100"/>
            </w:tcMar>
          </w:tcPr>
          <w:p>
            <w:r>
              <w:rPr>
                <w:b/>
                <w:bCs/>
                <w:color w:val="FFFFFF"/>
                <w:sz w:val="19"/>
                <w:szCs w:val="19"/>
              </w:rPr>
              <w:t xml:space="preserve">Stage</w:t>
            </w:r>
          </w:p>
        </w:tc>
        <w:tc>
          <w:tcPr>
            <w:shd w:fill="1F3864" w:val="clear"/>
            <w:tcMar>
              <w:top w:type="dxa" w:w="80"/>
              <w:left w:type="dxa" w:w="100"/>
              <w:bottom w:type="dxa" w:w="80"/>
              <w:right w:type="dxa" w:w="100"/>
            </w:tcMar>
          </w:tcPr>
          <w:p>
            <w:r>
              <w:rPr>
                <w:b/>
                <w:bCs/>
                <w:color w:val="FFFFFF"/>
                <w:sz w:val="19"/>
                <w:szCs w:val="19"/>
              </w:rPr>
              <w:t xml:space="preserve">What it does</w:t>
            </w:r>
          </w:p>
        </w:tc>
      </w:tr>
      <w:tr>
        <w:tc>
          <w:tcPr>
            <w:shd w:fill="FFFFFF" w:val="clear"/>
            <w:tcMar>
              <w:top w:type="dxa" w:w="80"/>
              <w:left w:type="dxa" w:w="100"/>
              <w:bottom w:type="dxa" w:w="80"/>
              <w:right w:type="dxa" w:w="100"/>
            </w:tcMar>
          </w:tcPr>
          <w:p>
            <w:r>
              <w:rPr>
                <w:b/>
                <w:bCs/>
                <w:sz w:val="18"/>
                <w:szCs w:val="18"/>
              </w:rPr>
              <w:t xml:space="preserve">1</w:t>
            </w:r>
          </w:p>
        </w:tc>
        <w:tc>
          <w:tcPr>
            <w:shd w:fill="FFFFFF" w:val="clear"/>
            <w:tcMar>
              <w:top w:type="dxa" w:w="80"/>
              <w:left w:type="dxa" w:w="100"/>
              <w:bottom w:type="dxa" w:w="80"/>
              <w:right w:type="dxa" w:w="100"/>
            </w:tcMar>
          </w:tcPr>
          <w:p>
            <w:r>
              <w:rPr>
                <w:b w:val="false"/>
                <w:bCs w:val="false"/>
                <w:sz w:val="18"/>
                <w:szCs w:val="18"/>
              </w:rPr>
              <w:t xml:space="preserve">Renames to app010w001 (skips cleanly if already named correctly).</w:t>
            </w:r>
          </w:p>
        </w:tc>
      </w:tr>
      <w:tr>
        <w:tc>
          <w:tcPr>
            <w:shd w:fill="F7F9FC" w:val="clear"/>
            <w:tcMar>
              <w:top w:type="dxa" w:w="80"/>
              <w:left w:type="dxa" w:w="100"/>
              <w:bottom w:type="dxa" w:w="80"/>
              <w:right w:type="dxa" w:w="100"/>
            </w:tcMar>
          </w:tcPr>
          <w:p>
            <w:r>
              <w:rPr>
                <w:b/>
                <w:bCs/>
                <w:sz w:val="18"/>
                <w:szCs w:val="18"/>
              </w:rPr>
              <w:t xml:space="preserve">2</w:t>
            </w:r>
          </w:p>
        </w:tc>
        <w:tc>
          <w:tcPr>
            <w:shd w:fill="F7F9FC" w:val="clear"/>
            <w:tcMar>
              <w:top w:type="dxa" w:w="80"/>
              <w:left w:type="dxa" w:w="100"/>
              <w:bottom w:type="dxa" w:w="80"/>
              <w:right w:type="dxa" w:w="100"/>
            </w:tcMar>
          </w:tcPr>
          <w:p>
            <w:r>
              <w:rPr>
                <w:b w:val="false"/>
                <w:bCs w:val="false"/>
                <w:sz w:val="18"/>
                <w:szCs w:val="18"/>
              </w:rPr>
              <w:t xml:space="preserve">Ensures a local Administrator account exists, is enabled, is in the Administrators group, and has its password set — via ADSI/WMI, not the LocalAccounts module.</w:t>
            </w:r>
          </w:p>
        </w:tc>
      </w:tr>
      <w:tr>
        <w:tc>
          <w:tcPr>
            <w:shd w:fill="FFFFFF" w:val="clear"/>
            <w:tcMar>
              <w:top w:type="dxa" w:w="80"/>
              <w:left w:type="dxa" w:w="100"/>
              <w:bottom w:type="dxa" w:w="80"/>
              <w:right w:type="dxa" w:w="100"/>
            </w:tcMar>
          </w:tcPr>
          <w:p>
            <w:r>
              <w:rPr>
                <w:b/>
                <w:bCs/>
                <w:sz w:val="18"/>
                <w:szCs w:val="18"/>
              </w:rPr>
              <w:t xml:space="preserve">3</w:t>
            </w:r>
          </w:p>
        </w:tc>
        <w:tc>
          <w:tcPr>
            <w:shd w:fill="FFFFFF" w:val="clear"/>
            <w:tcMar>
              <w:top w:type="dxa" w:w="80"/>
              <w:left w:type="dxa" w:w="100"/>
              <w:bottom w:type="dxa" w:w="80"/>
              <w:right w:type="dxa" w:w="100"/>
            </w:tcMar>
          </w:tcPr>
          <w:p>
            <w:r>
              <w:rPr>
                <w:b w:val="false"/>
                <w:bCs w:val="false"/>
                <w:sz w:val="18"/>
                <w:szCs w:val="18"/>
              </w:rPr>
              <w:t xml:space="preserve">Points this server's own DNS client at its own IP, since it's about to become the DNS server itself.</w:t>
            </w:r>
          </w:p>
        </w:tc>
      </w:tr>
      <w:tr>
        <w:tc>
          <w:tcPr>
            <w:shd w:fill="F7F9FC" w:val="clear"/>
            <w:tcMar>
              <w:top w:type="dxa" w:w="80"/>
              <w:left w:type="dxa" w:w="100"/>
              <w:bottom w:type="dxa" w:w="80"/>
              <w:right w:type="dxa" w:w="100"/>
            </w:tcMar>
          </w:tcPr>
          <w:p>
            <w:r>
              <w:rPr>
                <w:b/>
                <w:bCs/>
                <w:sz w:val="18"/>
                <w:szCs w:val="18"/>
              </w:rPr>
              <w:t xml:space="preserve">4</w:t>
            </w:r>
          </w:p>
        </w:tc>
        <w:tc>
          <w:tcPr>
            <w:shd w:fill="F7F9FC" w:val="clear"/>
            <w:tcMar>
              <w:top w:type="dxa" w:w="80"/>
              <w:left w:type="dxa" w:w="100"/>
              <w:bottom w:type="dxa" w:w="80"/>
              <w:right w:type="dxa" w:w="100"/>
            </w:tcMar>
          </w:tcPr>
          <w:p>
            <w:r>
              <w:rPr>
                <w:b w:val="false"/>
                <w:bCs w:val="false"/>
                <w:sz w:val="18"/>
                <w:szCs w:val="18"/>
              </w:rPr>
              <w:t xml:space="preserve">Installs AD-Domain-Services and calls Install-ADDSForest -InstallDns:$true for domain nishant360.online, NetBIOS NISHANT360, forest/domain mode WinThreshold.</w:t>
            </w:r>
          </w:p>
        </w:tc>
      </w:tr>
      <w:tr>
        <w:tc>
          <w:tcPr>
            <w:shd w:fill="FFFFFF" w:val="clear"/>
            <w:tcMar>
              <w:top w:type="dxa" w:w="80"/>
              <w:left w:type="dxa" w:w="100"/>
              <w:bottom w:type="dxa" w:w="80"/>
              <w:right w:type="dxa" w:w="100"/>
            </w:tcMar>
          </w:tcPr>
          <w:p>
            <w:r>
              <w:rPr>
                <w:b/>
                <w:bCs/>
                <w:sz w:val="18"/>
                <w:szCs w:val="18"/>
              </w:rPr>
              <w:t xml:space="preserve">5</w:t>
            </w:r>
          </w:p>
        </w:tc>
        <w:tc>
          <w:tcPr>
            <w:shd w:fill="FFFFFF" w:val="clear"/>
            <w:tcMar>
              <w:top w:type="dxa" w:w="80"/>
              <w:left w:type="dxa" w:w="100"/>
              <w:bottom w:type="dxa" w:w="80"/>
              <w:right w:type="dxa" w:w="100"/>
            </w:tcMar>
          </w:tcPr>
          <w:p>
            <w:r>
              <w:rPr>
                <w:b w:val="false"/>
                <w:bCs w:val="false"/>
                <w:sz w:val="18"/>
                <w:szCs w:val="18"/>
              </w:rPr>
              <w:t xml:space="preserve">Waits for the DNS service, re-detects the current IP, computes the correct in-addr.arpa reverse zone, creates it, and explicitly writes the PTR record — not just hoping dynamic registration does it.</w:t>
            </w:r>
          </w:p>
        </w:tc>
      </w:tr>
    </w:tbl>
    <w:p>
      <w:pPr>
        <w:spacing w:after="140"/>
      </w:pPr>
      <w:r>
        <w:t xml:space="preserve">Run it:</w:t>
      </w:r>
    </w:p>
    <w:p>
      <w:pPr>
        <w:pBdr>
          <w:top w:val="single" w:color="D9D9D9" w:sz="2"/>
          <w:bottom w:val="single" w:color="D9D9D9" w:sz="2"/>
          <w:left w:val="single" w:color="D9D9D9" w:sz="2"/>
          <w:right w:val="single" w:color="D9D9D9" w:sz="2"/>
        </w:pBdr>
        <w:shd w:fill="F2F2F2" w:val="clear"/>
        <w:spacing w:after="140"/>
      </w:pPr>
      <w:r>
        <w:rPr>
          <w:rFonts w:ascii="Consolas" w:cs="Consolas" w:eastAsia="Consolas" w:hAnsi="Consolas"/>
          <w:sz w:val="19"/>
          <w:szCs w:val="19"/>
        </w:rPr>
        <w:t xml:space="preserve">PowerShell.exe -NoProfile -ExecutionPolicy Bypass -File C:\Scripts\Setup-ADDS-DNS.ps1</w:t>
      </w:r>
    </w:p>
    <w:p>
      <w:pPr>
        <w:spacing w:after="140"/>
      </w:pPr>
      <w:r>
        <w:t xml:space="preserve">Repair just the reverse DNS/PTR step later without repeating earlier stages:</w:t>
      </w:r>
    </w:p>
    <w:p>
      <w:pPr>
        <w:pBdr>
          <w:top w:val="single" w:color="D9D9D9" w:sz="2"/>
          <w:bottom w:val="single" w:color="D9D9D9" w:sz="2"/>
          <w:left w:val="single" w:color="D9D9D9" w:sz="2"/>
          <w:right w:val="single" w:color="D9D9D9" w:sz="2"/>
        </w:pBdr>
        <w:shd w:fill="F2F2F2" w:val="clear"/>
        <w:spacing w:after="140"/>
      </w:pPr>
      <w:r>
        <w:rPr>
          <w:rFonts w:ascii="Consolas" w:cs="Consolas" w:eastAsia="Consolas" w:hAnsi="Consolas"/>
          <w:sz w:val="19"/>
          <w:szCs w:val="19"/>
        </w:rPr>
        <w:t xml:space="preserve">PowerShell.exe -NoProfile -ExecutionPolicy Bypass -File C:\Scripts\Setup-ADDS-DNS.ps1 -RepairReverseDns</w:t>
      </w:r>
    </w:p>
    <w:p>
      <w:pPr>
        <w:spacing w:after="140"/>
      </w:pPr>
      <w:r>
        <w:t xml:space="preserve">Monitor progress: C:\Scripts\Setup.log (every stage, timestamped, echoed live to console) and C:\Scripts\SetupStage.txt (current stage — gone entirely once Stage 5 finishes, which doubles as your "fully done" signal).</w:t>
      </w:r>
    </w:p>
    <w:p>
      <w:pPr>
        <w:pStyle w:val="Heading1"/>
        <w:pBdr>
          <w:bottom w:val="single" w:color="1F3864" w:sz="6" w:space="8"/>
        </w:pBdr>
        <w:spacing w:after="160" w:before="340"/>
      </w:pPr>
      <w:r>
        <w:rPr>
          <w:b/>
          <w:bCs/>
          <w:color w:val="1F3864"/>
        </w:rPr>
        <w:t xml:space="preserve">6. Verify AD, DNS &amp; Prepare Entra ID</w:t>
      </w:r>
    </w:p>
    <w:p>
      <w:pPr>
        <w:pBdr>
          <w:top w:val="single" w:color="D9D9D9" w:sz="2"/>
          <w:bottom w:val="single" w:color="D9D9D9" w:sz="2"/>
          <w:left w:val="single" w:color="D9D9D9" w:sz="2"/>
          <w:right w:val="single" w:color="D9D9D9" w:sz="2"/>
        </w:pBdr>
        <w:shd w:fill="F2F2F2" w:val="clear"/>
        <w:spacing w:after="140"/>
      </w:pPr>
      <w:r>
        <w:rPr>
          <w:rFonts w:ascii="Consolas" w:cs="Consolas" w:eastAsia="Consolas" w:hAnsi="Consolas"/>
          <w:sz w:val="19"/>
          <w:szCs w:val="19"/>
        </w:rPr>
        <w:t xml:space="preserve">dcdiag
dcdiag /test:dns
Get-ADDomain
Get-ADForest
nslookup nishant360.online
Resolve-DnsName nishant360.online</w:t>
      </w:r>
    </w:p>
    <w:p>
      <w:pPr>
        <w:spacing w:after="140"/>
      </w:pPr>
      <w:r>
        <w:t xml:space="preserve">Get-ADDomain should show DNSRoot = nishant360.online and NetBIOSName = NISHANT360, matching the script's variables exactly.</w:t>
      </w:r>
    </w:p>
    <w:p>
      <w:pPr>
        <w:pStyle w:val="Heading2"/>
        <w:spacing w:after="100" w:before="240"/>
      </w:pPr>
      <w:r>
        <w:rPr>
          <w:b/>
          <w:bCs/>
          <w:color w:val="2E5AAC"/>
        </w:rPr>
        <w:t xml:space="preserve">Add &amp; verify the custom domain in Entra ID</w:t>
      </w:r>
    </w:p>
    <w:p>
      <w:pPr>
        <w:pStyle w:val="ListParagraph"/>
        <w:numPr>
          <w:ilvl w:val="0"/>
          <w:numId w:val="2"/>
        </w:numPr>
        <w:spacing w:after="70"/>
      </w:pPr>
      <w:r>
        <w:t xml:space="preserve">portal.azure.com → Microsoft Entra ID → Custom domain names → + Add custom domain</w:t>
      </w:r>
    </w:p>
    <w:p>
      <w:pPr>
        <w:pStyle w:val="ListParagraph"/>
        <w:numPr>
          <w:ilvl w:val="0"/>
          <w:numId w:val="2"/>
        </w:numPr>
        <w:spacing w:after="70"/>
      </w:pPr>
      <w:r>
        <w:t xml:space="preserve">Type nishant360.online → Add — Entra ID generates a unique TXT verification value for your tenant (always copy the real one shown, never reuse an example)</w:t>
      </w:r>
    </w:p>
    <w:p>
      <w:pPr>
        <w:pStyle w:val="ListParagraph"/>
        <w:numPr>
          <w:ilvl w:val="0"/>
          <w:numId w:val="2"/>
        </w:numPr>
        <w:spacing w:after="70"/>
      </w:pPr>
      <w:r>
        <w:t xml:space="preserve">GoDaddy → My Products → Domains → nishant360.online → DNS → Manage DNS → Add Record → Type = TXT → Host = @ → Value = [the exact value from Entra ID] → Save</w:t>
      </w:r>
    </w:p>
    <w:p>
      <w:pPr>
        <w:pStyle w:val="ListParagraph"/>
        <w:numPr>
          <w:ilvl w:val="0"/>
          <w:numId w:val="2"/>
        </w:numPr>
        <w:spacing w:after="70"/>
      </w:pPr>
      <w:r>
        <w:t xml:space="preserve">Wait for DNS propagation (minutes to a few hours), then back in Entra ID → Custom domain names → nishant360.online → Verify</w:t>
      </w:r>
    </w:p>
    <w:p>
      <w:pPr>
        <w:spacing w:after="140"/>
      </w:pPr>
      <w:r>
        <w:rPr>
          <w:i/>
          <w:iCs/>
          <w:color w:val="B45309"/>
          <w:sz w:val="20"/>
          <w:szCs w:val="20"/>
        </w:rPr>
        <w:t xml:space="preserve">This step is exactly what fails with minjtech.xyz — you can only add that TXT record in GoDaddy for a domain in your own account, which is nishant360.online.</w:t>
      </w:r>
    </w:p>
    <w:p>
      <w:pPr>
        <w:pStyle w:val="Heading1"/>
        <w:pBdr>
          <w:bottom w:val="single" w:color="1F3864" w:sz="6" w:space="8"/>
        </w:pBdr>
        <w:spacing w:after="160" w:before="340"/>
      </w:pPr>
      <w:r>
        <w:rPr>
          <w:b/>
          <w:bCs/>
          <w:color w:val="1F3864"/>
        </w:rPr>
        <w:t xml:space="preserve">7. AADCONNECT01 &amp; Microsoft Entra Connect (PHS)</w:t>
      </w:r>
    </w:p>
    <w:p>
      <w:pPr>
        <w:pStyle w:val="ListParagraph"/>
        <w:numPr>
          <w:ilvl w:val="0"/>
          <w:numId w:val="3"/>
        </w:numPr>
        <w:spacing w:after="70"/>
      </w:pPr>
      <w:r>
        <w:t xml:space="preserve">Create AADCONNECT01 in subnet-domain, static IP 10.10.1.20, domain-joined to nishant360.online.</w:t>
      </w:r>
    </w:p>
    <w:p>
      <w:pPr>
        <w:pStyle w:val="ListParagraph"/>
        <w:numPr>
          <w:ilvl w:val="0"/>
          <w:numId w:val="3"/>
        </w:numPr>
        <w:spacing w:after="70"/>
      </w:pPr>
      <w:r>
        <w:t xml:space="preserve">Confirm connectivity to app010w001 before installing Entra Connect: Test-NetConnection app010w001 -Port 389 / 636 / 88 / 53 — all must return True.</w:t>
      </w:r>
    </w:p>
    <w:p>
      <w:pPr>
        <w:pStyle w:val="ListParagraph"/>
        <w:numPr>
          <w:ilvl w:val="0"/>
          <w:numId w:val="3"/>
        </w:numPr>
        <w:spacing w:after="70"/>
      </w:pPr>
      <w:r>
        <w:t xml:space="preserve">Install Microsoft Entra Connect → Customize (not Express) → Password Hash Synchronization → sign in with Global Administrator (cloud) and Enterprise Admin (on-prem) → Domain/OU filtering: sync only Users, SyncUsers, and Groups OUs, excluding Computers and ServiceAccounts → Install.</w:t>
      </w:r>
    </w:p>
    <w:p>
      <w:pPr>
        <w:pStyle w:val="ListParagraph"/>
        <w:numPr>
          <w:ilvl w:val="0"/>
          <w:numId w:val="3"/>
        </w:numPr>
        <w:spacing w:after="70"/>
      </w:pPr>
      <w:r>
        <w:t xml:space="preserve">First sync: Start-ADSyncSyncCycle -PolicyType Initial. Verify nishant@nishant360.online appears in Entra ID → Users, with On-premises sync enabled = Yes.</w:t>
      </w:r>
    </w:p>
    <w:p>
      <w:pPr>
        <w:pStyle w:val="Heading1"/>
        <w:pBdr>
          <w:bottom w:val="single" w:color="1F3864" w:sz="6" w:space="8"/>
        </w:pBdr>
        <w:spacing w:after="160" w:before="340"/>
      </w:pPr>
      <w:r>
        <w:rPr>
          <w:b/>
          <w:bCs/>
          <w:color w:val="1F3864"/>
        </w:rPr>
        <w:t xml:space="preserve">8. End-to-End Flow</w:t>
      </w:r>
    </w:p>
    <w:p>
      <w:pPr>
        <w:spacing w:after="200" w:before="100"/>
        <w:jc w:val="center"/>
      </w:pPr>
      <w:r>
        <w:drawing>
          <wp:inline distT="0" distB="0" distL="0" distR="0">
            <wp:extent cx="3810000" cy="709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810000" cy="7096125"/>
                    </a:xfrm>
                    <a:prstGeom prst="rect">
                      <a:avLst/>
                    </a:prstGeom>
                  </pic:spPr>
                </pic:pic>
              </a:graphicData>
            </a:graphic>
          </wp:inline>
        </w:drawing>
      </w:r>
    </w:p>
    <w:p>
      <w:r>
        <w:br w:type="page"/>
      </w:r>
    </w:p>
    <w:p>
      <w:pPr>
        <w:pStyle w:val="Heading1"/>
        <w:pBdr>
          <w:bottom w:val="single" w:color="1F3864" w:sz="6" w:space="8"/>
        </w:pBdr>
        <w:spacing w:after="160" w:before="340"/>
      </w:pPr>
      <w:r>
        <w:rPr>
          <w:b/>
          <w:bCs/>
          <w:color w:val="1F3864"/>
        </w:rPr>
        <w:t xml:space="preserve">9. Updated Lab Validation Checklist</w:t>
      </w:r>
    </w:p>
    <w:p>
      <w:pPr>
        <w:pStyle w:val="ListParagraph"/>
        <w:numPr>
          <w:ilvl w:val="0"/>
          <w:numId w:val="4"/>
        </w:numPr>
        <w:spacing w:after="70"/>
      </w:pPr>
      <w:r>
        <w:t xml:space="preserve">VNet (10.10.0.0/16) and both subnets created</w:t>
      </w:r>
    </w:p>
    <w:p>
      <w:pPr>
        <w:pStyle w:val="ListParagraph"/>
        <w:numPr>
          <w:ilvl w:val="0"/>
          <w:numId w:val="4"/>
        </w:numPr>
        <w:spacing w:after="70"/>
      </w:pPr>
      <w:r>
        <w:t xml:space="preserve">app010w001 built via Setup-ADDS-DNS.ps1 with static IP 10.10.1.10</w:t>
      </w:r>
    </w:p>
    <w:p>
      <w:pPr>
        <w:pStyle w:val="ListParagraph"/>
        <w:numPr>
          <w:ilvl w:val="0"/>
          <w:numId w:val="4"/>
        </w:numPr>
        <w:spacing w:after="70"/>
      </w:pPr>
      <w:r>
        <w:t xml:space="preserve">Get-ADDomain shows DNSRoot = nishant360.online, NetBIOSName = NISHANT360</w:t>
      </w:r>
    </w:p>
    <w:p>
      <w:pPr>
        <w:pStyle w:val="ListParagraph"/>
        <w:numPr>
          <w:ilvl w:val="0"/>
          <w:numId w:val="4"/>
        </w:numPr>
        <w:spacing w:after="70"/>
      </w:pPr>
      <w:r>
        <w:t xml:space="preserve">dcdiag and dcdiag /test:dns run clean</w:t>
      </w:r>
    </w:p>
    <w:p>
      <w:pPr>
        <w:pStyle w:val="ListParagraph"/>
        <w:numPr>
          <w:ilvl w:val="0"/>
          <w:numId w:val="4"/>
        </w:numPr>
        <w:spacing w:after="70"/>
      </w:pPr>
      <w:r>
        <w:t xml:space="preserve">Reverse DNS zone + PTR record confirmed with nslookup 10.10.1.10 (or run -RepairReverseDns if not)</w:t>
      </w:r>
    </w:p>
    <w:p>
      <w:pPr>
        <w:pStyle w:val="ListParagraph"/>
        <w:numPr>
          <w:ilvl w:val="0"/>
          <w:numId w:val="4"/>
        </w:numPr>
        <w:spacing w:after="70"/>
      </w:pPr>
      <w:r>
        <w:t xml:space="preserve">nishant360.online added as a custom domain in Entra ID and verified via the GoDaddy TXT record</w:t>
      </w:r>
    </w:p>
    <w:p>
      <w:pPr>
        <w:pStyle w:val="ListParagraph"/>
        <w:numPr>
          <w:ilvl w:val="0"/>
          <w:numId w:val="4"/>
        </w:numPr>
        <w:spacing w:after="70"/>
      </w:pPr>
      <w:r>
        <w:t xml:space="preserve">AADCONNECT01 built, domain-joined, connectivity confirmed on ports 53/88/135/389/445/464/636</w:t>
      </w:r>
    </w:p>
    <w:p>
      <w:pPr>
        <w:pStyle w:val="ListParagraph"/>
        <w:numPr>
          <w:ilvl w:val="0"/>
          <w:numId w:val="4"/>
        </w:numPr>
        <w:spacing w:after="70"/>
      </w:pPr>
      <w:r>
        <w:t xml:space="preserve">Microsoft Entra Connect installed (Customize path), PHS selected, OU filtering scoped correctly</w:t>
      </w:r>
    </w:p>
    <w:p>
      <w:pPr>
        <w:pStyle w:val="ListParagraph"/>
        <w:numPr>
          <w:ilvl w:val="0"/>
          <w:numId w:val="4"/>
        </w:numPr>
        <w:spacing w:after="70"/>
      </w:pPr>
      <w:r>
        <w:t xml:space="preserve">Initial sync completed; nishant@nishant360.online visible in Entra ID with On-premises sync = Yes</w:t>
      </w:r>
    </w:p>
    <w:p>
      <w:pPr>
        <w:pStyle w:val="ListParagraph"/>
        <w:numPr>
          <w:ilvl w:val="0"/>
          <w:numId w:val="4"/>
        </w:numPr>
        <w:spacing w:after="70"/>
      </w:pPr>
      <w:r>
        <w:t xml:space="preserve">Seamless SSO enabled (AZUREADSSOACC computer object present) and verified on CLIENT01</w:t>
      </w:r>
    </w:p>
    <w:p>
      <w:pPr>
        <w:pStyle w:val="Heading1"/>
        <w:pBdr>
          <w:bottom w:val="single" w:color="1F3864" w:sz="6" w:space="8"/>
        </w:pBdr>
        <w:spacing w:after="160" w:before="340"/>
      </w:pPr>
      <w:r>
        <w:rPr>
          <w:b/>
          <w:bCs/>
          <w:color w:val="1F3864"/>
        </w:rPr>
        <w:t xml:space="preserve">10. What Changed From the Original minjtech.xyz Draft</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1F3864" w:val="clear"/>
            <w:tcMar>
              <w:top w:type="dxa" w:w="80"/>
              <w:left w:type="dxa" w:w="100"/>
              <w:bottom w:type="dxa" w:w="80"/>
              <w:right w:type="dxa" w:w="100"/>
            </w:tcMar>
          </w:tcPr>
          <w:p>
            <w:r>
              <w:rPr>
                <w:b/>
                <w:bCs/>
                <w:color w:val="FFFFFF"/>
                <w:sz w:val="19"/>
                <w:szCs w:val="19"/>
              </w:rPr>
              <w:t xml:space="preserve">Item</w:t>
            </w:r>
          </w:p>
        </w:tc>
        <w:tc>
          <w:tcPr>
            <w:shd w:fill="1F3864" w:val="clear"/>
            <w:tcMar>
              <w:top w:type="dxa" w:w="80"/>
              <w:left w:type="dxa" w:w="100"/>
              <w:bottom w:type="dxa" w:w="80"/>
              <w:right w:type="dxa" w:w="100"/>
            </w:tcMar>
          </w:tcPr>
          <w:p>
            <w:r>
              <w:rPr>
                <w:b/>
                <w:bCs/>
                <w:color w:val="FFFFFF"/>
                <w:sz w:val="19"/>
                <w:szCs w:val="19"/>
              </w:rPr>
              <w:t xml:space="preserve">Old (minjtech.xyz)</w:t>
            </w:r>
          </w:p>
        </w:tc>
        <w:tc>
          <w:tcPr>
            <w:shd w:fill="1F3864" w:val="clear"/>
            <w:tcMar>
              <w:top w:type="dxa" w:w="80"/>
              <w:left w:type="dxa" w:w="100"/>
              <w:bottom w:type="dxa" w:w="80"/>
              <w:right w:type="dxa" w:w="100"/>
            </w:tcMar>
          </w:tcPr>
          <w:p>
            <w:r>
              <w:rPr>
                <w:b/>
                <w:bCs/>
                <w:color w:val="FFFFFF"/>
                <w:sz w:val="19"/>
                <w:szCs w:val="19"/>
              </w:rPr>
              <w:t xml:space="preserve">New (nishant360.online)</w:t>
            </w:r>
          </w:p>
        </w:tc>
      </w:tr>
      <w:tr>
        <w:tc>
          <w:tcPr>
            <w:shd w:fill="FFFFFF" w:val="clear"/>
            <w:tcMar>
              <w:top w:type="dxa" w:w="80"/>
              <w:left w:type="dxa" w:w="100"/>
              <w:bottom w:type="dxa" w:w="80"/>
              <w:right w:type="dxa" w:w="100"/>
            </w:tcMar>
          </w:tcPr>
          <w:p>
            <w:r>
              <w:rPr>
                <w:b/>
                <w:bCs/>
                <w:sz w:val="18"/>
                <w:szCs w:val="18"/>
              </w:rPr>
              <w:t xml:space="preserve">Domain you actually own</w:t>
            </w:r>
          </w:p>
        </w:tc>
        <w:tc>
          <w:tcPr>
            <w:shd w:fill="FFFFFF" w:val="clear"/>
            <w:tcMar>
              <w:top w:type="dxa" w:w="80"/>
              <w:left w:type="dxa" w:w="100"/>
              <w:bottom w:type="dxa" w:w="80"/>
              <w:right w:type="dxa" w:w="100"/>
            </w:tcMar>
          </w:tcPr>
          <w:p>
            <w:r>
              <w:rPr>
                <w:b w:val="false"/>
                <w:bCs w:val="false"/>
                <w:sz w:val="18"/>
                <w:szCs w:val="18"/>
              </w:rPr>
              <w:t xml:space="preserve">No — not registered to you</w:t>
            </w:r>
          </w:p>
        </w:tc>
        <w:tc>
          <w:tcPr>
            <w:shd w:fill="FFFFFF" w:val="clear"/>
            <w:tcMar>
              <w:top w:type="dxa" w:w="80"/>
              <w:left w:type="dxa" w:w="100"/>
              <w:bottom w:type="dxa" w:w="80"/>
              <w:right w:type="dxa" w:w="100"/>
            </w:tcMar>
          </w:tcPr>
          <w:p>
            <w:r>
              <w:rPr>
                <w:b w:val="false"/>
                <w:bCs w:val="false"/>
                <w:sz w:val="18"/>
                <w:szCs w:val="18"/>
              </w:rPr>
              <w:t xml:space="preserve">Yes — in your GoDaddy account</w:t>
            </w:r>
          </w:p>
        </w:tc>
      </w:tr>
      <w:tr>
        <w:tc>
          <w:tcPr>
            <w:shd w:fill="F7F9FC" w:val="clear"/>
            <w:tcMar>
              <w:top w:type="dxa" w:w="80"/>
              <w:left w:type="dxa" w:w="100"/>
              <w:bottom w:type="dxa" w:w="80"/>
              <w:right w:type="dxa" w:w="100"/>
            </w:tcMar>
          </w:tcPr>
          <w:p>
            <w:r>
              <w:rPr>
                <w:b/>
                <w:bCs/>
                <w:sz w:val="18"/>
                <w:szCs w:val="18"/>
              </w:rPr>
              <w:t xml:space="preserve">AD domain / $DomainName</w:t>
            </w:r>
          </w:p>
        </w:tc>
        <w:tc>
          <w:tcPr>
            <w:shd w:fill="F7F9FC" w:val="clear"/>
            <w:tcMar>
              <w:top w:type="dxa" w:w="80"/>
              <w:left w:type="dxa" w:w="100"/>
              <w:bottom w:type="dxa" w:w="80"/>
              <w:right w:type="dxa" w:w="100"/>
            </w:tcMar>
          </w:tcPr>
          <w:p>
            <w:r>
              <w:rPr>
                <w:b w:val="false"/>
                <w:bCs w:val="false"/>
                <w:sz w:val="18"/>
                <w:szCs w:val="18"/>
              </w:rPr>
              <w:t xml:space="preserve">minjtech.xyz</w:t>
            </w:r>
          </w:p>
        </w:tc>
        <w:tc>
          <w:tcPr>
            <w:shd w:fill="F7F9FC" w:val="clear"/>
            <w:tcMar>
              <w:top w:type="dxa" w:w="80"/>
              <w:left w:type="dxa" w:w="100"/>
              <w:bottom w:type="dxa" w:w="80"/>
              <w:right w:type="dxa" w:w="100"/>
            </w:tcMar>
          </w:tcPr>
          <w:p>
            <w:r>
              <w:rPr>
                <w:b w:val="false"/>
                <w:bCs w:val="false"/>
                <w:sz w:val="18"/>
                <w:szCs w:val="18"/>
              </w:rPr>
              <w:t xml:space="preserve">nishant360.online</w:t>
            </w:r>
          </w:p>
        </w:tc>
      </w:tr>
      <w:tr>
        <w:tc>
          <w:tcPr>
            <w:shd w:fill="FFFFFF" w:val="clear"/>
            <w:tcMar>
              <w:top w:type="dxa" w:w="80"/>
              <w:left w:type="dxa" w:w="100"/>
              <w:bottom w:type="dxa" w:w="80"/>
              <w:right w:type="dxa" w:w="100"/>
            </w:tcMar>
          </w:tcPr>
          <w:p>
            <w:r>
              <w:rPr>
                <w:b/>
                <w:bCs/>
                <w:sz w:val="18"/>
                <w:szCs w:val="18"/>
              </w:rPr>
              <w:t xml:space="preserve">NetBIOS / $NetbiosName</w:t>
            </w:r>
          </w:p>
        </w:tc>
        <w:tc>
          <w:tcPr>
            <w:shd w:fill="FFFFFF" w:val="clear"/>
            <w:tcMar>
              <w:top w:type="dxa" w:w="80"/>
              <w:left w:type="dxa" w:w="100"/>
              <w:bottom w:type="dxa" w:w="80"/>
              <w:right w:type="dxa" w:w="100"/>
            </w:tcMar>
          </w:tcPr>
          <w:p>
            <w:r>
              <w:rPr>
                <w:b w:val="false"/>
                <w:bCs w:val="false"/>
                <w:sz w:val="18"/>
                <w:szCs w:val="18"/>
              </w:rPr>
              <w:t xml:space="preserve">MINJTECH</w:t>
            </w:r>
          </w:p>
        </w:tc>
        <w:tc>
          <w:tcPr>
            <w:shd w:fill="FFFFFF" w:val="clear"/>
            <w:tcMar>
              <w:top w:type="dxa" w:w="80"/>
              <w:left w:type="dxa" w:w="100"/>
              <w:bottom w:type="dxa" w:w="80"/>
              <w:right w:type="dxa" w:w="100"/>
            </w:tcMar>
          </w:tcPr>
          <w:p>
            <w:r>
              <w:rPr>
                <w:b w:val="false"/>
                <w:bCs w:val="false"/>
                <w:sz w:val="18"/>
                <w:szCs w:val="18"/>
              </w:rPr>
              <w:t xml:space="preserve">NISHANT360</w:t>
            </w:r>
          </w:p>
        </w:tc>
      </w:tr>
      <w:tr>
        <w:tc>
          <w:tcPr>
            <w:shd w:fill="F7F9FC" w:val="clear"/>
            <w:tcMar>
              <w:top w:type="dxa" w:w="80"/>
              <w:left w:type="dxa" w:w="100"/>
              <w:bottom w:type="dxa" w:w="80"/>
              <w:right w:type="dxa" w:w="100"/>
            </w:tcMar>
          </w:tcPr>
          <w:p>
            <w:r>
              <w:rPr>
                <w:b/>
                <w:bCs/>
                <w:sz w:val="18"/>
                <w:szCs w:val="18"/>
              </w:rPr>
              <w:t xml:space="preserve">Entra ID custom domain verification</w:t>
            </w:r>
          </w:p>
        </w:tc>
        <w:tc>
          <w:tcPr>
            <w:shd w:fill="F7F9FC" w:val="clear"/>
            <w:tcMar>
              <w:top w:type="dxa" w:w="80"/>
              <w:left w:type="dxa" w:w="100"/>
              <w:bottom w:type="dxa" w:w="80"/>
              <w:right w:type="dxa" w:w="100"/>
            </w:tcMar>
          </w:tcPr>
          <w:p>
            <w:r>
              <w:rPr>
                <w:b w:val="false"/>
                <w:bCs w:val="false"/>
                <w:sz w:val="18"/>
                <w:szCs w:val="18"/>
              </w:rPr>
              <w:t xml:space="preserve">Fails — can't prove ownership</w:t>
            </w:r>
          </w:p>
        </w:tc>
        <w:tc>
          <w:tcPr>
            <w:shd w:fill="F7F9FC" w:val="clear"/>
            <w:tcMar>
              <w:top w:type="dxa" w:w="80"/>
              <w:left w:type="dxa" w:w="100"/>
              <w:bottom w:type="dxa" w:w="80"/>
              <w:right w:type="dxa" w:w="100"/>
            </w:tcMar>
          </w:tcPr>
          <w:p>
            <w:r>
              <w:rPr>
                <w:b w:val="false"/>
                <w:bCs w:val="false"/>
                <w:sz w:val="18"/>
                <w:szCs w:val="18"/>
              </w:rPr>
              <w:t xml:space="preserve">Works — TXT record addable in your GoDaddy</w:t>
            </w:r>
          </w:p>
        </w:tc>
      </w:tr>
      <w:tr>
        <w:tc>
          <w:tcPr>
            <w:shd w:fill="FFFFFF" w:val="clear"/>
            <w:tcMar>
              <w:top w:type="dxa" w:w="80"/>
              <w:left w:type="dxa" w:w="100"/>
              <w:bottom w:type="dxa" w:w="80"/>
              <w:right w:type="dxa" w:w="100"/>
            </w:tcMar>
          </w:tcPr>
          <w:p>
            <w:r>
              <w:rPr>
                <w:b/>
                <w:bCs/>
                <w:sz w:val="18"/>
                <w:szCs w:val="18"/>
              </w:rPr>
              <w:t xml:space="preserve">UPN logins</w:t>
            </w:r>
          </w:p>
        </w:tc>
        <w:tc>
          <w:tcPr>
            <w:shd w:fill="FFFFFF" w:val="clear"/>
            <w:tcMar>
              <w:top w:type="dxa" w:w="80"/>
              <w:left w:type="dxa" w:w="100"/>
              <w:bottom w:type="dxa" w:w="80"/>
              <w:right w:type="dxa" w:w="100"/>
            </w:tcMar>
          </w:tcPr>
          <w:p>
            <w:r>
              <w:rPr>
                <w:b w:val="false"/>
                <w:bCs w:val="false"/>
                <w:sz w:val="18"/>
                <w:szCs w:val="18"/>
              </w:rPr>
              <w:t xml:space="preserve">nishant@minjtech.xyz (cloud sign-in would fail)</w:t>
            </w:r>
          </w:p>
        </w:tc>
        <w:tc>
          <w:tcPr>
            <w:shd w:fill="FFFFFF" w:val="clear"/>
            <w:tcMar>
              <w:top w:type="dxa" w:w="80"/>
              <w:left w:type="dxa" w:w="100"/>
              <w:bottom w:type="dxa" w:w="80"/>
              <w:right w:type="dxa" w:w="100"/>
            </w:tcMar>
          </w:tcPr>
          <w:p>
            <w:r>
              <w:rPr>
                <w:b w:val="false"/>
                <w:bCs w:val="false"/>
                <w:sz w:val="18"/>
                <w:szCs w:val="18"/>
              </w:rPr>
              <w:t xml:space="preserve">nishant@nishant360.online (works end-to-end)</w:t>
            </w:r>
          </w:p>
        </w:tc>
      </w:tr>
      <w:tr>
        <w:tc>
          <w:tcPr>
            <w:shd w:fill="F7F9FC" w:val="clear"/>
            <w:tcMar>
              <w:top w:type="dxa" w:w="80"/>
              <w:left w:type="dxa" w:w="100"/>
              <w:bottom w:type="dxa" w:w="80"/>
              <w:right w:type="dxa" w:w="100"/>
            </w:tcMar>
          </w:tcPr>
          <w:p>
            <w:r>
              <w:rPr>
                <w:b/>
                <w:bCs/>
                <w:sz w:val="18"/>
                <w:szCs w:val="18"/>
              </w:rPr>
              <w:t xml:space="preserve">Resource Group / VNet naming</w:t>
            </w:r>
          </w:p>
        </w:tc>
        <w:tc>
          <w:tcPr>
            <w:shd w:fill="F7F9FC" w:val="clear"/>
            <w:tcMar>
              <w:top w:type="dxa" w:w="80"/>
              <w:left w:type="dxa" w:w="100"/>
              <w:bottom w:type="dxa" w:w="80"/>
              <w:right w:type="dxa" w:w="100"/>
            </w:tcMar>
          </w:tcPr>
          <w:p>
            <w:r>
              <w:rPr>
                <w:b w:val="false"/>
                <w:bCs w:val="false"/>
                <w:sz w:val="18"/>
                <w:szCs w:val="18"/>
              </w:rPr>
              <w:t xml:space="preserve">rg-minjtech-hybrid-id / vnet-minjtech-hybrid</w:t>
            </w:r>
          </w:p>
        </w:tc>
        <w:tc>
          <w:tcPr>
            <w:shd w:fill="F7F9FC" w:val="clear"/>
            <w:tcMar>
              <w:top w:type="dxa" w:w="80"/>
              <w:left w:type="dxa" w:w="100"/>
              <w:bottom w:type="dxa" w:w="80"/>
              <w:right w:type="dxa" w:w="100"/>
            </w:tcMar>
          </w:tcPr>
          <w:p>
            <w:r>
              <w:rPr>
                <w:b w:val="false"/>
                <w:bCs w:val="false"/>
                <w:sz w:val="18"/>
                <w:szCs w:val="18"/>
              </w:rPr>
              <w:t xml:space="preserve">rg-nishant360-hybrid-id / vnet-nishant360-hybrid</w:t>
            </w:r>
          </w:p>
        </w:tc>
      </w:tr>
    </w:tbl>
    <w:p>
      <w:pPr>
        <w:spacing w:after="140"/>
      </w:pPr>
      <w:r>
        <w:rPr>
          <w:i/>
          <w:iCs/>
          <w:color w:val="808080"/>
          <w:sz w:val="20"/>
          <w:szCs w:val="20"/>
        </w:rPr>
        <w:t xml:space="preserve">Everything else — the script's stage logic, the network layout, PHS reasoning, OU filtering, troubleshooting approach — carries over unchanged; only the domain-dependent values were swapped.</w:t>
      </w:r>
    </w:p>
    <w:sectPr>
      <w:headerReference w:type="default" r:id="rId7"/>
      <w:footerReference w:type="default" r:id="rId8"/>
      <w:pgSz w:w="12240" w:h="15840" w:orient="portrait"/>
      <w:pgMar w:top="1350" w:right="1080" w:bottom="125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6"/>
      </w:pBdr>
      <w:jc w:val="center"/>
    </w:pPr>
    <w:r>
      <w:rPr>
        <w:color w:val="808080"/>
        <w:sz w:val="16"/>
        <w:szCs w:val="16"/>
      </w:rPr>
      <w:t xml:space="preserve">Nishant Justin Minj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AAC" w:sz="8" w:space="6"/>
      </w:pBdr>
      <w:spacing w:after="60"/>
      <w:jc w:val="center"/>
    </w:pPr>
    <w:r>
      <w:rPr>
        <w:rFonts w:ascii="Georgia" w:cs="Georgia" w:eastAsia="Georgia" w:hAnsi="Georgia"/>
        <w:b/>
        <w:bCs/>
        <w:color w:val="1F3864"/>
        <w:sz w:val="32"/>
        <w:szCs w:val="32"/>
      </w:rPr>
      <w:t xml:space="preserve">N</w:t>
    </w:r>
    <w:r>
      <w:rPr>
        <w:rFonts w:ascii="Georgia" w:cs="Georgia" w:eastAsia="Georgia" w:hAnsi="Georgia"/>
        <w:b/>
        <w:bCs/>
        <w:color w:val="1F3864"/>
        <w:spacing w:val="20"/>
        <w:sz w:val="22"/>
        <w:szCs w:val="22"/>
      </w:rPr>
      <w:t xml:space="preserve">ISHANT  </w:t>
    </w:r>
    <w:r>
      <w:rPr>
        <w:rFonts w:ascii="Georgia" w:cs="Georgia" w:eastAsia="Georgia" w:hAnsi="Georgia"/>
        <w:b/>
        <w:bCs/>
        <w:color w:val="2E5AAC"/>
        <w:sz w:val="32"/>
        <w:szCs w:val="32"/>
      </w:rPr>
      <w:t xml:space="preserve">J</w:t>
    </w:r>
    <w:r>
      <w:rPr>
        <w:rFonts w:ascii="Georgia" w:cs="Georgia" w:eastAsia="Georgia" w:hAnsi="Georgia"/>
        <w:b/>
        <w:bCs/>
        <w:color w:val="1F3864"/>
        <w:spacing w:val="20"/>
        <w:sz w:val="22"/>
        <w:szCs w:val="22"/>
      </w:rPr>
      <w:t xml:space="preserve">USTIN  </w:t>
    </w:r>
    <w:r>
      <w:rPr>
        <w:rFonts w:ascii="Georgia" w:cs="Georgia" w:eastAsia="Georgia" w:hAnsi="Georgia"/>
        <w:b/>
        <w:bCs/>
        <w:color w:val="1F3864"/>
        <w:sz w:val="32"/>
        <w:szCs w:val="32"/>
      </w:rPr>
      <w:t xml:space="preserve">M</w:t>
    </w:r>
    <w:r>
      <w:rPr>
        <w:rFonts w:ascii="Georgia" w:cs="Georgia" w:eastAsia="Georgia" w:hAnsi="Georgia"/>
        <w:b/>
        <w:bCs/>
        <w:color w:val="1F3864"/>
        <w:spacing w:val="20"/>
        <w:sz w:val="22"/>
        <w:szCs w:val="22"/>
      </w:rPr>
      <w:t xml:space="preserve">INJ</w:t>
    </w:r>
  </w:p>
  <w:p>
    <w:pPr>
      <w:spacing w:after="120"/>
      <w:jc w:val="center"/>
    </w:pPr>
    <w:r>
      <w:rPr>
        <w:i/>
        <w:iCs/>
        <w:color w:val="808080"/>
        <w:sz w:val="16"/>
        <w:szCs w:val="16"/>
      </w:rPr>
      <w:t xml:space="preserve">nishant360.online  •  Hybrid Identity Lab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20" w:hanging="320"/>
      </w:pPr>
    </w:lvl>
  </w:abstractNum>
  <w:abstractNum w:abstractNumId="4"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98457f28f72641cd831f7c51433d6c3d9ebba2cf.png"/><Relationship Id="rId10" Type="http://schemas.openxmlformats.org/officeDocument/2006/relationships/image" Target="media/fec00f903fde014bfb8449920d09187bb2176fc0.png"/><Relationship Id="rId11" Type="http://schemas.openxmlformats.org/officeDocument/2006/relationships/image" Target="media/b18a1598da31d546fa0308a7a93f0ed7858e9860.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2026-08-23T05:08:07.019Z</dcterms:created>
  <dcterms:modified xsi:type="dcterms:W3CDTF">2026-08-23T05:08:07.031Z</dcterms:modified>
</cp:coreProperties>
</file>

<file path=docProps/custom.xml><?xml version="1.0" encoding="utf-8"?>
<Properties xmlns="http://schemas.openxmlformats.org/officeDocument/2006/custom-properties" xmlns:vt="http://schemas.openxmlformats.org/officeDocument/2006/docPropsVTypes"/>
</file>