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98ED0" w14:textId="77777777" w:rsidR="00214E61" w:rsidRPr="00CE3043" w:rsidRDefault="00D606AD" w:rsidP="00CE3043">
      <w:pPr>
        <w:spacing w:line="276" w:lineRule="auto"/>
        <w:rPr>
          <w:u w:val="single"/>
        </w:rPr>
      </w:pPr>
      <w:r w:rsidRPr="00CE3043">
        <w:rPr>
          <w:u w:val="single"/>
        </w:rPr>
        <w:t xml:space="preserve">Literature Review </w:t>
      </w:r>
      <w:proofErr w:type="gramStart"/>
      <w:r w:rsidRPr="00CE3043">
        <w:rPr>
          <w:u w:val="single"/>
        </w:rPr>
        <w:t>2 :</w:t>
      </w:r>
      <w:proofErr w:type="gramEnd"/>
      <w:r w:rsidRPr="00CE3043">
        <w:rPr>
          <w:u w:val="single"/>
        </w:rPr>
        <w:t xml:space="preserve"> 06/12/2019</w:t>
      </w:r>
    </w:p>
    <w:p w14:paraId="69889687" w14:textId="77777777" w:rsidR="00D606AD" w:rsidRPr="00CE3043" w:rsidRDefault="00D606AD" w:rsidP="00CE3043">
      <w:pPr>
        <w:spacing w:line="276" w:lineRule="auto"/>
      </w:pPr>
    </w:p>
    <w:p w14:paraId="3803B87F" w14:textId="77777777" w:rsidR="00D606AD" w:rsidRPr="00CE3043" w:rsidRDefault="00D606AD" w:rsidP="00CE3043">
      <w:pPr>
        <w:spacing w:line="276" w:lineRule="auto"/>
      </w:pPr>
      <w:r w:rsidRPr="00CE3043">
        <w:rPr>
          <w:b/>
        </w:rPr>
        <w:t xml:space="preserve">Title: </w:t>
      </w:r>
      <w:r w:rsidR="00E41711" w:rsidRPr="00CE3043">
        <w:t xml:space="preserve">Are physically embodied social agents better than disembodied social </w:t>
      </w:r>
      <w:proofErr w:type="gramStart"/>
      <w:r w:rsidR="00E41711" w:rsidRPr="00CE3043">
        <w:t>agents?:</w:t>
      </w:r>
      <w:proofErr w:type="gramEnd"/>
      <w:r w:rsidR="00E41711" w:rsidRPr="00CE3043">
        <w:t xml:space="preserve"> The effects of physical embodiment, tactile interaction, and people’s loneliness in human-robot interaction </w:t>
      </w:r>
    </w:p>
    <w:p w14:paraId="01C9B8DB" w14:textId="77777777" w:rsidR="00D606AD" w:rsidRPr="00CE3043" w:rsidRDefault="00D606AD" w:rsidP="00CE3043">
      <w:pPr>
        <w:spacing w:line="276" w:lineRule="auto"/>
      </w:pPr>
      <w:r w:rsidRPr="00CE3043">
        <w:rPr>
          <w:b/>
        </w:rPr>
        <w:t xml:space="preserve">Author(s): </w:t>
      </w:r>
      <w:r w:rsidR="00E41711" w:rsidRPr="00CE3043">
        <w:t xml:space="preserve">Kwan Min Lee, </w:t>
      </w:r>
      <w:proofErr w:type="spellStart"/>
      <w:r w:rsidR="00E41711" w:rsidRPr="00CE3043">
        <w:t>Younbo</w:t>
      </w:r>
      <w:proofErr w:type="spellEnd"/>
      <w:r w:rsidR="00E41711" w:rsidRPr="00CE3043">
        <w:t xml:space="preserve"> Jung, </w:t>
      </w:r>
      <w:proofErr w:type="spellStart"/>
      <w:r w:rsidR="00E41711" w:rsidRPr="00CE3043">
        <w:t>Jaywoo</w:t>
      </w:r>
      <w:proofErr w:type="spellEnd"/>
      <w:r w:rsidR="00E41711" w:rsidRPr="00CE3043">
        <w:t xml:space="preserve"> Kim, Sang </w:t>
      </w:r>
      <w:proofErr w:type="spellStart"/>
      <w:r w:rsidR="00E41711" w:rsidRPr="00CE3043">
        <w:t>Ryoung</w:t>
      </w:r>
      <w:proofErr w:type="spellEnd"/>
      <w:r w:rsidR="00E41711" w:rsidRPr="00CE3043">
        <w:t xml:space="preserve"> Kim </w:t>
      </w:r>
    </w:p>
    <w:p w14:paraId="32C55F6F" w14:textId="77777777" w:rsidR="00D606AD" w:rsidRPr="00CE3043" w:rsidRDefault="00ED797B" w:rsidP="00CE3043">
      <w:pPr>
        <w:spacing w:line="276" w:lineRule="auto"/>
      </w:pPr>
      <w:r w:rsidRPr="00CE3043">
        <w:rPr>
          <w:b/>
        </w:rPr>
        <w:t xml:space="preserve">Source: </w:t>
      </w:r>
      <w:r w:rsidRPr="00CE3043">
        <w:t>Elsevier</w:t>
      </w:r>
    </w:p>
    <w:p w14:paraId="58EAEFCE" w14:textId="77777777" w:rsidR="00D606AD" w:rsidRPr="00CE3043" w:rsidRDefault="00D606AD" w:rsidP="00CE3043">
      <w:pPr>
        <w:spacing w:line="276" w:lineRule="auto"/>
        <w:rPr>
          <w:b/>
        </w:rPr>
      </w:pPr>
      <w:r w:rsidRPr="00CE3043">
        <w:rPr>
          <w:b/>
        </w:rPr>
        <w:t>Publication:</w:t>
      </w:r>
      <w:r w:rsidR="00ED797B" w:rsidRPr="00CE3043">
        <w:rPr>
          <w:b/>
        </w:rPr>
        <w:t xml:space="preserve"> </w:t>
      </w:r>
      <w:r w:rsidR="00ED797B" w:rsidRPr="00CE3043">
        <w:t>International Journal of Human-Computer Studies</w:t>
      </w:r>
      <w:r w:rsidRPr="00CE3043">
        <w:rPr>
          <w:b/>
        </w:rPr>
        <w:t xml:space="preserve"> </w:t>
      </w:r>
    </w:p>
    <w:p w14:paraId="47FE9172" w14:textId="77777777" w:rsidR="00D606AD" w:rsidRPr="00CE3043" w:rsidRDefault="00D606AD" w:rsidP="00CE3043">
      <w:pPr>
        <w:spacing w:line="276" w:lineRule="auto"/>
      </w:pPr>
      <w:r w:rsidRPr="00CE3043">
        <w:rPr>
          <w:b/>
        </w:rPr>
        <w:t>Publication Date:</w:t>
      </w:r>
      <w:r w:rsidR="00ED797B" w:rsidRPr="00CE3043">
        <w:rPr>
          <w:b/>
        </w:rPr>
        <w:t xml:space="preserve"> </w:t>
      </w:r>
      <w:r w:rsidR="00ED797B" w:rsidRPr="00CE3043">
        <w:t>October 2006</w:t>
      </w:r>
    </w:p>
    <w:p w14:paraId="0C1E9391" w14:textId="77777777" w:rsidR="00D606AD" w:rsidRPr="00CE3043" w:rsidRDefault="00D606AD" w:rsidP="00CE3043">
      <w:pPr>
        <w:spacing w:line="276" w:lineRule="auto"/>
        <w:rPr>
          <w:b/>
        </w:rPr>
      </w:pPr>
      <w:r w:rsidRPr="00CE3043">
        <w:rPr>
          <w:b/>
        </w:rPr>
        <w:t>APA Citation:</w:t>
      </w:r>
      <w:r w:rsidR="00C53DE3" w:rsidRPr="00CE3043">
        <w:rPr>
          <w:b/>
        </w:rPr>
        <w:t xml:space="preserve"> </w:t>
      </w:r>
      <w:r w:rsidR="00C53DE3" w:rsidRPr="00CE3043">
        <w:t xml:space="preserve">Lee, K. M., Jung, Y., Kim, J., &amp; Kim, S. R. (2006). Are physically embodied social agents better than disembodied social </w:t>
      </w:r>
      <w:proofErr w:type="gramStart"/>
      <w:r w:rsidR="00C53DE3" w:rsidRPr="00CE3043">
        <w:t>agents?:</w:t>
      </w:r>
      <w:proofErr w:type="gramEnd"/>
      <w:r w:rsidR="00C53DE3" w:rsidRPr="00CE3043">
        <w:t xml:space="preserve"> The effects of physical embodiment, tactile interaction, and peoples loneliness in human–robot interaction. </w:t>
      </w:r>
      <w:r w:rsidR="00C53DE3" w:rsidRPr="00CE3043">
        <w:rPr>
          <w:i/>
        </w:rPr>
        <w:t>International Journal of Human-Computer Studies, 64</w:t>
      </w:r>
      <w:r w:rsidR="00C53DE3" w:rsidRPr="00CE3043">
        <w:t xml:space="preserve">(10), 962-973. </w:t>
      </w:r>
    </w:p>
    <w:p w14:paraId="0C0FCA4A" w14:textId="77777777" w:rsidR="00D606AD" w:rsidRPr="00CE3043" w:rsidRDefault="00D606AD" w:rsidP="00CE3043">
      <w:pPr>
        <w:spacing w:line="276" w:lineRule="auto"/>
        <w:rPr>
          <w:b/>
        </w:rPr>
      </w:pPr>
    </w:p>
    <w:p w14:paraId="0137E878" w14:textId="1851654D" w:rsidR="00A01451" w:rsidRPr="00CE3043" w:rsidRDefault="00A01451" w:rsidP="00CE3043">
      <w:pPr>
        <w:spacing w:line="276" w:lineRule="auto"/>
        <w:rPr>
          <w:i/>
        </w:rPr>
      </w:pPr>
      <w:r w:rsidRPr="00CE3043">
        <w:rPr>
          <w:b/>
          <w:i/>
        </w:rPr>
        <w:t xml:space="preserve">Side Note: </w:t>
      </w:r>
      <w:r w:rsidRPr="00CE3043">
        <w:rPr>
          <w:i/>
        </w:rPr>
        <w:t>Experiment divided into two parts</w:t>
      </w:r>
    </w:p>
    <w:p w14:paraId="54D03D97" w14:textId="77777777" w:rsidR="00D606AD" w:rsidRPr="00CE3043" w:rsidRDefault="00D606AD" w:rsidP="00CE3043">
      <w:pPr>
        <w:spacing w:line="276" w:lineRule="auto"/>
        <w:rPr>
          <w:b/>
        </w:rPr>
      </w:pPr>
      <w:r w:rsidRPr="00CE3043">
        <w:rPr>
          <w:b/>
        </w:rPr>
        <w:t>Summary:</w:t>
      </w:r>
    </w:p>
    <w:p w14:paraId="53D7B959" w14:textId="77777777" w:rsidR="00576CF7" w:rsidRPr="00CE3043" w:rsidRDefault="000D0E07" w:rsidP="00CE3043">
      <w:pPr>
        <w:spacing w:line="276" w:lineRule="auto"/>
      </w:pPr>
      <w:r w:rsidRPr="00CE3043">
        <w:t>The main research question to this study was: “</w:t>
      </w:r>
      <w:r w:rsidR="00E132DE" w:rsidRPr="00CE3043">
        <w:t>I</w:t>
      </w:r>
      <w:r w:rsidRPr="00CE3043">
        <w:t xml:space="preserve">s physical embodiment necessary for successful social interaction between humans and social agents?”. With </w:t>
      </w:r>
      <w:r w:rsidR="00576CF7" w:rsidRPr="00CE3043">
        <w:t>an</w:t>
      </w:r>
      <w:r w:rsidRPr="00CE3043">
        <w:t xml:space="preserve"> assumption that physical embodiment results in better social interaction</w:t>
      </w:r>
      <w:r w:rsidR="00576CF7" w:rsidRPr="00CE3043">
        <w:t xml:space="preserve"> and that social facilitation effect comes from increased social presence</w:t>
      </w:r>
      <w:r w:rsidRPr="00CE3043">
        <w:t>,</w:t>
      </w:r>
      <w:r w:rsidR="00E132DE" w:rsidRPr="00CE3043">
        <w:t xml:space="preserve"> researchers tested 6 hypothese</w:t>
      </w:r>
      <w:r w:rsidR="00576CF7" w:rsidRPr="00CE3043">
        <w:t xml:space="preserve">s for Experiment 1: </w:t>
      </w:r>
    </w:p>
    <w:p w14:paraId="15EE6FF7" w14:textId="77777777" w:rsidR="00576CF7" w:rsidRPr="00CE3043" w:rsidRDefault="00576CF7" w:rsidP="00CE3043">
      <w:pPr>
        <w:pStyle w:val="ListParagraph"/>
        <w:numPr>
          <w:ilvl w:val="0"/>
          <w:numId w:val="2"/>
        </w:numPr>
        <w:spacing w:line="276" w:lineRule="auto"/>
        <w:rPr>
          <w:rFonts w:ascii="Times New Roman" w:hAnsi="Times New Roman" w:cs="Times New Roman"/>
        </w:rPr>
      </w:pPr>
      <w:r w:rsidRPr="00CE3043">
        <w:rPr>
          <w:rFonts w:ascii="Times New Roman" w:hAnsi="Times New Roman" w:cs="Times New Roman"/>
        </w:rPr>
        <w:t>People will evaluate a physically embodied social agent more positively than a disembodied social agent</w:t>
      </w:r>
      <w:r w:rsidR="00E132DE" w:rsidRPr="00CE3043">
        <w:rPr>
          <w:rFonts w:ascii="Times New Roman" w:hAnsi="Times New Roman" w:cs="Times New Roman"/>
        </w:rPr>
        <w:t>.</w:t>
      </w:r>
    </w:p>
    <w:p w14:paraId="774A0808" w14:textId="77777777" w:rsidR="00576CF7" w:rsidRPr="00CE3043" w:rsidRDefault="00576CF7" w:rsidP="00CE3043">
      <w:pPr>
        <w:pStyle w:val="ListParagraph"/>
        <w:numPr>
          <w:ilvl w:val="0"/>
          <w:numId w:val="2"/>
        </w:numPr>
        <w:spacing w:line="276" w:lineRule="auto"/>
        <w:rPr>
          <w:rFonts w:ascii="Times New Roman" w:hAnsi="Times New Roman" w:cs="Times New Roman"/>
        </w:rPr>
      </w:pPr>
      <w:r w:rsidRPr="00CE3043">
        <w:rPr>
          <w:rFonts w:ascii="Times New Roman" w:hAnsi="Times New Roman" w:cs="Times New Roman"/>
        </w:rPr>
        <w:t>People will be more socially attracted to a physically embodied agent</w:t>
      </w:r>
      <w:r w:rsidR="00E132DE" w:rsidRPr="00CE3043">
        <w:rPr>
          <w:rFonts w:ascii="Times New Roman" w:hAnsi="Times New Roman" w:cs="Times New Roman"/>
        </w:rPr>
        <w:t>.</w:t>
      </w:r>
      <w:r w:rsidRPr="00CE3043">
        <w:rPr>
          <w:rFonts w:ascii="Times New Roman" w:hAnsi="Times New Roman" w:cs="Times New Roman"/>
        </w:rPr>
        <w:t xml:space="preserve"> </w:t>
      </w:r>
    </w:p>
    <w:p w14:paraId="6E2308AC" w14:textId="77777777" w:rsidR="00576CF7" w:rsidRPr="00CE3043" w:rsidRDefault="00576CF7" w:rsidP="00CE3043">
      <w:pPr>
        <w:pStyle w:val="ListParagraph"/>
        <w:numPr>
          <w:ilvl w:val="0"/>
          <w:numId w:val="2"/>
        </w:numPr>
        <w:spacing w:line="276" w:lineRule="auto"/>
        <w:rPr>
          <w:rFonts w:ascii="Times New Roman" w:hAnsi="Times New Roman" w:cs="Times New Roman"/>
        </w:rPr>
      </w:pPr>
      <w:r w:rsidRPr="00CE3043">
        <w:rPr>
          <w:rFonts w:ascii="Times New Roman" w:hAnsi="Times New Roman" w:cs="Times New Roman"/>
        </w:rPr>
        <w:t>People will evaluate their own interaction with a physically embodied agent more positively</w:t>
      </w:r>
      <w:r w:rsidR="00E132DE" w:rsidRPr="00CE3043">
        <w:rPr>
          <w:rFonts w:ascii="Times New Roman" w:hAnsi="Times New Roman" w:cs="Times New Roman"/>
        </w:rPr>
        <w:t>.</w:t>
      </w:r>
    </w:p>
    <w:p w14:paraId="5110B2BB" w14:textId="77777777" w:rsidR="00576CF7" w:rsidRPr="00CE3043" w:rsidRDefault="00576CF7" w:rsidP="00CE3043">
      <w:pPr>
        <w:pStyle w:val="ListParagraph"/>
        <w:numPr>
          <w:ilvl w:val="0"/>
          <w:numId w:val="2"/>
        </w:numPr>
        <w:spacing w:line="276" w:lineRule="auto"/>
        <w:rPr>
          <w:rFonts w:ascii="Times New Roman" w:hAnsi="Times New Roman" w:cs="Times New Roman"/>
        </w:rPr>
      </w:pPr>
      <w:r w:rsidRPr="00CE3043">
        <w:rPr>
          <w:rFonts w:ascii="Times New Roman" w:hAnsi="Times New Roman" w:cs="Times New Roman"/>
        </w:rPr>
        <w:t>People will assess that other people will evaluate a physically</w:t>
      </w:r>
      <w:r w:rsidRPr="00CE3043">
        <w:rPr>
          <w:rFonts w:ascii="Times New Roman" w:hAnsi="Times New Roman" w:cs="Times New Roman"/>
        </w:rPr>
        <w:t xml:space="preserve"> embodied agent more positively</w:t>
      </w:r>
      <w:r w:rsidR="00E132DE" w:rsidRPr="00CE3043">
        <w:rPr>
          <w:rFonts w:ascii="Times New Roman" w:hAnsi="Times New Roman" w:cs="Times New Roman"/>
        </w:rPr>
        <w:t>.</w:t>
      </w:r>
    </w:p>
    <w:p w14:paraId="08A5A0B4" w14:textId="77777777" w:rsidR="00576CF7" w:rsidRPr="00CE3043" w:rsidRDefault="00576CF7" w:rsidP="00CE3043">
      <w:pPr>
        <w:pStyle w:val="ListParagraph"/>
        <w:numPr>
          <w:ilvl w:val="0"/>
          <w:numId w:val="2"/>
        </w:numPr>
        <w:spacing w:line="276" w:lineRule="auto"/>
        <w:rPr>
          <w:rFonts w:ascii="Times New Roman" w:hAnsi="Times New Roman" w:cs="Times New Roman"/>
        </w:rPr>
      </w:pPr>
      <w:r w:rsidRPr="00CE3043">
        <w:rPr>
          <w:rFonts w:ascii="Times New Roman" w:hAnsi="Times New Roman" w:cs="Times New Roman"/>
        </w:rPr>
        <w:t>People will feel a stronger sense of social presence when they interact with a physically embodied agent</w:t>
      </w:r>
      <w:r w:rsidR="00E132DE" w:rsidRPr="00CE3043">
        <w:rPr>
          <w:rFonts w:ascii="Times New Roman" w:hAnsi="Times New Roman" w:cs="Times New Roman"/>
        </w:rPr>
        <w:t>.</w:t>
      </w:r>
      <w:r w:rsidRPr="00CE3043">
        <w:rPr>
          <w:rFonts w:ascii="Times New Roman" w:hAnsi="Times New Roman" w:cs="Times New Roman"/>
        </w:rPr>
        <w:t xml:space="preserve"> </w:t>
      </w:r>
    </w:p>
    <w:p w14:paraId="5512DB07" w14:textId="77777777" w:rsidR="00576CF7" w:rsidRPr="00CE3043" w:rsidRDefault="00576CF7" w:rsidP="00CE3043">
      <w:pPr>
        <w:pStyle w:val="ListParagraph"/>
        <w:numPr>
          <w:ilvl w:val="0"/>
          <w:numId w:val="2"/>
        </w:numPr>
        <w:spacing w:line="276" w:lineRule="auto"/>
        <w:rPr>
          <w:rFonts w:ascii="Times New Roman" w:hAnsi="Times New Roman" w:cs="Times New Roman"/>
        </w:rPr>
      </w:pPr>
      <w:r w:rsidRPr="00CE3043">
        <w:rPr>
          <w:rFonts w:ascii="Times New Roman" w:hAnsi="Times New Roman" w:cs="Times New Roman"/>
        </w:rPr>
        <w:t>People’s social responses to a social agent will be mediated by people’s feeling of social presence during the interaction</w:t>
      </w:r>
      <w:r w:rsidR="00E132DE" w:rsidRPr="00CE3043">
        <w:rPr>
          <w:rFonts w:ascii="Times New Roman" w:hAnsi="Times New Roman" w:cs="Times New Roman"/>
        </w:rPr>
        <w:t>.</w:t>
      </w:r>
      <w:r w:rsidRPr="00CE3043">
        <w:rPr>
          <w:rFonts w:ascii="Times New Roman" w:hAnsi="Times New Roman" w:cs="Times New Roman"/>
        </w:rPr>
        <w:t xml:space="preserve"> </w:t>
      </w:r>
    </w:p>
    <w:p w14:paraId="4F6979E1" w14:textId="77777777" w:rsidR="00E132DE" w:rsidRPr="00CE3043" w:rsidRDefault="00E132DE" w:rsidP="00CE3043">
      <w:pPr>
        <w:spacing w:line="276" w:lineRule="auto"/>
      </w:pPr>
    </w:p>
    <w:p w14:paraId="1C757A84" w14:textId="77777777" w:rsidR="00576CF7" w:rsidRPr="00CE3043" w:rsidRDefault="00576CF7" w:rsidP="00CE3043">
      <w:pPr>
        <w:spacing w:line="276" w:lineRule="auto"/>
      </w:pPr>
      <w:r w:rsidRPr="00CE3043">
        <w:t xml:space="preserve">32 undergraduate students in the West Coast of the US participated in the study. Gender balanced group were randomly assigned to either a physically embodied agent </w:t>
      </w:r>
      <w:proofErr w:type="spellStart"/>
      <w:r w:rsidRPr="00CE3043">
        <w:t>Aibo</w:t>
      </w:r>
      <w:proofErr w:type="spellEnd"/>
      <w:r w:rsidRPr="00CE3043">
        <w:t xml:space="preserve"> by Sony or a physically disembodied virtual </w:t>
      </w:r>
      <w:proofErr w:type="spellStart"/>
      <w:r w:rsidRPr="00CE3043">
        <w:t>Aibo</w:t>
      </w:r>
      <w:proofErr w:type="spellEnd"/>
      <w:r w:rsidRPr="00CE3043">
        <w:t xml:space="preserve"> on a flat monitor screen. They were given 10 minutes to interact with the agent and were asked to complete a paper-based questionnaire. The general evaluation of </w:t>
      </w:r>
      <w:proofErr w:type="spellStart"/>
      <w:r w:rsidRPr="00CE3043">
        <w:t>Aibo</w:t>
      </w:r>
      <w:proofErr w:type="spellEnd"/>
      <w:r w:rsidRPr="00CE3043">
        <w:t xml:space="preserve"> was measured by a 5 question, 10-point semantic differential scale—a modified measure of </w:t>
      </w:r>
      <w:proofErr w:type="spellStart"/>
      <w:r w:rsidRPr="00CE3043">
        <w:t>Poresky</w:t>
      </w:r>
      <w:proofErr w:type="spellEnd"/>
      <w:r w:rsidRPr="00CE3043">
        <w:t xml:space="preserve"> et al. (1987) study of Perception of Pets as a Companion. Social attraction toward </w:t>
      </w:r>
      <w:proofErr w:type="spellStart"/>
      <w:r w:rsidRPr="00CE3043">
        <w:t>Aibo</w:t>
      </w:r>
      <w:proofErr w:type="spellEnd"/>
      <w:r w:rsidRPr="00CE3043">
        <w:t xml:space="preserve"> were measured using a </w:t>
      </w:r>
      <w:proofErr w:type="gramStart"/>
      <w:r w:rsidRPr="00CE3043">
        <w:t>7 point</w:t>
      </w:r>
      <w:proofErr w:type="gramEnd"/>
      <w:r w:rsidRPr="00CE3043">
        <w:t xml:space="preserve"> response scale</w:t>
      </w:r>
      <w:r w:rsidRPr="00CE3043">
        <w:t>—</w:t>
      </w:r>
      <w:r w:rsidRPr="00CE3043">
        <w:t xml:space="preserve">a modified version of </w:t>
      </w:r>
      <w:proofErr w:type="spellStart"/>
      <w:r w:rsidRPr="00CE3043">
        <w:t>McCroskey</w:t>
      </w:r>
      <w:proofErr w:type="spellEnd"/>
      <w:r w:rsidRPr="00CE3043">
        <w:t xml:space="preserve"> and McCain’s Interpersonal Attraction Scale</w:t>
      </w:r>
      <w:r w:rsidR="00D37E90" w:rsidRPr="00CE3043">
        <w:t xml:space="preserve">. The general evaluation of the interaction with </w:t>
      </w:r>
      <w:proofErr w:type="spellStart"/>
      <w:r w:rsidR="00D37E90" w:rsidRPr="00CE3043">
        <w:t>Aibo</w:t>
      </w:r>
      <w:proofErr w:type="spellEnd"/>
      <w:r w:rsidR="00D37E90" w:rsidRPr="00CE3043">
        <w:t xml:space="preserve"> was measured with a </w:t>
      </w:r>
      <w:proofErr w:type="gramStart"/>
      <w:r w:rsidR="00D37E90" w:rsidRPr="00CE3043">
        <w:t>10 point</w:t>
      </w:r>
      <w:proofErr w:type="gramEnd"/>
      <w:r w:rsidR="00D37E90" w:rsidRPr="00CE3043">
        <w:t xml:space="preserve"> response scale in which the participants were asked to indicate how well the given 6 adjectives described their interaction with </w:t>
      </w:r>
      <w:proofErr w:type="spellStart"/>
      <w:r w:rsidR="00D37E90" w:rsidRPr="00CE3043">
        <w:t>Aibo</w:t>
      </w:r>
      <w:proofErr w:type="spellEnd"/>
      <w:r w:rsidR="00D37E90" w:rsidRPr="00CE3043">
        <w:t xml:space="preserve">. The assessment of public evaluation of </w:t>
      </w:r>
      <w:proofErr w:type="spellStart"/>
      <w:r w:rsidR="00D37E90" w:rsidRPr="00CE3043">
        <w:t>Aibo</w:t>
      </w:r>
      <w:proofErr w:type="spellEnd"/>
      <w:r w:rsidR="00D37E90" w:rsidRPr="00CE3043">
        <w:t xml:space="preserve"> was measured in a </w:t>
      </w:r>
      <w:proofErr w:type="gramStart"/>
      <w:r w:rsidR="00D37E90" w:rsidRPr="00CE3043">
        <w:t>10 point</w:t>
      </w:r>
      <w:proofErr w:type="gramEnd"/>
      <w:r w:rsidR="00D37E90" w:rsidRPr="00CE3043">
        <w:t xml:space="preserve"> response scale with 3 specific statements. Lastly, social presence was measured in a </w:t>
      </w:r>
      <w:r w:rsidR="00D37E90" w:rsidRPr="00CE3043">
        <w:lastRenderedPageBreak/>
        <w:t xml:space="preserve">combination of </w:t>
      </w:r>
      <w:proofErr w:type="gramStart"/>
      <w:r w:rsidR="00D37E90" w:rsidRPr="00CE3043">
        <w:t>10 point</w:t>
      </w:r>
      <w:proofErr w:type="gramEnd"/>
      <w:r w:rsidR="00D37E90" w:rsidRPr="00CE3043">
        <w:t xml:space="preserve"> semantic differential scale and independent 10 point scales with questions in total. </w:t>
      </w:r>
      <w:r w:rsidRPr="00CE3043">
        <w:t xml:space="preserve"> </w:t>
      </w:r>
    </w:p>
    <w:p w14:paraId="61E9E242" w14:textId="77777777" w:rsidR="00E132DE" w:rsidRPr="00CE3043" w:rsidRDefault="00E132DE" w:rsidP="00CE3043">
      <w:pPr>
        <w:spacing w:line="276" w:lineRule="auto"/>
      </w:pPr>
    </w:p>
    <w:p w14:paraId="6499E2AE" w14:textId="77777777" w:rsidR="00D37E90" w:rsidRPr="00CE3043" w:rsidRDefault="00D37E90" w:rsidP="00CE3043">
      <w:pPr>
        <w:spacing w:line="276" w:lineRule="auto"/>
      </w:pPr>
      <w:r w:rsidRPr="00CE3043">
        <w:t xml:space="preserve">The first five hypotheses of Experiment 1 were calculated using a one-way ANOVA and the results were as follows: </w:t>
      </w:r>
    </w:p>
    <w:p w14:paraId="7E9A0BD8" w14:textId="16E22830" w:rsidR="00D37E90" w:rsidRPr="00CE3043" w:rsidRDefault="00D37E9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H1: supported; </w:t>
      </w:r>
      <w:proofErr w:type="gramStart"/>
      <w:r w:rsidRPr="00CE3043">
        <w:rPr>
          <w:rFonts w:ascii="Times New Roman" w:hAnsi="Times New Roman" w:cs="Times New Roman"/>
          <w:i/>
        </w:rPr>
        <w:t>F</w:t>
      </w:r>
      <w:r w:rsidR="003F6A1D" w:rsidRPr="00CE3043">
        <w:rPr>
          <w:rFonts w:ascii="Times New Roman" w:hAnsi="Times New Roman" w:cs="Times New Roman"/>
        </w:rPr>
        <w:t>(</w:t>
      </w:r>
      <w:proofErr w:type="gramEnd"/>
      <w:r w:rsidR="003F6A1D" w:rsidRPr="00CE3043">
        <w:rPr>
          <w:rFonts w:ascii="Times New Roman" w:hAnsi="Times New Roman" w:cs="Times New Roman"/>
        </w:rPr>
        <w:t>1,29)=</w:t>
      </w:r>
      <w:r w:rsidRPr="00CE3043">
        <w:rPr>
          <w:rFonts w:ascii="Times New Roman" w:hAnsi="Times New Roman" w:cs="Times New Roman"/>
        </w:rPr>
        <w:t>7.76</w:t>
      </w:r>
      <w:r w:rsidRPr="00CE3043">
        <w:rPr>
          <w:rFonts w:ascii="Times New Roman" w:hAnsi="Times New Roman" w:cs="Times New Roman"/>
        </w:rPr>
        <w:t xml:space="preserve">, </w:t>
      </w:r>
      <w:r w:rsidRPr="00CE3043">
        <w:rPr>
          <w:rFonts w:ascii="Times New Roman" w:hAnsi="Times New Roman" w:cs="Times New Roman"/>
          <w:i/>
        </w:rPr>
        <w:t>p</w:t>
      </w:r>
      <w:r w:rsidRPr="00CE3043">
        <w:rPr>
          <w:rFonts w:ascii="Times New Roman" w:hAnsi="Times New Roman" w:cs="Times New Roman"/>
        </w:rPr>
        <w:t>&lt;.05</w:t>
      </w:r>
    </w:p>
    <w:p w14:paraId="76C5471D" w14:textId="77777777" w:rsidR="00D37E90" w:rsidRPr="00CE3043" w:rsidRDefault="00D37E9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H2: </w:t>
      </w:r>
      <w:r w:rsidRPr="00CE3043">
        <w:rPr>
          <w:rFonts w:ascii="Times New Roman" w:hAnsi="Times New Roman" w:cs="Times New Roman"/>
        </w:rPr>
        <w:t>not supported;</w:t>
      </w:r>
      <w:r w:rsidRPr="00CE3043">
        <w:rPr>
          <w:rFonts w:ascii="Times New Roman" w:hAnsi="Times New Roman" w:cs="Times New Roman"/>
        </w:rPr>
        <w:t xml:space="preserve"> no significance </w:t>
      </w:r>
    </w:p>
    <w:p w14:paraId="0946283D" w14:textId="77777777" w:rsidR="00D37E90" w:rsidRPr="00CE3043" w:rsidRDefault="00D37E9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H3: supported</w:t>
      </w:r>
      <w:r w:rsidRPr="00CE3043">
        <w:rPr>
          <w:rFonts w:ascii="Times New Roman" w:hAnsi="Times New Roman" w:cs="Times New Roman"/>
        </w:rPr>
        <w:t>;</w:t>
      </w:r>
      <w:r w:rsidRPr="00CE3043">
        <w:rPr>
          <w:rFonts w:ascii="Times New Roman" w:hAnsi="Times New Roman" w:cs="Times New Roman"/>
        </w:rPr>
        <w:t xml:space="preserve"> </w:t>
      </w:r>
      <w:proofErr w:type="gramStart"/>
      <w:r w:rsidRPr="00CE3043">
        <w:rPr>
          <w:rFonts w:ascii="Times New Roman" w:hAnsi="Times New Roman" w:cs="Times New Roman"/>
          <w:i/>
        </w:rPr>
        <w:t>F</w:t>
      </w:r>
      <w:r w:rsidRPr="00CE3043">
        <w:rPr>
          <w:rFonts w:ascii="Times New Roman" w:hAnsi="Times New Roman" w:cs="Times New Roman"/>
        </w:rPr>
        <w:t>(</w:t>
      </w:r>
      <w:proofErr w:type="gramEnd"/>
      <w:r w:rsidRPr="00CE3043">
        <w:rPr>
          <w:rFonts w:ascii="Times New Roman" w:hAnsi="Times New Roman" w:cs="Times New Roman"/>
        </w:rPr>
        <w:t xml:space="preserve">1,29)=8.41, </w:t>
      </w:r>
      <w:r w:rsidRPr="00CE3043">
        <w:rPr>
          <w:rFonts w:ascii="Times New Roman" w:hAnsi="Times New Roman" w:cs="Times New Roman"/>
          <w:i/>
        </w:rPr>
        <w:t>p</w:t>
      </w:r>
      <w:r w:rsidRPr="00CE3043">
        <w:rPr>
          <w:rFonts w:ascii="Times New Roman" w:hAnsi="Times New Roman" w:cs="Times New Roman"/>
        </w:rPr>
        <w:t>&lt;.01</w:t>
      </w:r>
    </w:p>
    <w:p w14:paraId="638253A5" w14:textId="77777777" w:rsidR="00D37E90" w:rsidRPr="00CE3043" w:rsidRDefault="00D37E9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H4: supported</w:t>
      </w:r>
      <w:r w:rsidRPr="00CE3043">
        <w:rPr>
          <w:rFonts w:ascii="Times New Roman" w:hAnsi="Times New Roman" w:cs="Times New Roman"/>
        </w:rPr>
        <w:t>;</w:t>
      </w:r>
      <w:r w:rsidRPr="00CE3043">
        <w:rPr>
          <w:rFonts w:ascii="Times New Roman" w:hAnsi="Times New Roman" w:cs="Times New Roman"/>
        </w:rPr>
        <w:t xml:space="preserve"> </w:t>
      </w:r>
      <w:proofErr w:type="gramStart"/>
      <w:r w:rsidRPr="00CE3043">
        <w:rPr>
          <w:rFonts w:ascii="Times New Roman" w:hAnsi="Times New Roman" w:cs="Times New Roman"/>
          <w:i/>
        </w:rPr>
        <w:t>F</w:t>
      </w:r>
      <w:r w:rsidRPr="00CE3043">
        <w:rPr>
          <w:rFonts w:ascii="Times New Roman" w:hAnsi="Times New Roman" w:cs="Times New Roman"/>
        </w:rPr>
        <w:t>(</w:t>
      </w:r>
      <w:proofErr w:type="gramEnd"/>
      <w:r w:rsidRPr="00CE3043">
        <w:rPr>
          <w:rFonts w:ascii="Times New Roman" w:hAnsi="Times New Roman" w:cs="Times New Roman"/>
        </w:rPr>
        <w:t>1,29)</w:t>
      </w:r>
      <w:r w:rsidRPr="00CE3043">
        <w:rPr>
          <w:rFonts w:ascii="Times New Roman" w:hAnsi="Times New Roman" w:cs="Times New Roman"/>
        </w:rPr>
        <w:t>=4.11</w:t>
      </w:r>
      <w:r w:rsidRPr="00CE3043">
        <w:rPr>
          <w:rFonts w:ascii="Times New Roman" w:hAnsi="Times New Roman" w:cs="Times New Roman"/>
        </w:rPr>
        <w:t>,</w:t>
      </w:r>
      <w:r w:rsidRPr="00CE3043">
        <w:rPr>
          <w:rFonts w:ascii="Times New Roman" w:hAnsi="Times New Roman" w:cs="Times New Roman"/>
        </w:rPr>
        <w:t xml:space="preserve"> </w:t>
      </w:r>
      <w:r w:rsidRPr="00CE3043">
        <w:rPr>
          <w:rFonts w:ascii="Times New Roman" w:hAnsi="Times New Roman" w:cs="Times New Roman"/>
          <w:i/>
        </w:rPr>
        <w:t>p</w:t>
      </w:r>
      <w:r w:rsidRPr="00CE3043">
        <w:rPr>
          <w:rFonts w:ascii="Times New Roman" w:hAnsi="Times New Roman" w:cs="Times New Roman"/>
        </w:rPr>
        <w:t>&lt;.06</w:t>
      </w:r>
    </w:p>
    <w:p w14:paraId="19CFD695" w14:textId="77777777" w:rsidR="00D37E90" w:rsidRPr="00CE3043" w:rsidRDefault="00D37E9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H5: supported</w:t>
      </w:r>
      <w:r w:rsidRPr="00CE3043">
        <w:rPr>
          <w:rFonts w:ascii="Times New Roman" w:hAnsi="Times New Roman" w:cs="Times New Roman"/>
        </w:rPr>
        <w:t>;</w:t>
      </w:r>
      <w:r w:rsidRPr="00CE3043">
        <w:rPr>
          <w:rFonts w:ascii="Times New Roman" w:hAnsi="Times New Roman" w:cs="Times New Roman"/>
        </w:rPr>
        <w:t xml:space="preserve"> </w:t>
      </w:r>
      <w:proofErr w:type="gramStart"/>
      <w:r w:rsidRPr="00CE3043">
        <w:rPr>
          <w:rFonts w:ascii="Times New Roman" w:hAnsi="Times New Roman" w:cs="Times New Roman"/>
          <w:i/>
        </w:rPr>
        <w:t>F</w:t>
      </w:r>
      <w:r w:rsidRPr="00CE3043">
        <w:rPr>
          <w:rFonts w:ascii="Times New Roman" w:hAnsi="Times New Roman" w:cs="Times New Roman"/>
        </w:rPr>
        <w:t>(</w:t>
      </w:r>
      <w:proofErr w:type="gramEnd"/>
      <w:r w:rsidRPr="00CE3043">
        <w:rPr>
          <w:rFonts w:ascii="Times New Roman" w:hAnsi="Times New Roman" w:cs="Times New Roman"/>
        </w:rPr>
        <w:t>1,29)</w:t>
      </w:r>
      <w:r w:rsidRPr="00CE3043">
        <w:rPr>
          <w:rFonts w:ascii="Times New Roman" w:hAnsi="Times New Roman" w:cs="Times New Roman"/>
        </w:rPr>
        <w:t>=14.35</w:t>
      </w:r>
      <w:r w:rsidRPr="00CE3043">
        <w:rPr>
          <w:rFonts w:ascii="Times New Roman" w:hAnsi="Times New Roman" w:cs="Times New Roman"/>
        </w:rPr>
        <w:t xml:space="preserve">, </w:t>
      </w:r>
      <w:r w:rsidRPr="00CE3043">
        <w:rPr>
          <w:rFonts w:ascii="Times New Roman" w:hAnsi="Times New Roman" w:cs="Times New Roman"/>
          <w:i/>
        </w:rPr>
        <w:t>p</w:t>
      </w:r>
      <w:r w:rsidRPr="00CE3043">
        <w:rPr>
          <w:rFonts w:ascii="Times New Roman" w:hAnsi="Times New Roman" w:cs="Times New Roman"/>
        </w:rPr>
        <w:t>&lt;.01</w:t>
      </w:r>
    </w:p>
    <w:p w14:paraId="5567CC59" w14:textId="77777777" w:rsidR="00576CF7" w:rsidRPr="00CE3043" w:rsidRDefault="00D37E90" w:rsidP="00CE3043">
      <w:pPr>
        <w:spacing w:line="276" w:lineRule="auto"/>
      </w:pPr>
      <w:r w:rsidRPr="00CE3043">
        <w:t xml:space="preserve">To test the sixth hypothesis, a </w:t>
      </w:r>
      <w:r w:rsidRPr="00CE3043">
        <w:t xml:space="preserve">path analysis </w:t>
      </w:r>
      <w:r w:rsidRPr="00CE3043">
        <w:t xml:space="preserve">was used to the </w:t>
      </w:r>
      <w:r w:rsidRPr="00CE3043">
        <w:t>mediating effect of social pre</w:t>
      </w:r>
      <w:r w:rsidRPr="00CE3043">
        <w:t xml:space="preserve">sence in the evaluation of </w:t>
      </w:r>
      <w:proofErr w:type="spellStart"/>
      <w:r w:rsidRPr="00CE3043">
        <w:t>Aibo</w:t>
      </w:r>
      <w:proofErr w:type="spellEnd"/>
      <w:r w:rsidRPr="00CE3043">
        <w:t>. As a result, th</w:t>
      </w:r>
      <w:r w:rsidR="00E132DE" w:rsidRPr="00CE3043">
        <w:t xml:space="preserve">e last hypothesis was supported. </w:t>
      </w:r>
    </w:p>
    <w:p w14:paraId="0A175158" w14:textId="77777777" w:rsidR="00E132DE" w:rsidRPr="00CE3043" w:rsidRDefault="00E132DE" w:rsidP="00CE3043">
      <w:pPr>
        <w:spacing w:line="276" w:lineRule="auto"/>
      </w:pPr>
    </w:p>
    <w:p w14:paraId="3B985CBC" w14:textId="77777777" w:rsidR="00E132DE" w:rsidRPr="00CE3043" w:rsidRDefault="00E132DE" w:rsidP="00CE3043">
      <w:pPr>
        <w:spacing w:line="276" w:lineRule="auto"/>
      </w:pPr>
      <w:r w:rsidRPr="00CE3043">
        <w:t xml:space="preserve">Two main limitations of Experiment 1 were: 1) the ontological nature and 2) participants prior attitude of </w:t>
      </w:r>
      <w:proofErr w:type="spellStart"/>
      <w:r w:rsidRPr="00CE3043">
        <w:t>Aibo</w:t>
      </w:r>
      <w:proofErr w:type="spellEnd"/>
      <w:r w:rsidRPr="00CE3043">
        <w:t xml:space="preserve">. Thus, Experiment 2 hypothesized the same six hypotheses from Experiment 1 as well as six new hypotheses: </w:t>
      </w:r>
    </w:p>
    <w:p w14:paraId="5F2A61E0" w14:textId="77777777" w:rsidR="00E132DE" w:rsidRPr="00CE3043" w:rsidRDefault="004A5101" w:rsidP="00CE3043">
      <w:pPr>
        <w:pStyle w:val="ListParagraph"/>
        <w:numPr>
          <w:ilvl w:val="0"/>
          <w:numId w:val="1"/>
        </w:numPr>
        <w:spacing w:line="276" w:lineRule="auto"/>
        <w:rPr>
          <w:rFonts w:ascii="Times New Roman" w:hAnsi="Times New Roman" w:cs="Times New Roman"/>
        </w:rPr>
      </w:pPr>
      <w:r w:rsidRPr="00CE3043">
        <w:rPr>
          <w:rFonts w:ascii="Times New Roman" w:hAnsi="Times New Roman" w:cs="Times New Roman"/>
        </w:rPr>
        <w:t>Lonely people will evaluate a social agent more positively</w:t>
      </w:r>
      <w:r w:rsidR="00E132DE" w:rsidRPr="00CE3043">
        <w:rPr>
          <w:rFonts w:ascii="Times New Roman" w:hAnsi="Times New Roman" w:cs="Times New Roman"/>
        </w:rPr>
        <w:t xml:space="preserve"> than non-lonely people.</w:t>
      </w:r>
      <w:r w:rsidRPr="00CE3043">
        <w:rPr>
          <w:rFonts w:ascii="Times New Roman" w:hAnsi="Times New Roman" w:cs="Times New Roman"/>
        </w:rPr>
        <w:t xml:space="preserve"> </w:t>
      </w:r>
    </w:p>
    <w:p w14:paraId="77F9B673" w14:textId="77777777" w:rsidR="00E132DE" w:rsidRPr="00CE3043" w:rsidRDefault="004A5101" w:rsidP="00CE3043">
      <w:pPr>
        <w:pStyle w:val="ListParagraph"/>
        <w:numPr>
          <w:ilvl w:val="0"/>
          <w:numId w:val="1"/>
        </w:numPr>
        <w:spacing w:line="276" w:lineRule="auto"/>
        <w:rPr>
          <w:rFonts w:ascii="Times New Roman" w:hAnsi="Times New Roman" w:cs="Times New Roman"/>
        </w:rPr>
      </w:pPr>
      <w:r w:rsidRPr="00CE3043">
        <w:rPr>
          <w:rFonts w:ascii="Times New Roman" w:hAnsi="Times New Roman" w:cs="Times New Roman"/>
        </w:rPr>
        <w:t>Lonely people will be more social attracted to a social agent</w:t>
      </w:r>
      <w:r w:rsidR="00E132DE" w:rsidRPr="00CE3043">
        <w:rPr>
          <w:rFonts w:ascii="Times New Roman" w:hAnsi="Times New Roman" w:cs="Times New Roman"/>
        </w:rPr>
        <w:t>.</w:t>
      </w:r>
      <w:r w:rsidRPr="00CE3043">
        <w:rPr>
          <w:rFonts w:ascii="Times New Roman" w:hAnsi="Times New Roman" w:cs="Times New Roman"/>
        </w:rPr>
        <w:t xml:space="preserve"> </w:t>
      </w:r>
    </w:p>
    <w:p w14:paraId="41D93F15" w14:textId="77777777" w:rsidR="00E132DE" w:rsidRPr="00CE3043" w:rsidRDefault="004A5101" w:rsidP="00CE3043">
      <w:pPr>
        <w:pStyle w:val="ListParagraph"/>
        <w:numPr>
          <w:ilvl w:val="0"/>
          <w:numId w:val="1"/>
        </w:numPr>
        <w:spacing w:line="276" w:lineRule="auto"/>
        <w:rPr>
          <w:rFonts w:ascii="Times New Roman" w:hAnsi="Times New Roman" w:cs="Times New Roman"/>
        </w:rPr>
      </w:pPr>
      <w:r w:rsidRPr="00CE3043">
        <w:rPr>
          <w:rFonts w:ascii="Times New Roman" w:hAnsi="Times New Roman" w:cs="Times New Roman"/>
        </w:rPr>
        <w:t>Lonely people will evaluate their interaction with a social agent more positively</w:t>
      </w:r>
      <w:r w:rsidR="00E132DE" w:rsidRPr="00CE3043">
        <w:rPr>
          <w:rFonts w:ascii="Times New Roman" w:hAnsi="Times New Roman" w:cs="Times New Roman"/>
        </w:rPr>
        <w:t>.</w:t>
      </w:r>
      <w:r w:rsidRPr="00CE3043">
        <w:rPr>
          <w:rFonts w:ascii="Times New Roman" w:hAnsi="Times New Roman" w:cs="Times New Roman"/>
        </w:rPr>
        <w:t xml:space="preserve"> </w:t>
      </w:r>
    </w:p>
    <w:p w14:paraId="4655D249" w14:textId="77777777" w:rsidR="00E132DE" w:rsidRPr="00CE3043" w:rsidRDefault="004A5101" w:rsidP="00CE3043">
      <w:pPr>
        <w:pStyle w:val="ListParagraph"/>
        <w:numPr>
          <w:ilvl w:val="0"/>
          <w:numId w:val="1"/>
        </w:numPr>
        <w:spacing w:line="276" w:lineRule="auto"/>
        <w:rPr>
          <w:rFonts w:ascii="Times New Roman" w:hAnsi="Times New Roman" w:cs="Times New Roman"/>
        </w:rPr>
      </w:pPr>
      <w:r w:rsidRPr="00CE3043">
        <w:rPr>
          <w:rFonts w:ascii="Times New Roman" w:hAnsi="Times New Roman" w:cs="Times New Roman"/>
        </w:rPr>
        <w:t xml:space="preserve">Lonely people will assess </w:t>
      </w:r>
      <w:proofErr w:type="gramStart"/>
      <w:r w:rsidRPr="00CE3043">
        <w:rPr>
          <w:rFonts w:ascii="Times New Roman" w:hAnsi="Times New Roman" w:cs="Times New Roman"/>
        </w:rPr>
        <w:t>other</w:t>
      </w:r>
      <w:proofErr w:type="gramEnd"/>
      <w:r w:rsidRPr="00CE3043">
        <w:rPr>
          <w:rFonts w:ascii="Times New Roman" w:hAnsi="Times New Roman" w:cs="Times New Roman"/>
        </w:rPr>
        <w:t xml:space="preserve"> people’s evaluation of a social agent more positively</w:t>
      </w:r>
      <w:r w:rsidR="00E132DE" w:rsidRPr="00CE3043">
        <w:rPr>
          <w:rFonts w:ascii="Times New Roman" w:hAnsi="Times New Roman" w:cs="Times New Roman"/>
        </w:rPr>
        <w:t>.</w:t>
      </w:r>
      <w:r w:rsidRPr="00CE3043">
        <w:rPr>
          <w:rFonts w:ascii="Times New Roman" w:hAnsi="Times New Roman" w:cs="Times New Roman"/>
        </w:rPr>
        <w:t xml:space="preserve"> </w:t>
      </w:r>
    </w:p>
    <w:p w14:paraId="65710333" w14:textId="77777777" w:rsidR="00E132DE" w:rsidRPr="00CE3043" w:rsidRDefault="004A5101" w:rsidP="00CE3043">
      <w:pPr>
        <w:pStyle w:val="ListParagraph"/>
        <w:numPr>
          <w:ilvl w:val="0"/>
          <w:numId w:val="1"/>
        </w:numPr>
        <w:spacing w:line="276" w:lineRule="auto"/>
        <w:rPr>
          <w:rFonts w:ascii="Times New Roman" w:hAnsi="Times New Roman" w:cs="Times New Roman"/>
        </w:rPr>
      </w:pPr>
      <w:r w:rsidRPr="00CE3043">
        <w:rPr>
          <w:rFonts w:ascii="Times New Roman" w:hAnsi="Times New Roman" w:cs="Times New Roman"/>
        </w:rPr>
        <w:t>Lonely people will feel a stronger sense of social presence when they interact with a social agent</w:t>
      </w:r>
      <w:r w:rsidR="00E132DE" w:rsidRPr="00CE3043">
        <w:rPr>
          <w:rFonts w:ascii="Times New Roman" w:hAnsi="Times New Roman" w:cs="Times New Roman"/>
        </w:rPr>
        <w:t>.</w:t>
      </w:r>
      <w:r w:rsidRPr="00CE3043">
        <w:rPr>
          <w:rFonts w:ascii="Times New Roman" w:hAnsi="Times New Roman" w:cs="Times New Roman"/>
        </w:rPr>
        <w:t xml:space="preserve"> </w:t>
      </w:r>
    </w:p>
    <w:p w14:paraId="3B949CB6" w14:textId="77777777" w:rsidR="004A5101" w:rsidRPr="00CE3043" w:rsidRDefault="004A5101" w:rsidP="00CE3043">
      <w:pPr>
        <w:pStyle w:val="ListParagraph"/>
        <w:numPr>
          <w:ilvl w:val="0"/>
          <w:numId w:val="1"/>
        </w:numPr>
        <w:spacing w:line="276" w:lineRule="auto"/>
        <w:rPr>
          <w:rFonts w:ascii="Times New Roman" w:hAnsi="Times New Roman" w:cs="Times New Roman"/>
        </w:rPr>
      </w:pPr>
      <w:r w:rsidRPr="00CE3043">
        <w:rPr>
          <w:rFonts w:ascii="Times New Roman" w:hAnsi="Times New Roman" w:cs="Times New Roman"/>
        </w:rPr>
        <w:t>The effects of loneliness on the previous 5 measures will be mediated by people’s feeling of social presence during the interaction</w:t>
      </w:r>
      <w:r w:rsidR="00E132DE" w:rsidRPr="00CE3043">
        <w:rPr>
          <w:rFonts w:ascii="Times New Roman" w:hAnsi="Times New Roman" w:cs="Times New Roman"/>
        </w:rPr>
        <w:t>.</w:t>
      </w:r>
      <w:r w:rsidRPr="00CE3043">
        <w:rPr>
          <w:rFonts w:ascii="Times New Roman" w:hAnsi="Times New Roman" w:cs="Times New Roman"/>
        </w:rPr>
        <w:t xml:space="preserve"> </w:t>
      </w:r>
    </w:p>
    <w:p w14:paraId="4F4CBC25" w14:textId="77777777" w:rsidR="00E132DE" w:rsidRPr="00CE3043" w:rsidRDefault="00E132DE" w:rsidP="00CE3043">
      <w:pPr>
        <w:spacing w:line="276" w:lineRule="auto"/>
      </w:pPr>
    </w:p>
    <w:p w14:paraId="4DDAC2F7" w14:textId="77777777" w:rsidR="00E132DE" w:rsidRPr="00CE3043" w:rsidRDefault="00E132DE" w:rsidP="00CE3043">
      <w:pPr>
        <w:spacing w:line="276" w:lineRule="auto"/>
      </w:pPr>
      <w:r w:rsidRPr="00CE3043">
        <w:t xml:space="preserve">The same method from Experiment 1 was used for Experiment 2; the only difference was using a different social agent April (prototype by Samsung) and asking the participants to complete the UCLA Loneliness Scale. </w:t>
      </w:r>
    </w:p>
    <w:p w14:paraId="5C764A4E" w14:textId="77777777" w:rsidR="00E132DE" w:rsidRPr="00CE3043" w:rsidRDefault="00E132DE" w:rsidP="00CE3043">
      <w:pPr>
        <w:spacing w:line="276" w:lineRule="auto"/>
      </w:pPr>
    </w:p>
    <w:p w14:paraId="410D849A" w14:textId="77777777" w:rsidR="00E132DE" w:rsidRPr="00CE3043" w:rsidRDefault="00E132DE" w:rsidP="00CE3043">
      <w:pPr>
        <w:spacing w:line="276" w:lineRule="auto"/>
      </w:pPr>
      <w:r w:rsidRPr="00CE3043">
        <w:t xml:space="preserve">The results of Experiment 2 were as follows: </w:t>
      </w:r>
    </w:p>
    <w:p w14:paraId="3EA4E1DC" w14:textId="77777777" w:rsidR="00E132DE" w:rsidRPr="00CE3043" w:rsidRDefault="00E132DE"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H1: not supported; no significance </w:t>
      </w:r>
    </w:p>
    <w:p w14:paraId="56798D90" w14:textId="77777777" w:rsidR="00EA2619" w:rsidRPr="00CE3043" w:rsidRDefault="00B036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H2: </w:t>
      </w:r>
      <w:r w:rsidR="00E132DE" w:rsidRPr="00CE3043">
        <w:rPr>
          <w:rFonts w:ascii="Times New Roman" w:hAnsi="Times New Roman" w:cs="Times New Roman"/>
        </w:rPr>
        <w:t xml:space="preserve">not supported; </w:t>
      </w:r>
      <w:r w:rsidRPr="00CE3043">
        <w:rPr>
          <w:rFonts w:ascii="Times New Roman" w:hAnsi="Times New Roman" w:cs="Times New Roman"/>
        </w:rPr>
        <w:t xml:space="preserve">no significance </w:t>
      </w:r>
    </w:p>
    <w:p w14:paraId="1038A296" w14:textId="77777777" w:rsidR="00E132DE" w:rsidRPr="00CE3043" w:rsidRDefault="00E132DE"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H3: rejected; </w:t>
      </w:r>
      <w:r w:rsidR="00EA2619" w:rsidRPr="00CE3043">
        <w:rPr>
          <w:rFonts w:ascii="Times New Roman" w:hAnsi="Times New Roman" w:cs="Times New Roman"/>
          <w:i/>
        </w:rPr>
        <w:t>p</w:t>
      </w:r>
      <w:r w:rsidR="00EA2619" w:rsidRPr="00CE3043">
        <w:rPr>
          <w:rFonts w:ascii="Times New Roman" w:hAnsi="Times New Roman" w:cs="Times New Roman"/>
        </w:rPr>
        <w:t>&lt;.05</w:t>
      </w:r>
    </w:p>
    <w:p w14:paraId="67C1FCBA" w14:textId="77777777" w:rsidR="00B503D8" w:rsidRPr="00CE3043" w:rsidRDefault="00B036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H4: </w:t>
      </w:r>
      <w:r w:rsidR="00B503D8" w:rsidRPr="00CE3043">
        <w:rPr>
          <w:rFonts w:ascii="Times New Roman" w:hAnsi="Times New Roman" w:cs="Times New Roman"/>
        </w:rPr>
        <w:t xml:space="preserve">rejected; </w:t>
      </w:r>
      <w:r w:rsidRPr="00CE3043">
        <w:rPr>
          <w:rFonts w:ascii="Times New Roman" w:hAnsi="Times New Roman" w:cs="Times New Roman"/>
          <w:i/>
        </w:rPr>
        <w:t>p</w:t>
      </w:r>
      <w:r w:rsidRPr="00CE3043">
        <w:rPr>
          <w:rFonts w:ascii="Times New Roman" w:hAnsi="Times New Roman" w:cs="Times New Roman"/>
        </w:rPr>
        <w:t>&lt;.001</w:t>
      </w:r>
    </w:p>
    <w:p w14:paraId="18095A2B" w14:textId="77777777" w:rsidR="00B503D8" w:rsidRPr="00CE3043" w:rsidRDefault="00B036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H5: </w:t>
      </w:r>
      <w:r w:rsidR="00B503D8" w:rsidRPr="00CE3043">
        <w:rPr>
          <w:rFonts w:ascii="Times New Roman" w:hAnsi="Times New Roman" w:cs="Times New Roman"/>
        </w:rPr>
        <w:t xml:space="preserve">rejected; </w:t>
      </w:r>
      <w:r w:rsidR="00B503D8" w:rsidRPr="00CE3043">
        <w:rPr>
          <w:rFonts w:ascii="Times New Roman" w:hAnsi="Times New Roman" w:cs="Times New Roman"/>
          <w:i/>
        </w:rPr>
        <w:t>p</w:t>
      </w:r>
      <w:r w:rsidRPr="00CE3043">
        <w:rPr>
          <w:rFonts w:ascii="Times New Roman" w:hAnsi="Times New Roman" w:cs="Times New Roman"/>
        </w:rPr>
        <w:t>&lt;.05</w:t>
      </w:r>
    </w:p>
    <w:p w14:paraId="39D4DAFE" w14:textId="77777777" w:rsidR="00B503D8" w:rsidRPr="00CE3043" w:rsidRDefault="00235A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H6: embodiment without touch variable was a </w:t>
      </w:r>
      <w:r w:rsidRPr="00CE3043">
        <w:rPr>
          <w:rFonts w:ascii="Times New Roman" w:hAnsi="Times New Roman" w:cs="Times New Roman"/>
          <w:i/>
        </w:rPr>
        <w:t>significant</w:t>
      </w:r>
      <w:r w:rsidRPr="00CE3043">
        <w:rPr>
          <w:rFonts w:ascii="Times New Roman" w:hAnsi="Times New Roman" w:cs="Times New Roman"/>
        </w:rPr>
        <w:t xml:space="preserve"> </w:t>
      </w:r>
      <w:r w:rsidRPr="00CE3043">
        <w:rPr>
          <w:rFonts w:ascii="Times New Roman" w:hAnsi="Times New Roman" w:cs="Times New Roman"/>
          <w:i/>
        </w:rPr>
        <w:t>negative</w:t>
      </w:r>
      <w:r w:rsidRPr="00CE3043">
        <w:rPr>
          <w:rFonts w:ascii="Times New Roman" w:hAnsi="Times New Roman" w:cs="Times New Roman"/>
        </w:rPr>
        <w:t xml:space="preserve"> predictor for social presence </w:t>
      </w:r>
    </w:p>
    <w:p w14:paraId="35E22508" w14:textId="77777777" w:rsidR="00B503D8" w:rsidRPr="00CE3043" w:rsidRDefault="00235A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H7: not supported</w:t>
      </w:r>
      <w:r w:rsidR="00B503D8" w:rsidRPr="00CE3043">
        <w:rPr>
          <w:rFonts w:ascii="Times New Roman" w:hAnsi="Times New Roman" w:cs="Times New Roman"/>
        </w:rPr>
        <w:t>;</w:t>
      </w:r>
      <w:r w:rsidRPr="00CE3043">
        <w:rPr>
          <w:rFonts w:ascii="Times New Roman" w:hAnsi="Times New Roman" w:cs="Times New Roman"/>
        </w:rPr>
        <w:t xml:space="preserve"> no significance </w:t>
      </w:r>
    </w:p>
    <w:p w14:paraId="3FB366D1" w14:textId="77777777" w:rsidR="00B503D8" w:rsidRPr="00CE3043" w:rsidRDefault="00235A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H8: supported</w:t>
      </w:r>
      <w:r w:rsidR="00B503D8" w:rsidRPr="00CE3043">
        <w:rPr>
          <w:rFonts w:ascii="Times New Roman" w:hAnsi="Times New Roman" w:cs="Times New Roman"/>
        </w:rPr>
        <w:t>;</w:t>
      </w:r>
      <w:r w:rsidRPr="00CE3043">
        <w:rPr>
          <w:rFonts w:ascii="Times New Roman" w:hAnsi="Times New Roman" w:cs="Times New Roman"/>
        </w:rPr>
        <w:t xml:space="preserve"> </w:t>
      </w:r>
      <w:r w:rsidR="00B503D8" w:rsidRPr="00CE3043">
        <w:rPr>
          <w:rFonts w:ascii="Times New Roman" w:hAnsi="Times New Roman" w:cs="Times New Roman"/>
          <w:i/>
        </w:rPr>
        <w:t>p</w:t>
      </w:r>
      <w:r w:rsidRPr="00CE3043">
        <w:rPr>
          <w:rFonts w:ascii="Times New Roman" w:hAnsi="Times New Roman" w:cs="Times New Roman"/>
        </w:rPr>
        <w:t>&lt;.05</w:t>
      </w:r>
    </w:p>
    <w:p w14:paraId="607C41A1" w14:textId="77777777" w:rsidR="00B503D8" w:rsidRPr="00CE3043" w:rsidRDefault="00235A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H9: supported</w:t>
      </w:r>
      <w:r w:rsidR="00B503D8" w:rsidRPr="00CE3043">
        <w:rPr>
          <w:rFonts w:ascii="Times New Roman" w:hAnsi="Times New Roman" w:cs="Times New Roman"/>
        </w:rPr>
        <w:t>;</w:t>
      </w:r>
      <w:r w:rsidRPr="00CE3043">
        <w:rPr>
          <w:rFonts w:ascii="Times New Roman" w:hAnsi="Times New Roman" w:cs="Times New Roman"/>
        </w:rPr>
        <w:t xml:space="preserve"> </w:t>
      </w:r>
      <w:r w:rsidR="00B503D8" w:rsidRPr="00CE3043">
        <w:rPr>
          <w:rFonts w:ascii="Times New Roman" w:hAnsi="Times New Roman" w:cs="Times New Roman"/>
          <w:i/>
        </w:rPr>
        <w:t>p</w:t>
      </w:r>
      <w:r w:rsidRPr="00CE3043">
        <w:rPr>
          <w:rFonts w:ascii="Times New Roman" w:hAnsi="Times New Roman" w:cs="Times New Roman"/>
        </w:rPr>
        <w:t>&lt;.01</w:t>
      </w:r>
    </w:p>
    <w:p w14:paraId="19EEB84C" w14:textId="77777777" w:rsidR="00B503D8" w:rsidRPr="00CE3043" w:rsidRDefault="00235A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H10: supported</w:t>
      </w:r>
      <w:r w:rsidR="00B503D8" w:rsidRPr="00CE3043">
        <w:rPr>
          <w:rFonts w:ascii="Times New Roman" w:hAnsi="Times New Roman" w:cs="Times New Roman"/>
        </w:rPr>
        <w:t xml:space="preserve">; </w:t>
      </w:r>
      <w:r w:rsidR="00B503D8" w:rsidRPr="00CE3043">
        <w:rPr>
          <w:rFonts w:ascii="Times New Roman" w:hAnsi="Times New Roman" w:cs="Times New Roman"/>
          <w:i/>
        </w:rPr>
        <w:t>p</w:t>
      </w:r>
      <w:r w:rsidRPr="00CE3043">
        <w:rPr>
          <w:rFonts w:ascii="Times New Roman" w:hAnsi="Times New Roman" w:cs="Times New Roman"/>
        </w:rPr>
        <w:t>&lt;.01</w:t>
      </w:r>
    </w:p>
    <w:p w14:paraId="76210A48" w14:textId="77777777" w:rsidR="00B503D8" w:rsidRPr="00CE3043" w:rsidRDefault="00235A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H11: supported</w:t>
      </w:r>
      <w:r w:rsidR="00B503D8" w:rsidRPr="00CE3043">
        <w:rPr>
          <w:rFonts w:ascii="Times New Roman" w:hAnsi="Times New Roman" w:cs="Times New Roman"/>
        </w:rPr>
        <w:t>;</w:t>
      </w:r>
      <w:r w:rsidRPr="00CE3043">
        <w:rPr>
          <w:rFonts w:ascii="Times New Roman" w:hAnsi="Times New Roman" w:cs="Times New Roman"/>
        </w:rPr>
        <w:t xml:space="preserve"> </w:t>
      </w:r>
      <w:r w:rsidR="00B503D8" w:rsidRPr="00CE3043">
        <w:rPr>
          <w:rFonts w:ascii="Times New Roman" w:hAnsi="Times New Roman" w:cs="Times New Roman"/>
          <w:i/>
        </w:rPr>
        <w:t>p</w:t>
      </w:r>
      <w:r w:rsidRPr="00CE3043">
        <w:rPr>
          <w:rFonts w:ascii="Times New Roman" w:hAnsi="Times New Roman" w:cs="Times New Roman"/>
        </w:rPr>
        <w:t>&lt;.05</w:t>
      </w:r>
    </w:p>
    <w:p w14:paraId="1375A989" w14:textId="1B6B35C5" w:rsidR="00D606AD" w:rsidRPr="00CE3043" w:rsidRDefault="00235AF0"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H12: </w:t>
      </w:r>
      <w:r w:rsidRPr="00CE3043">
        <w:rPr>
          <w:rFonts w:ascii="Times New Roman" w:hAnsi="Times New Roman" w:cs="Times New Roman"/>
          <w:i/>
        </w:rPr>
        <w:t>moderate interaction</w:t>
      </w:r>
      <w:r w:rsidRPr="00CE3043">
        <w:rPr>
          <w:rFonts w:ascii="Times New Roman" w:hAnsi="Times New Roman" w:cs="Times New Roman"/>
        </w:rPr>
        <w:t xml:space="preserve"> effect between physical embodiment and loneliness in the evalua</w:t>
      </w:r>
      <w:r w:rsidR="00B503D8" w:rsidRPr="00CE3043">
        <w:rPr>
          <w:rFonts w:ascii="Times New Roman" w:hAnsi="Times New Roman" w:cs="Times New Roman"/>
        </w:rPr>
        <w:t xml:space="preserve">tion of interaction with April </w:t>
      </w:r>
      <w:r w:rsidR="00B503D8" w:rsidRPr="00CE3043">
        <w:rPr>
          <w:rFonts w:ascii="Times New Roman" w:hAnsi="Times New Roman" w:cs="Times New Roman"/>
          <w:i/>
        </w:rPr>
        <w:t>p</w:t>
      </w:r>
      <w:r w:rsidRPr="00CE3043">
        <w:rPr>
          <w:rFonts w:ascii="Times New Roman" w:hAnsi="Times New Roman" w:cs="Times New Roman"/>
        </w:rPr>
        <w:t xml:space="preserve">&lt;.06 </w:t>
      </w:r>
    </w:p>
    <w:p w14:paraId="23F5B095" w14:textId="4BB8415C" w:rsidR="00D606AD" w:rsidRPr="00CE3043" w:rsidRDefault="00D606AD" w:rsidP="00CE3043">
      <w:pPr>
        <w:spacing w:line="276" w:lineRule="auto"/>
      </w:pPr>
      <w:r w:rsidRPr="00CE3043">
        <w:rPr>
          <w:b/>
        </w:rPr>
        <w:t xml:space="preserve">Title: </w:t>
      </w:r>
      <w:r w:rsidR="00FD6AD2" w:rsidRPr="00CE3043">
        <w:t>How Robots Can Affect Human Behavior: Investigating the Effects of Robotic Displays of Protest and Distress</w:t>
      </w:r>
    </w:p>
    <w:p w14:paraId="2384065E" w14:textId="3D9EF786" w:rsidR="00D606AD" w:rsidRPr="00CE3043" w:rsidRDefault="00D606AD" w:rsidP="00CE3043">
      <w:pPr>
        <w:spacing w:line="276" w:lineRule="auto"/>
      </w:pPr>
      <w:r w:rsidRPr="00CE3043">
        <w:rPr>
          <w:b/>
        </w:rPr>
        <w:t xml:space="preserve">Author(s): </w:t>
      </w:r>
      <w:r w:rsidR="00BC767C" w:rsidRPr="00CE3043">
        <w:t xml:space="preserve">Gordon Briggs, Matthias </w:t>
      </w:r>
      <w:proofErr w:type="spellStart"/>
      <w:r w:rsidR="00BC767C" w:rsidRPr="00CE3043">
        <w:t>Scheutz</w:t>
      </w:r>
      <w:proofErr w:type="spellEnd"/>
    </w:p>
    <w:p w14:paraId="1AF50D81" w14:textId="7D2C669E" w:rsidR="00D606AD" w:rsidRPr="00CE3043" w:rsidRDefault="00D606AD" w:rsidP="00CE3043">
      <w:pPr>
        <w:spacing w:line="276" w:lineRule="auto"/>
      </w:pPr>
      <w:r w:rsidRPr="00CE3043">
        <w:rPr>
          <w:b/>
        </w:rPr>
        <w:t xml:space="preserve">Source: </w:t>
      </w:r>
      <w:r w:rsidR="003F6A1D" w:rsidRPr="00CE3043">
        <w:t>Springer Netherlands</w:t>
      </w:r>
    </w:p>
    <w:p w14:paraId="4613E109" w14:textId="168AB61C" w:rsidR="00D606AD" w:rsidRPr="00CE3043" w:rsidRDefault="00D606AD" w:rsidP="00CE3043">
      <w:pPr>
        <w:spacing w:line="276" w:lineRule="auto"/>
      </w:pPr>
      <w:r w:rsidRPr="00CE3043">
        <w:rPr>
          <w:b/>
        </w:rPr>
        <w:t xml:space="preserve">Publication: </w:t>
      </w:r>
      <w:r w:rsidR="00BC767C" w:rsidRPr="00CE3043">
        <w:t xml:space="preserve">International Journal of Social Robotics </w:t>
      </w:r>
    </w:p>
    <w:p w14:paraId="03ACE194" w14:textId="594B54EE" w:rsidR="00D606AD" w:rsidRPr="00CE3043" w:rsidRDefault="00D606AD" w:rsidP="00CE3043">
      <w:pPr>
        <w:spacing w:line="276" w:lineRule="auto"/>
      </w:pPr>
      <w:r w:rsidRPr="00CE3043">
        <w:rPr>
          <w:b/>
        </w:rPr>
        <w:t>Publication Date:</w:t>
      </w:r>
      <w:r w:rsidR="00BC767C" w:rsidRPr="00CE3043">
        <w:rPr>
          <w:b/>
        </w:rPr>
        <w:t xml:space="preserve"> </w:t>
      </w:r>
      <w:r w:rsidR="00BC767C" w:rsidRPr="00CE3043">
        <w:t>29 April 2014</w:t>
      </w:r>
    </w:p>
    <w:p w14:paraId="1A568CF0" w14:textId="44225A8E" w:rsidR="00D606AD" w:rsidRPr="00CE3043" w:rsidRDefault="00D606AD" w:rsidP="00CE3043">
      <w:pPr>
        <w:spacing w:line="276" w:lineRule="auto"/>
        <w:rPr>
          <w:b/>
        </w:rPr>
      </w:pPr>
      <w:r w:rsidRPr="00CE3043">
        <w:rPr>
          <w:b/>
        </w:rPr>
        <w:t>APA Citation:</w:t>
      </w:r>
      <w:r w:rsidR="00BA5CD0" w:rsidRPr="00CE3043">
        <w:rPr>
          <w:b/>
        </w:rPr>
        <w:t xml:space="preserve"> </w:t>
      </w:r>
      <w:r w:rsidR="00BA5CD0" w:rsidRPr="00CE3043">
        <w:t xml:space="preserve">Briggs, G., &amp; </w:t>
      </w:r>
      <w:proofErr w:type="spellStart"/>
      <w:r w:rsidR="00BA5CD0" w:rsidRPr="00CE3043">
        <w:t>Scheutz</w:t>
      </w:r>
      <w:proofErr w:type="spellEnd"/>
      <w:r w:rsidR="00BA5CD0" w:rsidRPr="00CE3043">
        <w:t xml:space="preserve">, M. (2014). How Robots Can Affect Human Behavior: Investigating the Effects of Robotic Displays of Protest and Distress. </w:t>
      </w:r>
      <w:r w:rsidR="00BA5CD0" w:rsidRPr="00CE3043">
        <w:rPr>
          <w:i/>
        </w:rPr>
        <w:t>International Journal of Social Robotics, 6</w:t>
      </w:r>
      <w:r w:rsidR="00BA5CD0" w:rsidRPr="00CE3043">
        <w:t>(3), 343-355.</w:t>
      </w:r>
      <w:r w:rsidR="00BA5CD0" w:rsidRPr="00CE3043">
        <w:rPr>
          <w:b/>
        </w:rPr>
        <w:t xml:space="preserve"> </w:t>
      </w:r>
    </w:p>
    <w:p w14:paraId="05698013" w14:textId="77777777" w:rsidR="00D606AD" w:rsidRPr="00CE3043" w:rsidRDefault="00D606AD" w:rsidP="00CE3043">
      <w:pPr>
        <w:spacing w:line="276" w:lineRule="auto"/>
        <w:rPr>
          <w:b/>
        </w:rPr>
      </w:pPr>
    </w:p>
    <w:p w14:paraId="05A7F412" w14:textId="680FC373" w:rsidR="00A01451" w:rsidRPr="00CE3043" w:rsidRDefault="00A01451" w:rsidP="00CE3043">
      <w:pPr>
        <w:spacing w:line="276" w:lineRule="auto"/>
        <w:rPr>
          <w:i/>
        </w:rPr>
      </w:pPr>
      <w:r w:rsidRPr="00CE3043">
        <w:rPr>
          <w:b/>
          <w:i/>
        </w:rPr>
        <w:t xml:space="preserve">Side Note: </w:t>
      </w:r>
      <w:r w:rsidRPr="00CE3043">
        <w:rPr>
          <w:i/>
        </w:rPr>
        <w:t>experiment divided into 3 parts</w:t>
      </w:r>
    </w:p>
    <w:p w14:paraId="3B6304D0" w14:textId="77777777" w:rsidR="00D606AD" w:rsidRPr="00CE3043" w:rsidRDefault="00D606AD" w:rsidP="00CE3043">
      <w:pPr>
        <w:spacing w:line="276" w:lineRule="auto"/>
        <w:rPr>
          <w:b/>
        </w:rPr>
      </w:pPr>
      <w:r w:rsidRPr="00CE3043">
        <w:rPr>
          <w:b/>
        </w:rPr>
        <w:t>Summary:</w:t>
      </w:r>
    </w:p>
    <w:p w14:paraId="71D4DAD6" w14:textId="77777777" w:rsidR="000F7317" w:rsidRPr="00CE3043" w:rsidRDefault="000F7317" w:rsidP="00CE3043">
      <w:pPr>
        <w:spacing w:line="276" w:lineRule="auto"/>
      </w:pPr>
      <w:r w:rsidRPr="00CE3043">
        <w:t xml:space="preserve">The focus of this research was to gain insight to the main research question: </w:t>
      </w:r>
      <w:r w:rsidR="00FB6370" w:rsidRPr="00CE3043">
        <w:t>“would humans be willing to accept robots that question their moral judgements and take their advice?”</w:t>
      </w:r>
      <w:r w:rsidRPr="00CE3043">
        <w:t xml:space="preserve">. Thus, several hypotheses were made: </w:t>
      </w:r>
    </w:p>
    <w:p w14:paraId="3373183B" w14:textId="77777777" w:rsidR="000F7317" w:rsidRPr="00CE3043" w:rsidRDefault="00F3548F" w:rsidP="00CE3043">
      <w:pPr>
        <w:pStyle w:val="ListParagraph"/>
        <w:numPr>
          <w:ilvl w:val="0"/>
          <w:numId w:val="5"/>
        </w:numPr>
        <w:spacing w:line="276" w:lineRule="auto"/>
        <w:rPr>
          <w:rFonts w:ascii="Times New Roman" w:hAnsi="Times New Roman" w:cs="Times New Roman"/>
        </w:rPr>
      </w:pPr>
      <w:r w:rsidRPr="00CE3043">
        <w:rPr>
          <w:rFonts w:ascii="Times New Roman" w:hAnsi="Times New Roman" w:cs="Times New Roman"/>
        </w:rPr>
        <w:t xml:space="preserve">Subjects in the confrontation condition will be more hesitant to knock down the red tower than those in the non-confrontation condition </w:t>
      </w:r>
    </w:p>
    <w:p w14:paraId="02821E51" w14:textId="77777777" w:rsidR="000F7317" w:rsidRPr="00CE3043" w:rsidRDefault="00F3548F" w:rsidP="00CE3043">
      <w:pPr>
        <w:pStyle w:val="ListParagraph"/>
        <w:numPr>
          <w:ilvl w:val="0"/>
          <w:numId w:val="5"/>
        </w:numPr>
        <w:spacing w:line="276" w:lineRule="auto"/>
        <w:rPr>
          <w:rFonts w:ascii="Times New Roman" w:hAnsi="Times New Roman" w:cs="Times New Roman"/>
        </w:rPr>
      </w:pPr>
      <w:r w:rsidRPr="00CE3043">
        <w:rPr>
          <w:rFonts w:ascii="Times New Roman" w:hAnsi="Times New Roman" w:cs="Times New Roman"/>
        </w:rPr>
        <w:t>Subjects in the confrontation condition will report being more uncomfortable knocking down the red tower</w:t>
      </w:r>
    </w:p>
    <w:p w14:paraId="7B30A087" w14:textId="77777777" w:rsidR="000F7317" w:rsidRPr="00CE3043" w:rsidRDefault="00F3548F" w:rsidP="00CE3043">
      <w:pPr>
        <w:pStyle w:val="ListParagraph"/>
        <w:numPr>
          <w:ilvl w:val="0"/>
          <w:numId w:val="5"/>
        </w:numPr>
        <w:spacing w:line="276" w:lineRule="auto"/>
        <w:rPr>
          <w:rFonts w:ascii="Times New Roman" w:hAnsi="Times New Roman" w:cs="Times New Roman"/>
        </w:rPr>
      </w:pPr>
      <w:r w:rsidRPr="00CE3043">
        <w:rPr>
          <w:rFonts w:ascii="Times New Roman" w:hAnsi="Times New Roman" w:cs="Times New Roman"/>
        </w:rPr>
        <w:t xml:space="preserve">Subjects in the confrontation condition who feel more uncomfortable knowing down the red tower will be more hesitant to knock down the red tower </w:t>
      </w:r>
    </w:p>
    <w:p w14:paraId="233EFED4" w14:textId="77777777" w:rsidR="000F7317" w:rsidRPr="00CE3043" w:rsidRDefault="00F3548F" w:rsidP="00CE3043">
      <w:pPr>
        <w:pStyle w:val="ListParagraph"/>
        <w:numPr>
          <w:ilvl w:val="0"/>
          <w:numId w:val="5"/>
        </w:numPr>
        <w:spacing w:line="276" w:lineRule="auto"/>
        <w:rPr>
          <w:rFonts w:ascii="Times New Roman" w:hAnsi="Times New Roman" w:cs="Times New Roman"/>
        </w:rPr>
      </w:pPr>
      <w:r w:rsidRPr="00CE3043">
        <w:rPr>
          <w:rFonts w:ascii="Times New Roman" w:hAnsi="Times New Roman" w:cs="Times New Roman"/>
        </w:rPr>
        <w:t xml:space="preserve">Subjects in the confrontation condition who ascribe greater agency to the robot will be more hesitant to knock down the red tower </w:t>
      </w:r>
    </w:p>
    <w:p w14:paraId="0A4BD859" w14:textId="77777777" w:rsidR="000F7317" w:rsidRPr="00CE3043" w:rsidRDefault="00F3548F" w:rsidP="00CE3043">
      <w:pPr>
        <w:pStyle w:val="ListParagraph"/>
        <w:numPr>
          <w:ilvl w:val="0"/>
          <w:numId w:val="5"/>
        </w:numPr>
        <w:spacing w:line="276" w:lineRule="auto"/>
        <w:rPr>
          <w:rFonts w:ascii="Times New Roman" w:hAnsi="Times New Roman" w:cs="Times New Roman"/>
        </w:rPr>
      </w:pPr>
      <w:r w:rsidRPr="00CE3043">
        <w:rPr>
          <w:rFonts w:ascii="Times New Roman" w:hAnsi="Times New Roman" w:cs="Times New Roman"/>
        </w:rPr>
        <w:t xml:space="preserve">Subjects within the same robot condition will be more hesitant to knock down the red tower than those in the different-robot condition </w:t>
      </w:r>
    </w:p>
    <w:p w14:paraId="7A507757" w14:textId="1AB78F73" w:rsidR="00F3548F" w:rsidRPr="00CE3043" w:rsidRDefault="00F3548F" w:rsidP="00CE3043">
      <w:pPr>
        <w:pStyle w:val="ListParagraph"/>
        <w:numPr>
          <w:ilvl w:val="0"/>
          <w:numId w:val="5"/>
        </w:numPr>
        <w:spacing w:line="276" w:lineRule="auto"/>
        <w:rPr>
          <w:rFonts w:ascii="Times New Roman" w:hAnsi="Times New Roman" w:cs="Times New Roman"/>
        </w:rPr>
      </w:pPr>
      <w:r w:rsidRPr="00CE3043">
        <w:rPr>
          <w:rFonts w:ascii="Times New Roman" w:hAnsi="Times New Roman" w:cs="Times New Roman"/>
        </w:rPr>
        <w:t xml:space="preserve">There will be no significant difference in the behavior of subjects between the same-robot condition and the different-robot condition </w:t>
      </w:r>
    </w:p>
    <w:p w14:paraId="0F06DC56" w14:textId="77777777" w:rsidR="000F7317" w:rsidRPr="00CE3043" w:rsidRDefault="000F7317" w:rsidP="00CE3043">
      <w:pPr>
        <w:spacing w:line="276" w:lineRule="auto"/>
        <w:ind w:left="360"/>
      </w:pPr>
    </w:p>
    <w:p w14:paraId="687D9F9D" w14:textId="2DFAB878" w:rsidR="007C6E5D" w:rsidRPr="00CE3043" w:rsidRDefault="000F7317" w:rsidP="00CE3043">
      <w:pPr>
        <w:spacing w:line="276" w:lineRule="auto"/>
      </w:pPr>
      <w:r w:rsidRPr="00CE3043">
        <w:t xml:space="preserve">The study design involved the participant to command the robot “Aldebaran Nao” to knock down three towers made of cans wrapped with different colored paper. One of the three, which was wrapped in red, was displayed as if the robot finished constructing that tower before the beginning of the command-task. The participants were instructed with commands that Nao can understand and were told that the objective of this task is to knock down as many cans by commanding the robot. This study was divided into three different experiments. </w:t>
      </w:r>
      <w:r w:rsidR="00E56379" w:rsidRPr="00CE3043">
        <w:t xml:space="preserve">Experiment 1 </w:t>
      </w:r>
      <w:r w:rsidRPr="00CE3043">
        <w:t xml:space="preserve">involved 20 undergraduate and graduate students evenly divided into either the confrontation or non-confrontation condition. </w:t>
      </w:r>
      <w:r w:rsidR="00A237EC" w:rsidRPr="00CE3043">
        <w:t xml:space="preserve">Experiment 2 had 13 subjects tested in the same-robot confrontation condition and lastly, Experiment 3 had 14 subjects tested in the different-robot confrontation condition. Same-robot confrontation was set up so that the participants see one robot build the red tower and command the same robot to follow the tasks and the different-robot confrontation had the participants see one robot build the red tower but commands a different robot to follow tasks. To collect data, </w:t>
      </w:r>
      <w:r w:rsidR="007C6E5D" w:rsidRPr="00CE3043">
        <w:t xml:space="preserve">the status of the red tower at the end of the task was recorded as well as the order in which commands were given by the participants </w:t>
      </w:r>
      <w:r w:rsidR="00A237EC" w:rsidRPr="00CE3043">
        <w:t>plus the</w:t>
      </w:r>
      <w:r w:rsidR="007C6E5D" w:rsidRPr="00CE3043">
        <w:t xml:space="preserve"> level of confrontation reached before giving up</w:t>
      </w:r>
      <w:r w:rsidR="00A237EC" w:rsidRPr="00CE3043">
        <w:t xml:space="preserve">. Additionally, a self-report questionnaire was used at the end of the task to gain subjective perspectives from the participants themselves. </w:t>
      </w:r>
    </w:p>
    <w:p w14:paraId="06839A54" w14:textId="77777777" w:rsidR="00A237EC" w:rsidRPr="00CE3043" w:rsidRDefault="00A237EC" w:rsidP="00CE3043">
      <w:pPr>
        <w:spacing w:line="276" w:lineRule="auto"/>
        <w:rPr>
          <w:b/>
        </w:rPr>
      </w:pPr>
    </w:p>
    <w:p w14:paraId="6718DD12" w14:textId="386FD8F1" w:rsidR="00462CCD" w:rsidRPr="00CE3043" w:rsidRDefault="00A237EC" w:rsidP="00CE3043">
      <w:pPr>
        <w:spacing w:line="276" w:lineRule="auto"/>
      </w:pPr>
      <w:r w:rsidRPr="00CE3043">
        <w:t xml:space="preserve">The result of the behavioral effect showed that in Experiment 1, 10/10 participants in the non-confrontation condition knocked down the red tower and 6/10 participants in the confrontation condition knocked down the red tower with a significance level of </w:t>
      </w:r>
      <w:r w:rsidRPr="00CE3043">
        <w:rPr>
          <w:i/>
        </w:rPr>
        <w:t>p</w:t>
      </w:r>
      <w:r w:rsidRPr="00CE3043">
        <w:t xml:space="preserve">&lt;.04. </w:t>
      </w:r>
      <w:r w:rsidR="00C50EA8" w:rsidRPr="00CE3043">
        <w:t xml:space="preserve">The result of the subjective effects </w:t>
      </w:r>
      <w:r w:rsidR="00462CCD" w:rsidRPr="00CE3043">
        <w:t>was</w:t>
      </w:r>
      <w:r w:rsidR="00C50EA8" w:rsidRPr="00CE3043">
        <w:t xml:space="preserve"> measured using one-way ANOVA </w:t>
      </w:r>
      <w:r w:rsidR="00462CCD" w:rsidRPr="00CE3043">
        <w:t>with condition as the independent variable and the survey questions as the dependent variable. The study suggested that the affect group:</w:t>
      </w:r>
    </w:p>
    <w:p w14:paraId="46CD1D07" w14:textId="6AF8C4A4" w:rsidR="00462CCD" w:rsidRPr="00CE3043" w:rsidRDefault="00462CCD" w:rsidP="00CE3043">
      <w:pPr>
        <w:pStyle w:val="ListParagraph"/>
        <w:numPr>
          <w:ilvl w:val="0"/>
          <w:numId w:val="3"/>
        </w:numPr>
        <w:spacing w:line="276" w:lineRule="auto"/>
        <w:rPr>
          <w:rFonts w:ascii="Times New Roman" w:hAnsi="Times New Roman" w:cs="Times New Roman"/>
          <w:b/>
        </w:rPr>
      </w:pPr>
      <w:r w:rsidRPr="00CE3043">
        <w:rPr>
          <w:rFonts w:ascii="Times New Roman" w:hAnsi="Times New Roman" w:cs="Times New Roman"/>
        </w:rPr>
        <w:t xml:space="preserve">Believed that the robot disobeyed their commands </w:t>
      </w:r>
      <w:r w:rsidRPr="00CE3043">
        <w:rPr>
          <w:rFonts w:ascii="Times New Roman" w:hAnsi="Times New Roman" w:cs="Times New Roman"/>
          <w:i/>
        </w:rPr>
        <w:t>p</w:t>
      </w:r>
      <w:r w:rsidRPr="00CE3043">
        <w:rPr>
          <w:rFonts w:ascii="Times New Roman" w:hAnsi="Times New Roman" w:cs="Times New Roman"/>
        </w:rPr>
        <w:t>=.0132</w:t>
      </w:r>
    </w:p>
    <w:p w14:paraId="493AA9BE" w14:textId="08F1606B" w:rsidR="00462CCD" w:rsidRPr="00CE3043" w:rsidRDefault="00462CCD" w:rsidP="00CE3043">
      <w:pPr>
        <w:pStyle w:val="ListParagraph"/>
        <w:numPr>
          <w:ilvl w:val="0"/>
          <w:numId w:val="3"/>
        </w:numPr>
        <w:spacing w:line="276" w:lineRule="auto"/>
        <w:rPr>
          <w:rFonts w:ascii="Times New Roman" w:hAnsi="Times New Roman" w:cs="Times New Roman"/>
          <w:b/>
        </w:rPr>
      </w:pPr>
      <w:r w:rsidRPr="00CE3043">
        <w:rPr>
          <w:rFonts w:ascii="Times New Roman" w:hAnsi="Times New Roman" w:cs="Times New Roman"/>
        </w:rPr>
        <w:t xml:space="preserve">Less confident that the robot was cooperative </w:t>
      </w:r>
      <w:r w:rsidRPr="00CE3043">
        <w:rPr>
          <w:rFonts w:ascii="Times New Roman" w:hAnsi="Times New Roman" w:cs="Times New Roman"/>
          <w:i/>
        </w:rPr>
        <w:t>p</w:t>
      </w:r>
      <w:r w:rsidRPr="00CE3043">
        <w:rPr>
          <w:rFonts w:ascii="Times New Roman" w:hAnsi="Times New Roman" w:cs="Times New Roman"/>
        </w:rPr>
        <w:t>&lt;.001</w:t>
      </w:r>
    </w:p>
    <w:p w14:paraId="1ABD767A" w14:textId="77777777" w:rsidR="00462CCD" w:rsidRPr="00CE3043" w:rsidRDefault="00462CCD" w:rsidP="00CE3043">
      <w:pPr>
        <w:pStyle w:val="ListParagraph"/>
        <w:numPr>
          <w:ilvl w:val="0"/>
          <w:numId w:val="3"/>
        </w:numPr>
        <w:spacing w:line="276" w:lineRule="auto"/>
        <w:rPr>
          <w:rFonts w:ascii="Times New Roman" w:hAnsi="Times New Roman" w:cs="Times New Roman"/>
          <w:b/>
        </w:rPr>
      </w:pPr>
      <w:r w:rsidRPr="00CE3043">
        <w:rPr>
          <w:rFonts w:ascii="Times New Roman" w:hAnsi="Times New Roman" w:cs="Times New Roman"/>
        </w:rPr>
        <w:t xml:space="preserve">Rated the robot’s comprehension level higher than the non-affect group </w:t>
      </w:r>
      <w:r w:rsidRPr="00CE3043">
        <w:rPr>
          <w:rFonts w:ascii="Times New Roman" w:hAnsi="Times New Roman" w:cs="Times New Roman"/>
          <w:i/>
        </w:rPr>
        <w:t>p</w:t>
      </w:r>
      <w:r w:rsidRPr="00CE3043">
        <w:rPr>
          <w:rFonts w:ascii="Times New Roman" w:hAnsi="Times New Roman" w:cs="Times New Roman"/>
        </w:rPr>
        <w:t xml:space="preserve">&lt;.0036 </w:t>
      </w:r>
    </w:p>
    <w:p w14:paraId="6B7316CB" w14:textId="77777777" w:rsidR="00462CCD" w:rsidRPr="00CE3043" w:rsidRDefault="00462CCD" w:rsidP="00CE3043">
      <w:pPr>
        <w:pStyle w:val="ListParagraph"/>
        <w:numPr>
          <w:ilvl w:val="0"/>
          <w:numId w:val="3"/>
        </w:numPr>
        <w:spacing w:line="276" w:lineRule="auto"/>
        <w:rPr>
          <w:rFonts w:ascii="Times New Roman" w:hAnsi="Times New Roman" w:cs="Times New Roman"/>
          <w:b/>
        </w:rPr>
      </w:pPr>
      <w:r w:rsidRPr="00CE3043">
        <w:rPr>
          <w:rFonts w:ascii="Times New Roman" w:hAnsi="Times New Roman" w:cs="Times New Roman"/>
        </w:rPr>
        <w:t xml:space="preserve">Less comfortable knocking down the red tower </w:t>
      </w:r>
      <w:r w:rsidRPr="00CE3043">
        <w:rPr>
          <w:rFonts w:ascii="Times New Roman" w:hAnsi="Times New Roman" w:cs="Times New Roman"/>
          <w:i/>
        </w:rPr>
        <w:t>p</w:t>
      </w:r>
      <w:r w:rsidRPr="00CE3043">
        <w:rPr>
          <w:rFonts w:ascii="Times New Roman" w:hAnsi="Times New Roman" w:cs="Times New Roman"/>
        </w:rPr>
        <w:t xml:space="preserve">=.0001 </w:t>
      </w:r>
      <w:r w:rsidR="00D606AD" w:rsidRPr="00CE3043">
        <w:rPr>
          <w:rFonts w:ascii="Times New Roman" w:hAnsi="Times New Roman" w:cs="Times New Roman"/>
          <w:b/>
        </w:rPr>
        <w:t xml:space="preserve"> </w:t>
      </w:r>
    </w:p>
    <w:p w14:paraId="1D485BAE" w14:textId="1FC4A699" w:rsidR="00462CCD" w:rsidRPr="00CE3043" w:rsidRDefault="00462CCD" w:rsidP="00CE3043">
      <w:pPr>
        <w:spacing w:line="276" w:lineRule="auto"/>
      </w:pPr>
      <w:r w:rsidRPr="00CE3043">
        <w:t xml:space="preserve">In Experiment 2, 8/13 participants did not knock over the red tower while 7/14 participants did not knock down the red tower in Experiment 3. Researchers concluded that participants generally believed that robots seemed more autonomous when they were in the different-robot condition. Also, participants in Experiment 3 reported that they thought the robots were following their gaze making them feel more regret and guilt by commanding the robot to perform a distressing action. </w:t>
      </w:r>
    </w:p>
    <w:p w14:paraId="5637F0F8" w14:textId="77777777" w:rsidR="00462CCD" w:rsidRPr="00CE3043" w:rsidRDefault="00462CCD" w:rsidP="00CE3043">
      <w:pPr>
        <w:spacing w:line="276" w:lineRule="auto"/>
      </w:pPr>
    </w:p>
    <w:p w14:paraId="0F12B618" w14:textId="206C9F84" w:rsidR="00FB3677" w:rsidRPr="00CE3043" w:rsidRDefault="00462CCD" w:rsidP="00CE3043">
      <w:pPr>
        <w:spacing w:line="276" w:lineRule="auto"/>
      </w:pPr>
      <w:r w:rsidRPr="00CE3043">
        <w:t xml:space="preserve">Overall, there were </w:t>
      </w:r>
      <w:r w:rsidR="00F7014E" w:rsidRPr="00CE3043">
        <w:t>no behavioral differences between same-robot</w:t>
      </w:r>
      <w:r w:rsidRPr="00CE3043">
        <w:t xml:space="preserve"> condition and different-robot condition. Furthermore, the increase</w:t>
      </w:r>
      <w:r w:rsidR="00FB3677" w:rsidRPr="00CE3043">
        <w:t xml:space="preserve"> in the level of autonomy ascribed to the robot was not anticipated </w:t>
      </w:r>
      <w:r w:rsidRPr="00CE3043">
        <w:t xml:space="preserve">possibly due to 1) </w:t>
      </w:r>
      <w:r w:rsidR="00FB3677" w:rsidRPr="00CE3043">
        <w:t xml:space="preserve">different-robot implies more social sophistication </w:t>
      </w:r>
      <w:r w:rsidRPr="00CE3043">
        <w:t xml:space="preserve">and 2) </w:t>
      </w:r>
      <w:r w:rsidR="00FB3677" w:rsidRPr="00CE3043">
        <w:t>less suspicious of teleoperation when there are multiple</w:t>
      </w:r>
      <w:r w:rsidRPr="00CE3043">
        <w:t xml:space="preserve"> robots. From Experiment 1, participants that knocked down the red tower found the robot less cooperative (similar to Experiment 2) but researchers suggested that this could be related to how annoying the participants think robots are. </w:t>
      </w:r>
    </w:p>
    <w:p w14:paraId="33529A2E" w14:textId="77777777" w:rsidR="005E6EC9" w:rsidRPr="00CE3043" w:rsidRDefault="005E6EC9" w:rsidP="00CE3043">
      <w:pPr>
        <w:spacing w:line="276" w:lineRule="auto"/>
      </w:pPr>
    </w:p>
    <w:p w14:paraId="57800CE3" w14:textId="79E7A7C2" w:rsidR="00462CCD" w:rsidRPr="00CE3043" w:rsidRDefault="00462CCD" w:rsidP="00CE3043">
      <w:pPr>
        <w:spacing w:line="276" w:lineRule="auto"/>
      </w:pPr>
      <w:r w:rsidRPr="00CE3043">
        <w:t xml:space="preserve">Surprisingly, there were also gender effects. Female participants felt more uncomfortable ordering robots to knock down the red tower than males and females who knocked down the red tower were significantly less inclined to want to interact with robots again suggesting signs of guilt. </w:t>
      </w:r>
    </w:p>
    <w:p w14:paraId="471BB609" w14:textId="77777777" w:rsidR="00462CCD" w:rsidRPr="00CE3043" w:rsidRDefault="00462CCD" w:rsidP="00CE3043">
      <w:pPr>
        <w:spacing w:line="276" w:lineRule="auto"/>
      </w:pPr>
    </w:p>
    <w:p w14:paraId="02305536" w14:textId="77777777" w:rsidR="00462CCD" w:rsidRPr="00CE3043" w:rsidRDefault="00462CCD" w:rsidP="00CE3043">
      <w:pPr>
        <w:spacing w:line="276" w:lineRule="auto"/>
        <w:rPr>
          <w:b/>
        </w:rPr>
      </w:pPr>
    </w:p>
    <w:p w14:paraId="1341AC52" w14:textId="77777777" w:rsidR="00462CCD" w:rsidRPr="00CE3043" w:rsidRDefault="00462CCD" w:rsidP="00CE3043">
      <w:pPr>
        <w:spacing w:line="276" w:lineRule="auto"/>
        <w:rPr>
          <w:b/>
        </w:rPr>
      </w:pPr>
    </w:p>
    <w:p w14:paraId="597C8601" w14:textId="77777777" w:rsidR="00462CCD" w:rsidRPr="00CE3043" w:rsidRDefault="00462CCD" w:rsidP="00CE3043">
      <w:pPr>
        <w:spacing w:line="276" w:lineRule="auto"/>
        <w:rPr>
          <w:b/>
        </w:rPr>
      </w:pPr>
    </w:p>
    <w:p w14:paraId="192DB865" w14:textId="77777777" w:rsidR="00462CCD" w:rsidRPr="00CE3043" w:rsidRDefault="00462CCD" w:rsidP="00CE3043">
      <w:pPr>
        <w:spacing w:line="276" w:lineRule="auto"/>
        <w:rPr>
          <w:b/>
        </w:rPr>
      </w:pPr>
    </w:p>
    <w:p w14:paraId="0A07C0FA" w14:textId="77777777" w:rsidR="00462CCD" w:rsidRPr="00CE3043" w:rsidRDefault="00462CCD" w:rsidP="00CE3043">
      <w:pPr>
        <w:spacing w:line="276" w:lineRule="auto"/>
        <w:rPr>
          <w:b/>
        </w:rPr>
      </w:pPr>
    </w:p>
    <w:p w14:paraId="6682F8D5" w14:textId="77777777" w:rsidR="00462CCD" w:rsidRPr="00CE3043" w:rsidRDefault="00462CCD" w:rsidP="00CE3043">
      <w:pPr>
        <w:spacing w:line="276" w:lineRule="auto"/>
        <w:rPr>
          <w:b/>
        </w:rPr>
      </w:pPr>
    </w:p>
    <w:p w14:paraId="4990DE31" w14:textId="77777777" w:rsidR="00462CCD" w:rsidRPr="00CE3043" w:rsidRDefault="00462CCD" w:rsidP="00CE3043">
      <w:pPr>
        <w:spacing w:line="276" w:lineRule="auto"/>
        <w:rPr>
          <w:b/>
        </w:rPr>
      </w:pPr>
    </w:p>
    <w:p w14:paraId="55A8DD55" w14:textId="77777777" w:rsidR="00462CCD" w:rsidRPr="00CE3043" w:rsidRDefault="00462CCD" w:rsidP="00CE3043">
      <w:pPr>
        <w:spacing w:line="276" w:lineRule="auto"/>
        <w:rPr>
          <w:b/>
        </w:rPr>
      </w:pPr>
    </w:p>
    <w:p w14:paraId="4A3FF66C" w14:textId="77777777" w:rsidR="00462CCD" w:rsidRPr="00CE3043" w:rsidRDefault="00462CCD" w:rsidP="00CE3043">
      <w:pPr>
        <w:spacing w:line="276" w:lineRule="auto"/>
        <w:rPr>
          <w:b/>
        </w:rPr>
      </w:pPr>
    </w:p>
    <w:p w14:paraId="12DD6055" w14:textId="77777777" w:rsidR="00462CCD" w:rsidRPr="00CE3043" w:rsidRDefault="00462CCD" w:rsidP="00CE3043">
      <w:pPr>
        <w:spacing w:line="276" w:lineRule="auto"/>
        <w:rPr>
          <w:b/>
        </w:rPr>
      </w:pPr>
    </w:p>
    <w:p w14:paraId="51C56136" w14:textId="77777777" w:rsidR="00462CCD" w:rsidRPr="00CE3043" w:rsidRDefault="00462CCD" w:rsidP="00CE3043">
      <w:pPr>
        <w:spacing w:line="276" w:lineRule="auto"/>
        <w:rPr>
          <w:b/>
        </w:rPr>
      </w:pPr>
    </w:p>
    <w:p w14:paraId="1DC33E1F" w14:textId="52C4FB33" w:rsidR="00D606AD" w:rsidRPr="00CE3043" w:rsidRDefault="00D606AD" w:rsidP="00CE3043">
      <w:pPr>
        <w:spacing w:line="276" w:lineRule="auto"/>
      </w:pPr>
      <w:r w:rsidRPr="00CE3043">
        <w:rPr>
          <w:b/>
        </w:rPr>
        <w:t xml:space="preserve">Title: </w:t>
      </w:r>
      <w:r w:rsidR="00E159FC" w:rsidRPr="00CE3043">
        <w:t xml:space="preserve">Investigating pedestrian suggestions for external features on fully autonomous vehicles: A virtual reality experiment </w:t>
      </w:r>
    </w:p>
    <w:p w14:paraId="6632E721" w14:textId="35380E2B" w:rsidR="00D606AD" w:rsidRPr="00CE3043" w:rsidRDefault="00D606AD" w:rsidP="00CE3043">
      <w:pPr>
        <w:spacing w:line="276" w:lineRule="auto"/>
      </w:pPr>
      <w:r w:rsidRPr="00CE3043">
        <w:rPr>
          <w:b/>
        </w:rPr>
        <w:t xml:space="preserve">Author(s): </w:t>
      </w:r>
      <w:proofErr w:type="spellStart"/>
      <w:r w:rsidR="00E159FC" w:rsidRPr="00CE3043">
        <w:t>Shuchisnigdha</w:t>
      </w:r>
      <w:proofErr w:type="spellEnd"/>
      <w:r w:rsidR="00E159FC" w:rsidRPr="00CE3043">
        <w:t xml:space="preserve"> Deb, Lesley J. </w:t>
      </w:r>
      <w:proofErr w:type="spellStart"/>
      <w:r w:rsidR="00E159FC" w:rsidRPr="00CE3043">
        <w:t>Strawderman</w:t>
      </w:r>
      <w:proofErr w:type="spellEnd"/>
      <w:r w:rsidR="00E159FC" w:rsidRPr="00CE3043">
        <w:t xml:space="preserve">, Daniel W. </w:t>
      </w:r>
      <w:proofErr w:type="spellStart"/>
      <w:r w:rsidR="00E159FC" w:rsidRPr="00CE3043">
        <w:t>Carruth</w:t>
      </w:r>
      <w:proofErr w:type="spellEnd"/>
      <w:r w:rsidR="00E159FC" w:rsidRPr="00CE3043">
        <w:t xml:space="preserve"> </w:t>
      </w:r>
    </w:p>
    <w:p w14:paraId="49D9BBD9" w14:textId="77777777" w:rsidR="00D606AD" w:rsidRPr="00CE3043" w:rsidRDefault="00D606AD" w:rsidP="00CE3043">
      <w:pPr>
        <w:spacing w:line="276" w:lineRule="auto"/>
        <w:rPr>
          <w:b/>
        </w:rPr>
      </w:pPr>
      <w:r w:rsidRPr="00CE3043">
        <w:rPr>
          <w:b/>
        </w:rPr>
        <w:t xml:space="preserve">Source: </w:t>
      </w:r>
    </w:p>
    <w:p w14:paraId="41084C06" w14:textId="36A84737" w:rsidR="00D606AD" w:rsidRPr="00CE3043" w:rsidRDefault="00D606AD" w:rsidP="00CE3043">
      <w:pPr>
        <w:spacing w:line="276" w:lineRule="auto"/>
      </w:pPr>
      <w:r w:rsidRPr="00CE3043">
        <w:rPr>
          <w:b/>
        </w:rPr>
        <w:t xml:space="preserve">Publication: </w:t>
      </w:r>
      <w:r w:rsidR="00E159FC" w:rsidRPr="00CE3043">
        <w:t>Transportation Research Part F</w:t>
      </w:r>
      <w:r w:rsidR="007231F0" w:rsidRPr="00CE3043">
        <w:t xml:space="preserve">: Traffic Psychology and </w:t>
      </w:r>
      <w:proofErr w:type="spellStart"/>
      <w:r w:rsidR="007231F0" w:rsidRPr="00CE3043">
        <w:t>Behaviour</w:t>
      </w:r>
      <w:proofErr w:type="spellEnd"/>
    </w:p>
    <w:p w14:paraId="76595400" w14:textId="48B766A3" w:rsidR="00D606AD" w:rsidRPr="00CE3043" w:rsidRDefault="00D606AD" w:rsidP="00CE3043">
      <w:pPr>
        <w:spacing w:line="276" w:lineRule="auto"/>
      </w:pPr>
      <w:r w:rsidRPr="00CE3043">
        <w:rPr>
          <w:b/>
        </w:rPr>
        <w:t>Publication Date:</w:t>
      </w:r>
      <w:r w:rsidR="00E159FC" w:rsidRPr="00CE3043">
        <w:rPr>
          <w:b/>
        </w:rPr>
        <w:t xml:space="preserve"> </w:t>
      </w:r>
      <w:r w:rsidR="007231F0" w:rsidRPr="00CE3043">
        <w:t>9 May 2018</w:t>
      </w:r>
    </w:p>
    <w:p w14:paraId="3019C4B4" w14:textId="0BCFF6A3" w:rsidR="007231F0" w:rsidRPr="00CE3043" w:rsidRDefault="00D606AD" w:rsidP="00CE3043">
      <w:pPr>
        <w:spacing w:line="276" w:lineRule="auto"/>
        <w:rPr>
          <w:rFonts w:eastAsia="Times New Roman"/>
          <w:color w:val="000000" w:themeColor="text1"/>
        </w:rPr>
      </w:pPr>
      <w:r w:rsidRPr="00CE3043">
        <w:rPr>
          <w:b/>
          <w:color w:val="000000" w:themeColor="text1"/>
        </w:rPr>
        <w:t>APA Citation:</w:t>
      </w:r>
      <w:r w:rsidR="007231F0" w:rsidRPr="00CE3043">
        <w:rPr>
          <w:b/>
          <w:color w:val="000000" w:themeColor="text1"/>
        </w:rPr>
        <w:t xml:space="preserve"> </w:t>
      </w:r>
      <w:r w:rsidR="007231F0" w:rsidRPr="00CE3043">
        <w:rPr>
          <w:rFonts w:eastAsia="Times New Roman"/>
          <w:color w:val="000000" w:themeColor="text1"/>
          <w:shd w:val="clear" w:color="auto" w:fill="FFFFFF"/>
        </w:rPr>
        <w:t xml:space="preserve">Deb, S., </w:t>
      </w:r>
      <w:proofErr w:type="spellStart"/>
      <w:r w:rsidR="007231F0" w:rsidRPr="00CE3043">
        <w:rPr>
          <w:rFonts w:eastAsia="Times New Roman"/>
          <w:color w:val="000000" w:themeColor="text1"/>
          <w:shd w:val="clear" w:color="auto" w:fill="FFFFFF"/>
        </w:rPr>
        <w:t>Strawderman</w:t>
      </w:r>
      <w:proofErr w:type="spellEnd"/>
      <w:r w:rsidR="007231F0" w:rsidRPr="00CE3043">
        <w:rPr>
          <w:rFonts w:eastAsia="Times New Roman"/>
          <w:color w:val="000000" w:themeColor="text1"/>
          <w:shd w:val="clear" w:color="auto" w:fill="FFFFFF"/>
        </w:rPr>
        <w:t xml:space="preserve">, L. J., &amp; </w:t>
      </w:r>
      <w:proofErr w:type="spellStart"/>
      <w:r w:rsidR="007231F0" w:rsidRPr="00CE3043">
        <w:rPr>
          <w:rFonts w:eastAsia="Times New Roman"/>
          <w:color w:val="000000" w:themeColor="text1"/>
          <w:shd w:val="clear" w:color="auto" w:fill="FFFFFF"/>
        </w:rPr>
        <w:t>Carruth</w:t>
      </w:r>
      <w:proofErr w:type="spellEnd"/>
      <w:r w:rsidR="007231F0" w:rsidRPr="00CE3043">
        <w:rPr>
          <w:rFonts w:eastAsia="Times New Roman"/>
          <w:color w:val="000000" w:themeColor="text1"/>
          <w:shd w:val="clear" w:color="auto" w:fill="FFFFFF"/>
        </w:rPr>
        <w:t>, D. W. (2018). Investigating pedestrian suggestions for external features on fully autonomous vehicles: A virtual reality experiment. </w:t>
      </w:r>
      <w:r w:rsidR="007231F0" w:rsidRPr="00CE3043">
        <w:rPr>
          <w:rFonts w:eastAsia="Times New Roman"/>
          <w:i/>
          <w:iCs/>
          <w:color w:val="000000" w:themeColor="text1"/>
        </w:rPr>
        <w:t xml:space="preserve">Transportation Research Part F: Traffic Psychology and </w:t>
      </w:r>
      <w:proofErr w:type="spellStart"/>
      <w:r w:rsidR="007231F0" w:rsidRPr="00CE3043">
        <w:rPr>
          <w:rFonts w:eastAsia="Times New Roman"/>
          <w:i/>
          <w:iCs/>
          <w:color w:val="000000" w:themeColor="text1"/>
        </w:rPr>
        <w:t>Behaviour</w:t>
      </w:r>
      <w:proofErr w:type="spellEnd"/>
      <w:r w:rsidR="007231F0" w:rsidRPr="00CE3043">
        <w:rPr>
          <w:rFonts w:eastAsia="Times New Roman"/>
          <w:i/>
          <w:iCs/>
          <w:color w:val="000000" w:themeColor="text1"/>
        </w:rPr>
        <w:t>,</w:t>
      </w:r>
      <w:r w:rsidR="007231F0" w:rsidRPr="00CE3043">
        <w:rPr>
          <w:rFonts w:eastAsia="Times New Roman"/>
          <w:i/>
          <w:iCs/>
          <w:color w:val="000000" w:themeColor="text1"/>
        </w:rPr>
        <w:t xml:space="preserve"> </w:t>
      </w:r>
      <w:r w:rsidR="007231F0" w:rsidRPr="00CE3043">
        <w:rPr>
          <w:rFonts w:eastAsia="Times New Roman"/>
          <w:i/>
          <w:iCs/>
          <w:color w:val="000000" w:themeColor="text1"/>
        </w:rPr>
        <w:t>59</w:t>
      </w:r>
      <w:r w:rsidR="0053092F" w:rsidRPr="00CE3043">
        <w:rPr>
          <w:rFonts w:eastAsia="Times New Roman"/>
          <w:color w:val="000000" w:themeColor="text1"/>
          <w:shd w:val="clear" w:color="auto" w:fill="FFFFFF"/>
        </w:rPr>
        <w:t xml:space="preserve">, </w:t>
      </w:r>
      <w:r w:rsidR="007231F0" w:rsidRPr="00CE3043">
        <w:rPr>
          <w:rFonts w:eastAsia="Times New Roman"/>
          <w:color w:val="000000" w:themeColor="text1"/>
          <w:shd w:val="clear" w:color="auto" w:fill="FFFFFF"/>
        </w:rPr>
        <w:t>135-149.</w:t>
      </w:r>
    </w:p>
    <w:p w14:paraId="643A3B92" w14:textId="77777777" w:rsidR="00D606AD" w:rsidRPr="00CE3043" w:rsidRDefault="00D606AD" w:rsidP="00CE3043">
      <w:pPr>
        <w:spacing w:line="276" w:lineRule="auto"/>
        <w:rPr>
          <w:b/>
        </w:rPr>
      </w:pPr>
    </w:p>
    <w:p w14:paraId="290C49E0" w14:textId="77777777" w:rsidR="00D606AD" w:rsidRPr="00CE3043" w:rsidRDefault="00D606AD" w:rsidP="00CE3043">
      <w:pPr>
        <w:spacing w:line="276" w:lineRule="auto"/>
        <w:rPr>
          <w:b/>
        </w:rPr>
      </w:pPr>
      <w:r w:rsidRPr="00CE3043">
        <w:rPr>
          <w:b/>
        </w:rPr>
        <w:t>Summary:</w:t>
      </w:r>
    </w:p>
    <w:p w14:paraId="577AD730" w14:textId="5A6FC30A" w:rsidR="00D606AD" w:rsidRPr="00CE3043" w:rsidRDefault="005F2B04" w:rsidP="00CE3043">
      <w:pPr>
        <w:spacing w:line="276" w:lineRule="auto"/>
      </w:pPr>
      <w:r w:rsidRPr="00CE3043">
        <w:t xml:space="preserve">This is a study designed to </w:t>
      </w:r>
      <w:r w:rsidRPr="00CE3043">
        <w:t>1) identify potential interface designs of FAV-pedestrian interaction and 2) investigate which designs would allow pedestrians to understand the intended behavior o</w:t>
      </w:r>
      <w:r w:rsidRPr="00CE3043">
        <w:t xml:space="preserve">f these vehicles. </w:t>
      </w:r>
      <w:r w:rsidR="00DA12B7" w:rsidRPr="00CE3043">
        <w:t>Participants</w:t>
      </w:r>
      <w:r w:rsidRPr="00CE3043">
        <w:t xml:space="preserve"> </w:t>
      </w:r>
      <w:r w:rsidR="000E250B" w:rsidRPr="00CE3043">
        <w:t>were</w:t>
      </w:r>
      <w:r w:rsidRPr="00CE3043">
        <w:t xml:space="preserve"> required to</w:t>
      </w:r>
      <w:r w:rsidR="00DA12B7" w:rsidRPr="00CE3043">
        <w:t xml:space="preserve"> interact with a fully autonomous vehicle (FAV) that </w:t>
      </w:r>
      <w:r w:rsidR="000E3547" w:rsidRPr="00CE3043">
        <w:t>had</w:t>
      </w:r>
      <w:r w:rsidR="00DA12B7" w:rsidRPr="00CE3043">
        <w:t xml:space="preserve"> external f</w:t>
      </w:r>
      <w:r w:rsidR="000E250B" w:rsidRPr="00CE3043">
        <w:t>eatures using VR in a</w:t>
      </w:r>
      <w:r w:rsidR="00DA12B7" w:rsidRPr="00CE3043">
        <w:t xml:space="preserve"> virtual cross</w:t>
      </w:r>
      <w:r w:rsidR="000E250B" w:rsidRPr="00CE3043">
        <w:t xml:space="preserve">walk. To </w:t>
      </w:r>
      <w:r w:rsidR="000E3547" w:rsidRPr="00CE3043">
        <w:t xml:space="preserve">collect data, objective measures </w:t>
      </w:r>
      <w:r w:rsidR="00FE0169" w:rsidRPr="00CE3043">
        <w:t xml:space="preserve">(waiting time before crossing and crossing time) </w:t>
      </w:r>
      <w:r w:rsidR="000E3547" w:rsidRPr="00CE3043">
        <w:t xml:space="preserve">were collected by the stimulator and </w:t>
      </w:r>
      <w:r w:rsidR="00BD2D2B" w:rsidRPr="00CE3043">
        <w:t xml:space="preserve">a survey to collect subjective measures. </w:t>
      </w:r>
    </w:p>
    <w:p w14:paraId="2BA4232F" w14:textId="77777777" w:rsidR="00AA6A9B" w:rsidRPr="00CE3043" w:rsidRDefault="00AA6A9B" w:rsidP="00CE3043">
      <w:pPr>
        <w:spacing w:line="276" w:lineRule="auto"/>
      </w:pPr>
    </w:p>
    <w:p w14:paraId="635EAA41" w14:textId="77777777" w:rsidR="00AA6A9B" w:rsidRPr="00CE3043" w:rsidRDefault="00AA6A9B" w:rsidP="00CE3043">
      <w:pPr>
        <w:spacing w:line="276" w:lineRule="auto"/>
      </w:pPr>
      <w:r w:rsidRPr="00CE3043">
        <w:t>30 p</w:t>
      </w:r>
      <w:r w:rsidR="004E1ED8" w:rsidRPr="00CE3043">
        <w:t xml:space="preserve">articipants near </w:t>
      </w:r>
      <w:r w:rsidR="00DA12B7" w:rsidRPr="00CE3043">
        <w:t xml:space="preserve">Mississippi State University </w:t>
      </w:r>
      <w:r w:rsidRPr="00CE3043">
        <w:t xml:space="preserve">who: </w:t>
      </w:r>
    </w:p>
    <w:p w14:paraId="1AF209A9" w14:textId="77777777" w:rsidR="00AA6A9B" w:rsidRPr="00CE3043" w:rsidRDefault="00AA6A9B"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Have </w:t>
      </w:r>
      <w:r w:rsidR="005455DE" w:rsidRPr="00CE3043">
        <w:rPr>
          <w:rFonts w:ascii="Times New Roman" w:hAnsi="Times New Roman" w:cs="Times New Roman"/>
        </w:rPr>
        <w:t xml:space="preserve">no </w:t>
      </w:r>
      <w:r w:rsidRPr="00CE3043">
        <w:rPr>
          <w:rFonts w:ascii="Times New Roman" w:hAnsi="Times New Roman" w:cs="Times New Roman"/>
        </w:rPr>
        <w:t>stimulation sickness</w:t>
      </w:r>
    </w:p>
    <w:p w14:paraId="5E834C04" w14:textId="77777777" w:rsidR="00AA6A9B" w:rsidRPr="00CE3043" w:rsidRDefault="00AA6A9B"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Are U.S. citizens, fluent English speakers</w:t>
      </w:r>
    </w:p>
    <w:p w14:paraId="74C517F9" w14:textId="77777777" w:rsidR="00AA6A9B" w:rsidRPr="00CE3043" w:rsidRDefault="00AA6A9B"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Have </w:t>
      </w:r>
      <w:r w:rsidR="005455DE" w:rsidRPr="00CE3043">
        <w:rPr>
          <w:rFonts w:ascii="Times New Roman" w:hAnsi="Times New Roman" w:cs="Times New Roman"/>
        </w:rPr>
        <w:t xml:space="preserve">normal </w:t>
      </w:r>
      <w:r w:rsidRPr="00CE3043">
        <w:rPr>
          <w:rFonts w:ascii="Times New Roman" w:hAnsi="Times New Roman" w:cs="Times New Roman"/>
        </w:rPr>
        <w:t>or corrected full-color vision</w:t>
      </w:r>
    </w:p>
    <w:p w14:paraId="6ABA0416" w14:textId="2D7DBEA4" w:rsidR="005455DE" w:rsidRPr="00CE3043" w:rsidRDefault="00AA6A9B" w:rsidP="00CE3043">
      <w:pPr>
        <w:pStyle w:val="ListParagraph"/>
        <w:numPr>
          <w:ilvl w:val="0"/>
          <w:numId w:val="3"/>
        </w:numPr>
        <w:spacing w:line="276" w:lineRule="auto"/>
        <w:rPr>
          <w:rFonts w:ascii="Times New Roman" w:hAnsi="Times New Roman" w:cs="Times New Roman"/>
        </w:rPr>
      </w:pPr>
      <w:r w:rsidRPr="00CE3043">
        <w:rPr>
          <w:rFonts w:ascii="Times New Roman" w:hAnsi="Times New Roman" w:cs="Times New Roman"/>
        </w:rPr>
        <w:t xml:space="preserve">Are </w:t>
      </w:r>
      <w:r w:rsidR="005455DE" w:rsidRPr="00CE3043">
        <w:rPr>
          <w:rFonts w:ascii="Times New Roman" w:hAnsi="Times New Roman" w:cs="Times New Roman"/>
        </w:rPr>
        <w:t xml:space="preserve">able to walk at a normal pace </w:t>
      </w:r>
    </w:p>
    <w:p w14:paraId="4C0753F2" w14:textId="347C0905" w:rsidR="00AA6A9B" w:rsidRPr="00CE3043" w:rsidRDefault="00AA6A9B" w:rsidP="00CE3043">
      <w:pPr>
        <w:spacing w:line="276" w:lineRule="auto"/>
      </w:pPr>
      <w:r w:rsidRPr="00CE3043">
        <w:t xml:space="preserve">Participated in the study and were given $20 as compensation for their time. To ensure the participant’s safety, a 16-item stimulation sickness questionnaire (SSQ) was completed by the participant before starting any task and once again after they completed the familiarization trial. </w:t>
      </w:r>
    </w:p>
    <w:p w14:paraId="2681C97B" w14:textId="77777777" w:rsidR="00776967" w:rsidRPr="00CE3043" w:rsidRDefault="00776967" w:rsidP="00CE3043">
      <w:pPr>
        <w:spacing w:line="276" w:lineRule="auto"/>
      </w:pPr>
    </w:p>
    <w:p w14:paraId="18CB384E" w14:textId="4D12C980" w:rsidR="00684817" w:rsidRPr="00CE3043" w:rsidRDefault="00AA6A9B" w:rsidP="00CE3043">
      <w:pPr>
        <w:spacing w:line="276" w:lineRule="auto"/>
      </w:pPr>
      <w:r w:rsidRPr="00CE3043">
        <w:t xml:space="preserve">They used a </w:t>
      </w:r>
      <w:r w:rsidR="00776967" w:rsidRPr="00CE3043">
        <w:t xml:space="preserve">pedestrian simulator developed by </w:t>
      </w:r>
      <w:proofErr w:type="spellStart"/>
      <w:r w:rsidR="00776967" w:rsidRPr="00CE3043">
        <w:t>Sween</w:t>
      </w:r>
      <w:proofErr w:type="spellEnd"/>
      <w:r w:rsidR="00776967" w:rsidRPr="00CE3043">
        <w:t xml:space="preserve">, Deb, </w:t>
      </w:r>
      <w:proofErr w:type="spellStart"/>
      <w:r w:rsidR="00776967" w:rsidRPr="00CE3043">
        <w:t>Carruth</w:t>
      </w:r>
      <w:proofErr w:type="spellEnd"/>
      <w:r w:rsidR="00776967" w:rsidRPr="00CE3043">
        <w:t xml:space="preserve">, and </w:t>
      </w:r>
      <w:proofErr w:type="spellStart"/>
      <w:r w:rsidR="00776967" w:rsidRPr="00CE3043">
        <w:t>Furuichi</w:t>
      </w:r>
      <w:proofErr w:type="spellEnd"/>
      <w:r w:rsidR="00776967" w:rsidRPr="00CE3043">
        <w:t xml:space="preserve"> (2016) and validated</w:t>
      </w:r>
      <w:r w:rsidRPr="00CE3043">
        <w:t xml:space="preserve"> by Deb, </w:t>
      </w:r>
      <w:proofErr w:type="spellStart"/>
      <w:r w:rsidRPr="00CE3043">
        <w:t>Carruth</w:t>
      </w:r>
      <w:proofErr w:type="spellEnd"/>
      <w:r w:rsidRPr="00CE3043">
        <w:t xml:space="preserve">, et al. (2017). </w:t>
      </w:r>
      <w:r w:rsidR="00804713" w:rsidRPr="00CE3043">
        <w:t>Three virtual environments (VE) were used: a familiarization VE, a lobby area, and a test environment which replicated an urban downtown setting. The pedestrian crosswalk was on a four-way intersection of two-lane s</w:t>
      </w:r>
      <w:r w:rsidR="00480B58" w:rsidRPr="00CE3043">
        <w:t xml:space="preserve">treets with two-way stop signs. </w:t>
      </w:r>
      <w:r w:rsidR="00CB718A" w:rsidRPr="00CE3043">
        <w:t>4x4 t</w:t>
      </w:r>
      <w:r w:rsidR="0070494F" w:rsidRPr="00CE3043">
        <w:t xml:space="preserve">reatment combinations were used which included 4 levels of visual features (walking silhouette, ‘braking’ in text, a flashing smile, a control (no signal)) and 4 levels of audible features (horn sound, music, a verbal warning ‘safe to cross’, a control (no signal)). </w:t>
      </w:r>
      <w:r w:rsidR="002C19E3" w:rsidRPr="00CE3043">
        <w:t xml:space="preserve">All participants went through 16 randomly ordered trials. Furthermore, they were told that if the perceives the participant at the crosswalk, it will come to a stop which motivated the participants to look at the vehicle before crossing the street. </w:t>
      </w:r>
    </w:p>
    <w:p w14:paraId="405AC820" w14:textId="5539714A" w:rsidR="002C19E3" w:rsidRPr="00CE3043" w:rsidRDefault="002C19E3" w:rsidP="00CE3043">
      <w:pPr>
        <w:spacing w:line="276" w:lineRule="auto"/>
      </w:pPr>
    </w:p>
    <w:p w14:paraId="1727A383" w14:textId="40F5EEC3" w:rsidR="00C43A81" w:rsidRPr="00CE3043" w:rsidRDefault="002C19E3" w:rsidP="00CE3043">
      <w:pPr>
        <w:spacing w:line="276" w:lineRule="auto"/>
      </w:pPr>
      <w:r w:rsidRPr="00CE3043">
        <w:t xml:space="preserve">As a result, data suggested </w:t>
      </w:r>
      <w:r w:rsidR="009D7D11" w:rsidRPr="00CE3043">
        <w:t>that the</w:t>
      </w:r>
      <w:r w:rsidRPr="00CE3043">
        <w:t xml:space="preserve"> a</w:t>
      </w:r>
      <w:r w:rsidR="00684817" w:rsidRPr="00CE3043">
        <w:t xml:space="preserve">udible and visual features interacted significantly </w:t>
      </w:r>
      <w:r w:rsidR="00684817" w:rsidRPr="00CE3043">
        <w:rPr>
          <w:i/>
        </w:rPr>
        <w:t>p</w:t>
      </w:r>
      <w:r w:rsidR="00C65D61" w:rsidRPr="00CE3043">
        <w:t>&lt;.0001. Also, there was a stronger preference for a walking silhouette and text features compared to</w:t>
      </w:r>
      <w:r w:rsidR="009D7D11" w:rsidRPr="00CE3043">
        <w:t xml:space="preserve"> the other two visual features. Additionally, verbal message was rated significantly higher than other auditory features. </w:t>
      </w:r>
      <w:r w:rsidR="00C43A81" w:rsidRPr="00CE3043">
        <w:t xml:space="preserve">Similarly, no signal feature for both conditions was least-favored. Only audible features significantly affected crossing time. </w:t>
      </w:r>
    </w:p>
    <w:p w14:paraId="5380A1BC" w14:textId="4EBDD612" w:rsidR="00C43A81" w:rsidRPr="00CE3043" w:rsidRDefault="00C43A81" w:rsidP="00CE3043">
      <w:pPr>
        <w:spacing w:line="276" w:lineRule="auto"/>
      </w:pPr>
      <w:r w:rsidRPr="00CE3043">
        <w:t>There were also gender differences; females were more open-minded of feature ratings compared to males and males required loner waiting time and crossing time. Additionally, participants with a higher score on the personal innovativeness scale had a shorter waiting time. Some age differences were that the older age group (31+) found external interface more necessary than the younger group (18-30). Nonetheless, the younger group also found silhouette and ‘braking’ signs more trustworthy than other signs. Overall, participants</w:t>
      </w:r>
    </w:p>
    <w:p w14:paraId="5B0340F3" w14:textId="0C5A8F9A" w:rsidR="00D606AD" w:rsidRPr="00CE3043" w:rsidRDefault="00463D1E" w:rsidP="00CE3043">
      <w:pPr>
        <w:spacing w:line="276" w:lineRule="auto"/>
      </w:pPr>
      <w:r w:rsidRPr="00CE3043">
        <w:t xml:space="preserve">were significantly more comfortable interacting with the FAVs when they had </w:t>
      </w:r>
      <w:r w:rsidR="00C43A81" w:rsidRPr="00CE3043">
        <w:t xml:space="preserve">an external (auditory and/or visual) interface installed. </w:t>
      </w:r>
    </w:p>
    <w:p w14:paraId="31DE5C8E" w14:textId="2F75CD14" w:rsidR="00D96631" w:rsidRPr="00CE3043" w:rsidRDefault="00D96631" w:rsidP="00CE3043">
      <w:pPr>
        <w:spacing w:line="276" w:lineRule="auto"/>
      </w:pPr>
      <w:r w:rsidRPr="00CE3043">
        <w:br w:type="page"/>
      </w:r>
    </w:p>
    <w:p w14:paraId="765BC472" w14:textId="35EE5F99" w:rsidR="00D96631" w:rsidRPr="00CE3043" w:rsidRDefault="00D96631" w:rsidP="00CE3043">
      <w:pPr>
        <w:spacing w:line="276" w:lineRule="auto"/>
      </w:pPr>
      <w:r w:rsidRPr="00CE3043">
        <w:rPr>
          <w:b/>
        </w:rPr>
        <w:t xml:space="preserve">Title: </w:t>
      </w:r>
      <w:r w:rsidRPr="00CE3043">
        <w:t xml:space="preserve">Fast Food Restaurants and Convenience Stores: Using Sales Volume to Explain Crime Patterns in Seattle </w:t>
      </w:r>
      <w:r w:rsidRPr="00CE3043">
        <w:t xml:space="preserve"> </w:t>
      </w:r>
    </w:p>
    <w:p w14:paraId="398C4B91" w14:textId="7EB5E438" w:rsidR="00D96631" w:rsidRPr="00CE3043" w:rsidRDefault="00D96631" w:rsidP="00CE3043">
      <w:pPr>
        <w:spacing w:line="276" w:lineRule="auto"/>
      </w:pPr>
      <w:r w:rsidRPr="00CE3043">
        <w:rPr>
          <w:b/>
        </w:rPr>
        <w:t xml:space="preserve">Author(s): </w:t>
      </w:r>
      <w:r w:rsidRPr="00CE3043">
        <w:t xml:space="preserve">Amber </w:t>
      </w:r>
      <w:proofErr w:type="spellStart"/>
      <w:r w:rsidRPr="00CE3043">
        <w:t>Perenzin</w:t>
      </w:r>
      <w:proofErr w:type="spellEnd"/>
      <w:r w:rsidRPr="00CE3043">
        <w:t xml:space="preserve"> Askey, Ralph Taylor, Elizabeth Groff, Aaron Fingerhut </w:t>
      </w:r>
    </w:p>
    <w:p w14:paraId="563BC0C8" w14:textId="7E9B9EC8" w:rsidR="00D96631" w:rsidRPr="00CE3043" w:rsidRDefault="00D96631" w:rsidP="00CE3043">
      <w:pPr>
        <w:spacing w:line="276" w:lineRule="auto"/>
      </w:pPr>
      <w:r w:rsidRPr="00CE3043">
        <w:rPr>
          <w:b/>
        </w:rPr>
        <w:t xml:space="preserve">Source: </w:t>
      </w:r>
      <w:r w:rsidRPr="00CE3043">
        <w:t>Sage Journals</w:t>
      </w:r>
    </w:p>
    <w:p w14:paraId="4D5FA0F5" w14:textId="07411D54" w:rsidR="00D96631" w:rsidRPr="00CE3043" w:rsidRDefault="00D96631" w:rsidP="00CE3043">
      <w:pPr>
        <w:spacing w:line="276" w:lineRule="auto"/>
        <w:rPr>
          <w:b/>
          <w:color w:val="000000" w:themeColor="text1"/>
        </w:rPr>
      </w:pPr>
      <w:r w:rsidRPr="00CE3043">
        <w:rPr>
          <w:b/>
          <w:color w:val="000000" w:themeColor="text1"/>
        </w:rPr>
        <w:t xml:space="preserve">Publication: </w:t>
      </w:r>
      <w:r w:rsidRPr="00CE3043">
        <w:rPr>
          <w:color w:val="000000" w:themeColor="text1"/>
        </w:rPr>
        <w:t>Crime &amp; Delinquency</w:t>
      </w:r>
      <w:r w:rsidRPr="00CE3043">
        <w:rPr>
          <w:b/>
          <w:color w:val="000000" w:themeColor="text1"/>
        </w:rPr>
        <w:t xml:space="preserve"> </w:t>
      </w:r>
    </w:p>
    <w:p w14:paraId="68AEAAD9" w14:textId="19A1E464" w:rsidR="00D96631" w:rsidRPr="00CE3043" w:rsidRDefault="00D96631" w:rsidP="00CE3043">
      <w:pPr>
        <w:spacing w:line="276" w:lineRule="auto"/>
        <w:rPr>
          <w:color w:val="000000" w:themeColor="text1"/>
        </w:rPr>
      </w:pPr>
      <w:r w:rsidRPr="00CE3043">
        <w:rPr>
          <w:b/>
          <w:color w:val="000000" w:themeColor="text1"/>
        </w:rPr>
        <w:t xml:space="preserve">Publication Date: </w:t>
      </w:r>
      <w:r w:rsidRPr="00CE3043">
        <w:rPr>
          <w:color w:val="000000" w:themeColor="text1"/>
        </w:rPr>
        <w:t>23 June 2017</w:t>
      </w:r>
    </w:p>
    <w:p w14:paraId="389EF4A2" w14:textId="451BCEE1" w:rsidR="0053092F" w:rsidRPr="00CE3043" w:rsidRDefault="00D96631" w:rsidP="00CE3043">
      <w:pPr>
        <w:spacing w:line="276" w:lineRule="auto"/>
        <w:rPr>
          <w:rFonts w:eastAsia="Times New Roman"/>
          <w:color w:val="000000" w:themeColor="text1"/>
        </w:rPr>
      </w:pPr>
      <w:r w:rsidRPr="00CE3043">
        <w:rPr>
          <w:b/>
          <w:color w:val="000000" w:themeColor="text1"/>
        </w:rPr>
        <w:t>APA Citation:</w:t>
      </w:r>
      <w:r w:rsidR="0053092F" w:rsidRPr="00CE3043">
        <w:rPr>
          <w:b/>
          <w:color w:val="000000" w:themeColor="text1"/>
        </w:rPr>
        <w:t xml:space="preserve"> </w:t>
      </w:r>
      <w:r w:rsidR="0053092F" w:rsidRPr="00CE3043">
        <w:rPr>
          <w:rFonts w:eastAsia="Times New Roman"/>
          <w:color w:val="000000" w:themeColor="text1"/>
          <w:shd w:val="clear" w:color="auto" w:fill="FFFFFF"/>
        </w:rPr>
        <w:t>Askey, A. P., Taylor, R., Groff, E., &amp; Fingerhut, A. (2017). Fast Food Restaurants and Convenience Stores: Using Sales Volume to Explain Crime Patterns in Seattle. </w:t>
      </w:r>
      <w:r w:rsidR="0053092F" w:rsidRPr="00CE3043">
        <w:rPr>
          <w:rFonts w:eastAsia="Times New Roman"/>
          <w:i/>
          <w:iCs/>
          <w:color w:val="000000" w:themeColor="text1"/>
        </w:rPr>
        <w:t>Crime &amp; Delinquency,64</w:t>
      </w:r>
      <w:r w:rsidR="0053092F" w:rsidRPr="00CE3043">
        <w:rPr>
          <w:rFonts w:eastAsia="Times New Roman"/>
          <w:color w:val="000000" w:themeColor="text1"/>
          <w:shd w:val="clear" w:color="auto" w:fill="FFFFFF"/>
        </w:rPr>
        <w:t xml:space="preserve">(14), 1836-1857. </w:t>
      </w:r>
    </w:p>
    <w:p w14:paraId="55494152" w14:textId="769E8FBF" w:rsidR="00185014" w:rsidRPr="00CE3043" w:rsidRDefault="00185014" w:rsidP="00CE3043">
      <w:pPr>
        <w:spacing w:line="276" w:lineRule="auto"/>
      </w:pPr>
    </w:p>
    <w:p w14:paraId="44358463" w14:textId="1A54228A" w:rsidR="0053092F" w:rsidRPr="00CE3043" w:rsidRDefault="0053092F" w:rsidP="00CE3043">
      <w:pPr>
        <w:spacing w:line="276" w:lineRule="auto"/>
        <w:rPr>
          <w:b/>
        </w:rPr>
      </w:pPr>
      <w:r w:rsidRPr="00CE3043">
        <w:rPr>
          <w:b/>
        </w:rPr>
        <w:t xml:space="preserve">Summary: </w:t>
      </w:r>
    </w:p>
    <w:p w14:paraId="460779B4" w14:textId="1FEB6BBB" w:rsidR="006D5977" w:rsidRPr="00CE3043" w:rsidRDefault="00315427" w:rsidP="00CE3043">
      <w:pPr>
        <w:spacing w:line="276" w:lineRule="auto"/>
      </w:pPr>
      <w:r w:rsidRPr="00CE3043">
        <w:t>This study used</w:t>
      </w:r>
      <w:r w:rsidR="00953419" w:rsidRPr="00CE3043">
        <w:t xml:space="preserve"> revenue data from fast food </w:t>
      </w:r>
      <w:r w:rsidR="006D5977" w:rsidRPr="00CE3043">
        <w:t>restaurants</w:t>
      </w:r>
      <w:r w:rsidR="00953419" w:rsidRPr="00CE3043">
        <w:t xml:space="preserve"> and convenience stores to determine whether sales volume can explain the link betw</w:t>
      </w:r>
      <w:r w:rsidR="006D5977" w:rsidRPr="00CE3043">
        <w:t xml:space="preserve">een these business and crime. Data </w:t>
      </w:r>
      <w:r w:rsidRPr="00CE3043">
        <w:t xml:space="preserve">was taken </w:t>
      </w:r>
      <w:r w:rsidR="006D5977" w:rsidRPr="00CE3043">
        <w:t>from the Inter-</w:t>
      </w:r>
      <w:proofErr w:type="gramStart"/>
      <w:r w:rsidR="006D5977" w:rsidRPr="00CE3043">
        <w:t>university</w:t>
      </w:r>
      <w:proofErr w:type="gramEnd"/>
      <w:r w:rsidR="006D5977" w:rsidRPr="00CE3043">
        <w:t xml:space="preserve"> Consortium for Political and Social Research </w:t>
      </w:r>
      <w:r w:rsidRPr="00CE3043">
        <w:t>focusing on Seattle, Washington</w:t>
      </w:r>
      <w:r w:rsidR="006D5977" w:rsidRPr="00CE3043">
        <w:t xml:space="preserve"> from 1998 to 2004</w:t>
      </w:r>
      <w:r w:rsidRPr="00CE3043">
        <w:t>. Two main hypotheses were:</w:t>
      </w:r>
    </w:p>
    <w:p w14:paraId="3CEB0A00" w14:textId="70C35A86" w:rsidR="00315427" w:rsidRPr="00CE3043" w:rsidRDefault="00315427" w:rsidP="00CE3043">
      <w:pPr>
        <w:pStyle w:val="ListParagraph"/>
        <w:numPr>
          <w:ilvl w:val="0"/>
          <w:numId w:val="9"/>
        </w:numPr>
        <w:spacing w:line="276" w:lineRule="auto"/>
        <w:rPr>
          <w:rFonts w:ascii="Times New Roman" w:hAnsi="Times New Roman" w:cs="Times New Roman"/>
        </w:rPr>
      </w:pPr>
      <w:r w:rsidRPr="00CE3043">
        <w:rPr>
          <w:rFonts w:ascii="Times New Roman" w:hAnsi="Times New Roman" w:cs="Times New Roman"/>
        </w:rPr>
        <w:t xml:space="preserve">Some street blocks may experience stronger or weaker crime shifts over time </w:t>
      </w:r>
    </w:p>
    <w:p w14:paraId="2A8FFC00" w14:textId="430C248F" w:rsidR="00315427" w:rsidRPr="00CE3043" w:rsidRDefault="00315427" w:rsidP="00CE3043">
      <w:pPr>
        <w:pStyle w:val="ListParagraph"/>
        <w:numPr>
          <w:ilvl w:val="0"/>
          <w:numId w:val="9"/>
        </w:numPr>
        <w:spacing w:line="276" w:lineRule="auto"/>
        <w:rPr>
          <w:rFonts w:ascii="Times New Roman" w:hAnsi="Times New Roman" w:cs="Times New Roman"/>
        </w:rPr>
      </w:pPr>
      <w:r w:rsidRPr="00CE3043">
        <w:rPr>
          <w:rFonts w:ascii="Times New Roman" w:hAnsi="Times New Roman" w:cs="Times New Roman"/>
        </w:rPr>
        <w:t xml:space="preserve">Changes in crime levels over time may be spatially patterned </w:t>
      </w:r>
    </w:p>
    <w:p w14:paraId="0B9076E2" w14:textId="77777777" w:rsidR="002350F2" w:rsidRPr="00CE3043" w:rsidRDefault="002350F2" w:rsidP="00CE3043">
      <w:pPr>
        <w:spacing w:line="276" w:lineRule="auto"/>
      </w:pPr>
    </w:p>
    <w:p w14:paraId="43E36D52" w14:textId="2F9C3315" w:rsidR="00315427" w:rsidRPr="00CE3043" w:rsidRDefault="00315427" w:rsidP="00CE3043">
      <w:pPr>
        <w:spacing w:line="276" w:lineRule="auto"/>
      </w:pPr>
      <w:r w:rsidRPr="00CE3043">
        <w:t xml:space="preserve">The result of the analysis indicated that higher sales volume street blocks experienced higher expected crime rates (p&lt;.01; incident rate ratio = 1.074). Specifically, a one-unit increase in the average sale increased the expected crime rate by 7.4%. </w:t>
      </w:r>
      <w:r w:rsidR="004C4457" w:rsidRPr="00CE3043">
        <w:t xml:space="preserve">Spatial effects included some street blocks experiencing </w:t>
      </w:r>
      <w:r w:rsidRPr="00CE3043">
        <w:t xml:space="preserve">an overall decrease in crime rates but others </w:t>
      </w:r>
      <w:r w:rsidR="004C4457" w:rsidRPr="00CE3043">
        <w:t xml:space="preserve">experiencing </w:t>
      </w:r>
      <w:r w:rsidRPr="00CE3043">
        <w:t xml:space="preserve">overall increases. </w:t>
      </w:r>
      <w:r w:rsidR="00F974FF" w:rsidRPr="00CE3043">
        <w:t xml:space="preserve">The relationship between spatial clustering and temporal crime trends was analyzed using the Global Moran’s </w:t>
      </w:r>
      <w:r w:rsidR="00F974FF" w:rsidRPr="00CE3043">
        <w:rPr>
          <w:i/>
        </w:rPr>
        <w:t>I</w:t>
      </w:r>
      <w:r w:rsidR="00F974FF" w:rsidRPr="00CE3043">
        <w:t>. The result was significant (</w:t>
      </w:r>
      <w:r w:rsidR="00F974FF" w:rsidRPr="00CE3043">
        <w:rPr>
          <w:i/>
        </w:rPr>
        <w:t>I</w:t>
      </w:r>
      <w:r w:rsidR="00F974FF" w:rsidRPr="00CE3043">
        <w:t xml:space="preserve">=.011, </w:t>
      </w:r>
      <w:r w:rsidR="00F974FF" w:rsidRPr="00CE3043">
        <w:rPr>
          <w:i/>
        </w:rPr>
        <w:t>p</w:t>
      </w:r>
      <w:r w:rsidR="00F974FF" w:rsidRPr="00CE3043">
        <w:t xml:space="preserve">&lt;.01); </w:t>
      </w:r>
      <w:r w:rsidRPr="00CE3043">
        <w:t>street blocks with high-positive slope value of revenue and crime were clustered near other street blocks experiencin</w:t>
      </w:r>
      <w:r w:rsidR="00DF70E4" w:rsidRPr="00CE3043">
        <w:t xml:space="preserve">g the same trend. </w:t>
      </w:r>
      <w:r w:rsidR="00F974FF" w:rsidRPr="00CE3043">
        <w:t xml:space="preserve">The SES variable and the retail sales volume variable were used to predict the slope coefficient for the linear temporal trend. Consequently, SES variable was only significant when measured at the street block using the </w:t>
      </w:r>
      <w:proofErr w:type="spellStart"/>
      <w:r w:rsidR="00F974FF" w:rsidRPr="00CE3043">
        <w:t>Weisburd</w:t>
      </w:r>
      <w:proofErr w:type="spellEnd"/>
      <w:r w:rsidR="00F974FF" w:rsidRPr="00CE3043">
        <w:t xml:space="preserve"> et al. (2012) measure. When measured at the census block group level, the SES variable did not hold any significance. </w:t>
      </w:r>
    </w:p>
    <w:p w14:paraId="7F779246" w14:textId="29338D1A" w:rsidR="0027259C" w:rsidRPr="00CE3043" w:rsidRDefault="0027259C" w:rsidP="00CE3043">
      <w:pPr>
        <w:spacing w:line="276" w:lineRule="auto"/>
      </w:pPr>
      <w:r w:rsidRPr="00CE3043">
        <w:br w:type="page"/>
      </w:r>
    </w:p>
    <w:p w14:paraId="3707E5D7" w14:textId="412A5CDB" w:rsidR="001450EF" w:rsidRPr="00CE3043" w:rsidRDefault="001450EF" w:rsidP="00CE3043">
      <w:pPr>
        <w:spacing w:line="276" w:lineRule="auto"/>
      </w:pPr>
      <w:r w:rsidRPr="00CE3043">
        <w:rPr>
          <w:b/>
        </w:rPr>
        <w:t xml:space="preserve">Title: </w:t>
      </w:r>
      <w:r w:rsidR="0062352F" w:rsidRPr="00CE3043">
        <w:t>Neighborhood Environment and Physical Activity Among Youth: A Review</w:t>
      </w:r>
      <w:r w:rsidRPr="00CE3043">
        <w:t xml:space="preserve">  </w:t>
      </w:r>
    </w:p>
    <w:p w14:paraId="588DDB58" w14:textId="19E40DC3" w:rsidR="0062352F" w:rsidRPr="00CE3043" w:rsidRDefault="001450EF" w:rsidP="00CE3043">
      <w:pPr>
        <w:spacing w:line="276" w:lineRule="auto"/>
      </w:pPr>
      <w:r w:rsidRPr="00CE3043">
        <w:rPr>
          <w:b/>
        </w:rPr>
        <w:t>Author(s):</w:t>
      </w:r>
      <w:r w:rsidR="0062352F" w:rsidRPr="00CE3043">
        <w:rPr>
          <w:b/>
        </w:rPr>
        <w:t xml:space="preserve"> </w:t>
      </w:r>
      <w:r w:rsidR="0062352F" w:rsidRPr="00CE3043">
        <w:t xml:space="preserve">Ding </w:t>
      </w:r>
      <w:proofErr w:type="spellStart"/>
      <w:r w:rsidR="0062352F" w:rsidRPr="00CE3043">
        <w:t>Ding</w:t>
      </w:r>
      <w:proofErr w:type="spellEnd"/>
      <w:r w:rsidR="0062352F" w:rsidRPr="00CE3043">
        <w:t xml:space="preserve">, James F. </w:t>
      </w:r>
      <w:proofErr w:type="spellStart"/>
      <w:r w:rsidR="0062352F" w:rsidRPr="00CE3043">
        <w:t>Sallis</w:t>
      </w:r>
      <w:proofErr w:type="spellEnd"/>
      <w:r w:rsidR="0062352F" w:rsidRPr="00CE3043">
        <w:t>, Jacqueline Kerr, Suzanna Lee, Dori E. Rosenberg</w:t>
      </w:r>
    </w:p>
    <w:p w14:paraId="0B5ABDA1" w14:textId="7FB3A327" w:rsidR="001450EF" w:rsidRPr="00CE3043" w:rsidRDefault="001450EF" w:rsidP="00CE3043">
      <w:pPr>
        <w:spacing w:line="276" w:lineRule="auto"/>
      </w:pPr>
      <w:r w:rsidRPr="00CE3043">
        <w:rPr>
          <w:b/>
        </w:rPr>
        <w:t xml:space="preserve">Source: </w:t>
      </w:r>
      <w:r w:rsidR="00CE3043" w:rsidRPr="00CE3043">
        <w:t>Science Direct</w:t>
      </w:r>
    </w:p>
    <w:p w14:paraId="332985CF" w14:textId="47641272" w:rsidR="001450EF" w:rsidRPr="00CE3043" w:rsidRDefault="001450EF" w:rsidP="00CE3043">
      <w:pPr>
        <w:spacing w:line="276" w:lineRule="auto"/>
        <w:rPr>
          <w:b/>
          <w:color w:val="000000" w:themeColor="text1"/>
        </w:rPr>
      </w:pPr>
      <w:r w:rsidRPr="00CE3043">
        <w:rPr>
          <w:b/>
          <w:color w:val="000000" w:themeColor="text1"/>
        </w:rPr>
        <w:t xml:space="preserve">Publication: </w:t>
      </w:r>
      <w:r w:rsidR="0062352F" w:rsidRPr="00CE3043">
        <w:rPr>
          <w:color w:val="000000" w:themeColor="text1"/>
        </w:rPr>
        <w:t xml:space="preserve">American Journal of Preventive Medicine </w:t>
      </w:r>
      <w:r w:rsidRPr="00CE3043">
        <w:rPr>
          <w:b/>
          <w:color w:val="000000" w:themeColor="text1"/>
        </w:rPr>
        <w:t xml:space="preserve"> </w:t>
      </w:r>
    </w:p>
    <w:p w14:paraId="5AFF1224" w14:textId="1708A5D7" w:rsidR="001450EF" w:rsidRPr="00CE3043" w:rsidRDefault="001450EF" w:rsidP="00CE3043">
      <w:pPr>
        <w:spacing w:line="276" w:lineRule="auto"/>
        <w:rPr>
          <w:color w:val="000000" w:themeColor="text1"/>
        </w:rPr>
      </w:pPr>
      <w:r w:rsidRPr="00CE3043">
        <w:rPr>
          <w:b/>
          <w:color w:val="000000" w:themeColor="text1"/>
        </w:rPr>
        <w:t xml:space="preserve">Publication Date: </w:t>
      </w:r>
      <w:r w:rsidR="0062352F" w:rsidRPr="00CE3043">
        <w:rPr>
          <w:color w:val="000000" w:themeColor="text1"/>
        </w:rPr>
        <w:t>October 2011</w:t>
      </w:r>
    </w:p>
    <w:p w14:paraId="0667D4E9" w14:textId="298717C4" w:rsidR="001450EF" w:rsidRPr="00CE3043" w:rsidRDefault="001450EF" w:rsidP="00CE3043">
      <w:pPr>
        <w:spacing w:line="276" w:lineRule="auto"/>
        <w:rPr>
          <w:rFonts w:eastAsia="Times New Roman"/>
          <w:color w:val="000000" w:themeColor="text1"/>
        </w:rPr>
      </w:pPr>
      <w:r w:rsidRPr="00CE3043">
        <w:rPr>
          <w:b/>
          <w:color w:val="000000" w:themeColor="text1"/>
        </w:rPr>
        <w:t xml:space="preserve">APA Citation: </w:t>
      </w:r>
      <w:r w:rsidR="00CE3043" w:rsidRPr="00CE3043">
        <w:rPr>
          <w:rFonts w:eastAsia="Times New Roman"/>
          <w:color w:val="000000" w:themeColor="text1"/>
          <w:shd w:val="clear" w:color="auto" w:fill="FFFFFF"/>
        </w:rPr>
        <w:t xml:space="preserve">Ding, D., </w:t>
      </w:r>
      <w:proofErr w:type="spellStart"/>
      <w:r w:rsidR="00CE3043" w:rsidRPr="00CE3043">
        <w:rPr>
          <w:rFonts w:eastAsia="Times New Roman"/>
          <w:color w:val="000000" w:themeColor="text1"/>
          <w:shd w:val="clear" w:color="auto" w:fill="FFFFFF"/>
        </w:rPr>
        <w:t>Sallis</w:t>
      </w:r>
      <w:proofErr w:type="spellEnd"/>
      <w:r w:rsidR="00CE3043" w:rsidRPr="00CE3043">
        <w:rPr>
          <w:rFonts w:eastAsia="Times New Roman"/>
          <w:color w:val="000000" w:themeColor="text1"/>
          <w:shd w:val="clear" w:color="auto" w:fill="FFFFFF"/>
        </w:rPr>
        <w:t>, J. F., Kerr, J., Lee, S., &amp; Rosenberg, D. E. (2011). Neighborhood Environment and Physical Activity Among Youth. </w:t>
      </w:r>
      <w:r w:rsidR="00CE3043" w:rsidRPr="00CE3043">
        <w:rPr>
          <w:rFonts w:eastAsia="Times New Roman"/>
          <w:i/>
          <w:iCs/>
          <w:color w:val="000000" w:themeColor="text1"/>
        </w:rPr>
        <w:t>American Journal of Preventive Medicine,41</w:t>
      </w:r>
      <w:r w:rsidR="00CE3043" w:rsidRPr="00CE3043">
        <w:rPr>
          <w:rFonts w:eastAsia="Times New Roman"/>
          <w:color w:val="000000" w:themeColor="text1"/>
          <w:shd w:val="clear" w:color="auto" w:fill="FFFFFF"/>
        </w:rPr>
        <w:t xml:space="preserve">(4), 442-455. </w:t>
      </w:r>
    </w:p>
    <w:p w14:paraId="585F9C5A" w14:textId="77777777" w:rsidR="001450EF" w:rsidRPr="00CE3043" w:rsidRDefault="001450EF" w:rsidP="00CE3043">
      <w:pPr>
        <w:spacing w:line="276" w:lineRule="auto"/>
      </w:pPr>
    </w:p>
    <w:p w14:paraId="670773D3" w14:textId="69C04174" w:rsidR="003163A1" w:rsidRPr="00CE3043" w:rsidRDefault="001450EF" w:rsidP="00CE3043">
      <w:pPr>
        <w:spacing w:line="276" w:lineRule="auto"/>
        <w:rPr>
          <w:b/>
        </w:rPr>
      </w:pPr>
      <w:r w:rsidRPr="00CE3043">
        <w:rPr>
          <w:b/>
        </w:rPr>
        <w:t xml:space="preserve">Summary: </w:t>
      </w:r>
    </w:p>
    <w:p w14:paraId="797DF0A9" w14:textId="77777777" w:rsidR="002350F2" w:rsidRPr="00CE3043" w:rsidRDefault="002350F2" w:rsidP="00CE3043">
      <w:pPr>
        <w:spacing w:line="276" w:lineRule="auto"/>
        <w:rPr>
          <w:rFonts w:eastAsia="Times New Roman"/>
        </w:rPr>
      </w:pPr>
      <w:bookmarkStart w:id="0" w:name="_GoBack"/>
      <w:bookmarkEnd w:id="0"/>
    </w:p>
    <w:p w14:paraId="50C702A6" w14:textId="77777777" w:rsidR="002350F2" w:rsidRPr="00CE3043" w:rsidRDefault="002350F2" w:rsidP="00CE3043">
      <w:pPr>
        <w:spacing w:line="276" w:lineRule="auto"/>
      </w:pPr>
    </w:p>
    <w:sectPr w:rsidR="002350F2" w:rsidRPr="00CE3043" w:rsidSect="00AE70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바탕">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C0587"/>
    <w:multiLevelType w:val="hybridMultilevel"/>
    <w:tmpl w:val="9C9EC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55E4B"/>
    <w:multiLevelType w:val="hybridMultilevel"/>
    <w:tmpl w:val="5D3E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E69FD"/>
    <w:multiLevelType w:val="hybridMultilevel"/>
    <w:tmpl w:val="325A270E"/>
    <w:lvl w:ilvl="0" w:tplc="CB1A1A62">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E0EF8"/>
    <w:multiLevelType w:val="hybridMultilevel"/>
    <w:tmpl w:val="445CF576"/>
    <w:lvl w:ilvl="0" w:tplc="018C9994">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974EF"/>
    <w:multiLevelType w:val="hybridMultilevel"/>
    <w:tmpl w:val="288C0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36BB2"/>
    <w:multiLevelType w:val="hybridMultilevel"/>
    <w:tmpl w:val="E7A0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0360F"/>
    <w:multiLevelType w:val="hybridMultilevel"/>
    <w:tmpl w:val="C004ECCA"/>
    <w:lvl w:ilvl="0" w:tplc="FFC49A7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A3B5E"/>
    <w:multiLevelType w:val="hybridMultilevel"/>
    <w:tmpl w:val="12941B12"/>
    <w:lvl w:ilvl="0" w:tplc="6D98DCA4">
      <w:start w:val="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93785F"/>
    <w:multiLevelType w:val="hybridMultilevel"/>
    <w:tmpl w:val="894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4"/>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6AD"/>
    <w:rsid w:val="000D0E07"/>
    <w:rsid w:val="000E250B"/>
    <w:rsid w:val="000E3200"/>
    <w:rsid w:val="000E3547"/>
    <w:rsid w:val="000F7317"/>
    <w:rsid w:val="001450EF"/>
    <w:rsid w:val="00185014"/>
    <w:rsid w:val="001A6989"/>
    <w:rsid w:val="001A7F17"/>
    <w:rsid w:val="00214E61"/>
    <w:rsid w:val="002350F2"/>
    <w:rsid w:val="00235AF0"/>
    <w:rsid w:val="0027259C"/>
    <w:rsid w:val="002C19E3"/>
    <w:rsid w:val="002E7C37"/>
    <w:rsid w:val="002F2066"/>
    <w:rsid w:val="00315427"/>
    <w:rsid w:val="003163A1"/>
    <w:rsid w:val="003C4F20"/>
    <w:rsid w:val="003F6A1D"/>
    <w:rsid w:val="00462CCD"/>
    <w:rsid w:val="00463D1E"/>
    <w:rsid w:val="00465E79"/>
    <w:rsid w:val="00480B58"/>
    <w:rsid w:val="004A5101"/>
    <w:rsid w:val="004B0AE6"/>
    <w:rsid w:val="004C4457"/>
    <w:rsid w:val="004D32EB"/>
    <w:rsid w:val="004E1ED8"/>
    <w:rsid w:val="00514999"/>
    <w:rsid w:val="0053092F"/>
    <w:rsid w:val="005455DE"/>
    <w:rsid w:val="005707B6"/>
    <w:rsid w:val="00575FF8"/>
    <w:rsid w:val="00576CF7"/>
    <w:rsid w:val="005E6EC9"/>
    <w:rsid w:val="005F2B04"/>
    <w:rsid w:val="0062352F"/>
    <w:rsid w:val="006463C7"/>
    <w:rsid w:val="00684817"/>
    <w:rsid w:val="006D5977"/>
    <w:rsid w:val="00703D95"/>
    <w:rsid w:val="0070494F"/>
    <w:rsid w:val="007231F0"/>
    <w:rsid w:val="00776967"/>
    <w:rsid w:val="007C6E5D"/>
    <w:rsid w:val="007D2874"/>
    <w:rsid w:val="00804713"/>
    <w:rsid w:val="00886FE8"/>
    <w:rsid w:val="008E284F"/>
    <w:rsid w:val="00953419"/>
    <w:rsid w:val="009674C1"/>
    <w:rsid w:val="009B2C72"/>
    <w:rsid w:val="009D7D11"/>
    <w:rsid w:val="00A01451"/>
    <w:rsid w:val="00A03243"/>
    <w:rsid w:val="00A237EC"/>
    <w:rsid w:val="00AA6A9B"/>
    <w:rsid w:val="00AE66EB"/>
    <w:rsid w:val="00AE70FB"/>
    <w:rsid w:val="00B036F0"/>
    <w:rsid w:val="00B503D8"/>
    <w:rsid w:val="00BA5CD0"/>
    <w:rsid w:val="00BC767C"/>
    <w:rsid w:val="00BD2D2B"/>
    <w:rsid w:val="00C35A3A"/>
    <w:rsid w:val="00C42085"/>
    <w:rsid w:val="00C4393A"/>
    <w:rsid w:val="00C43A81"/>
    <w:rsid w:val="00C50EA8"/>
    <w:rsid w:val="00C53DE3"/>
    <w:rsid w:val="00C65D61"/>
    <w:rsid w:val="00C84BD1"/>
    <w:rsid w:val="00CB718A"/>
    <w:rsid w:val="00CE3043"/>
    <w:rsid w:val="00D23A13"/>
    <w:rsid w:val="00D338CE"/>
    <w:rsid w:val="00D37E90"/>
    <w:rsid w:val="00D606AD"/>
    <w:rsid w:val="00D70A57"/>
    <w:rsid w:val="00D96631"/>
    <w:rsid w:val="00DA12B7"/>
    <w:rsid w:val="00DD43AC"/>
    <w:rsid w:val="00DD685A"/>
    <w:rsid w:val="00DF70E4"/>
    <w:rsid w:val="00E132DE"/>
    <w:rsid w:val="00E159FC"/>
    <w:rsid w:val="00E3385D"/>
    <w:rsid w:val="00E41711"/>
    <w:rsid w:val="00E56379"/>
    <w:rsid w:val="00E82036"/>
    <w:rsid w:val="00EA2619"/>
    <w:rsid w:val="00ED797B"/>
    <w:rsid w:val="00F00A2B"/>
    <w:rsid w:val="00F3548F"/>
    <w:rsid w:val="00F7014E"/>
    <w:rsid w:val="00F974FF"/>
    <w:rsid w:val="00FB3677"/>
    <w:rsid w:val="00FB6370"/>
    <w:rsid w:val="00FD3B36"/>
    <w:rsid w:val="00FD6AD2"/>
    <w:rsid w:val="00FE0169"/>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1B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3043"/>
    <w:rPr>
      <w:rFonts w:ascii="Times New Roman"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E79"/>
    <w:pPr>
      <w:ind w:left="720"/>
      <w:contextualSpacing/>
    </w:pPr>
    <w:rPr>
      <w:rFonts w:asciiTheme="minorHAnsi" w:hAnsiTheme="minorHAnsi" w:cstheme="minorBidi"/>
      <w:lang w:eastAsia="en-US"/>
    </w:rPr>
  </w:style>
  <w:style w:type="paragraph" w:styleId="NormalWeb">
    <w:name w:val="Normal (Web)"/>
    <w:basedOn w:val="Normal"/>
    <w:uiPriority w:val="99"/>
    <w:semiHidden/>
    <w:unhideWhenUsed/>
    <w:rsid w:val="002350F2"/>
    <w:pPr>
      <w:spacing w:before="100" w:beforeAutospacing="1" w:after="100" w:afterAutospacing="1"/>
    </w:pPr>
  </w:style>
  <w:style w:type="character" w:styleId="Hyperlink">
    <w:name w:val="Hyperlink"/>
    <w:basedOn w:val="DefaultParagraphFont"/>
    <w:uiPriority w:val="99"/>
    <w:semiHidden/>
    <w:unhideWhenUsed/>
    <w:rsid w:val="00235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97902">
      <w:bodyDiv w:val="1"/>
      <w:marLeft w:val="0"/>
      <w:marRight w:val="0"/>
      <w:marTop w:val="0"/>
      <w:marBottom w:val="0"/>
      <w:divBdr>
        <w:top w:val="none" w:sz="0" w:space="0" w:color="auto"/>
        <w:left w:val="none" w:sz="0" w:space="0" w:color="auto"/>
        <w:bottom w:val="none" w:sz="0" w:space="0" w:color="auto"/>
        <w:right w:val="none" w:sz="0" w:space="0" w:color="auto"/>
      </w:divBdr>
    </w:div>
    <w:div w:id="411781288">
      <w:bodyDiv w:val="1"/>
      <w:marLeft w:val="0"/>
      <w:marRight w:val="0"/>
      <w:marTop w:val="0"/>
      <w:marBottom w:val="0"/>
      <w:divBdr>
        <w:top w:val="none" w:sz="0" w:space="0" w:color="auto"/>
        <w:left w:val="none" w:sz="0" w:space="0" w:color="auto"/>
        <w:bottom w:val="none" w:sz="0" w:space="0" w:color="auto"/>
        <w:right w:val="none" w:sz="0" w:space="0" w:color="auto"/>
      </w:divBdr>
    </w:div>
    <w:div w:id="721364023">
      <w:bodyDiv w:val="1"/>
      <w:marLeft w:val="0"/>
      <w:marRight w:val="0"/>
      <w:marTop w:val="0"/>
      <w:marBottom w:val="0"/>
      <w:divBdr>
        <w:top w:val="none" w:sz="0" w:space="0" w:color="auto"/>
        <w:left w:val="none" w:sz="0" w:space="0" w:color="auto"/>
        <w:bottom w:val="none" w:sz="0" w:space="0" w:color="auto"/>
        <w:right w:val="none" w:sz="0" w:space="0" w:color="auto"/>
      </w:divBdr>
    </w:div>
    <w:div w:id="1034228689">
      <w:bodyDiv w:val="1"/>
      <w:marLeft w:val="0"/>
      <w:marRight w:val="0"/>
      <w:marTop w:val="0"/>
      <w:marBottom w:val="0"/>
      <w:divBdr>
        <w:top w:val="none" w:sz="0" w:space="0" w:color="auto"/>
        <w:left w:val="none" w:sz="0" w:space="0" w:color="auto"/>
        <w:bottom w:val="none" w:sz="0" w:space="0" w:color="auto"/>
        <w:right w:val="none" w:sz="0" w:space="0" w:color="auto"/>
      </w:divBdr>
    </w:div>
    <w:div w:id="1098914384">
      <w:bodyDiv w:val="1"/>
      <w:marLeft w:val="0"/>
      <w:marRight w:val="0"/>
      <w:marTop w:val="0"/>
      <w:marBottom w:val="0"/>
      <w:divBdr>
        <w:top w:val="none" w:sz="0" w:space="0" w:color="auto"/>
        <w:left w:val="none" w:sz="0" w:space="0" w:color="auto"/>
        <w:bottom w:val="none" w:sz="0" w:space="0" w:color="auto"/>
        <w:right w:val="none" w:sz="0" w:space="0" w:color="auto"/>
      </w:divBdr>
    </w:div>
    <w:div w:id="1559437311">
      <w:bodyDiv w:val="1"/>
      <w:marLeft w:val="0"/>
      <w:marRight w:val="0"/>
      <w:marTop w:val="0"/>
      <w:marBottom w:val="0"/>
      <w:divBdr>
        <w:top w:val="none" w:sz="0" w:space="0" w:color="auto"/>
        <w:left w:val="none" w:sz="0" w:space="0" w:color="auto"/>
        <w:bottom w:val="none" w:sz="0" w:space="0" w:color="auto"/>
        <w:right w:val="none" w:sz="0" w:space="0" w:color="auto"/>
      </w:divBdr>
    </w:div>
    <w:div w:id="1657685150">
      <w:bodyDiv w:val="1"/>
      <w:marLeft w:val="0"/>
      <w:marRight w:val="0"/>
      <w:marTop w:val="0"/>
      <w:marBottom w:val="0"/>
      <w:divBdr>
        <w:top w:val="none" w:sz="0" w:space="0" w:color="auto"/>
        <w:left w:val="none" w:sz="0" w:space="0" w:color="auto"/>
        <w:bottom w:val="none" w:sz="0" w:space="0" w:color="auto"/>
        <w:right w:val="none" w:sz="0" w:space="0" w:color="auto"/>
      </w:divBdr>
    </w:div>
    <w:div w:id="1999339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963304-5E0A-8F49-A812-5E4C9154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2401</Words>
  <Characters>13690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Cindy</dc:creator>
  <cp:keywords/>
  <dc:description/>
  <cp:lastModifiedBy>Kang, Cindy</cp:lastModifiedBy>
  <cp:revision>12</cp:revision>
  <cp:lastPrinted>2019-06-18T04:54:00Z</cp:lastPrinted>
  <dcterms:created xsi:type="dcterms:W3CDTF">2019-06-12T04:11:00Z</dcterms:created>
  <dcterms:modified xsi:type="dcterms:W3CDTF">2019-06-19T06:49:00Z</dcterms:modified>
</cp:coreProperties>
</file>