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20"/>
      </w:pPr>
      <w:r>
        <w:rPr>
          <w:rFonts w:ascii="Malgun Gothic" w:hAnsi="Malgun Gothic" w:eastAsia="Malgun Gothic"/>
          <w:b/>
          <w:color w:val="2E74B5"/>
          <w:sz w:val="18"/>
        </w:rPr>
        <w:t>AI-ONE PLATFORM  ·  PROJECT OVERVIEW</w:t>
      </w:r>
    </w:p>
    <w:p>
      <w:pPr>
        <w:pStyle w:val="Title"/>
      </w:pPr>
      <w:r>
        <w:t>AI-ONE 화면·컴포넌트 구성 가이드</w:t>
      </w:r>
    </w:p>
    <w:p>
      <w:pPr>
        <w:pStyle w:val="Subtitle"/>
      </w:pPr>
      <w:r>
        <w:t>외부 협업·검토자가 현재 구현 범위와 재사용 구조를 빠르게 이해하기 위한 요약 문서</w:t>
      </w:r>
    </w:p>
    <w:p>
      <w:pPr>
        <w:spacing w:before="0" w:after="160" w:line="240" w:lineRule="auto"/>
      </w:pPr>
      <w:r>
        <w:rPr>
          <w:rFonts w:ascii="Malgun Gothic" w:hAnsi="Malgun Gothic" w:eastAsia="Malgun Gothic"/>
          <w:b/>
          <w:color w:val="5F6B76"/>
          <w:sz w:val="17"/>
        </w:rPr>
        <w:t>정리 기준  2026.08.04     |     대상  외부 협업·검토자     |     범위  화면·공통 UI 프로토타입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tcBorders>
              <w:top w:val="single" w:sz="10" w:color="FFFFFF"/>
              <w:start w:val="single" w:sz="10" w:color="FFFFFF"/>
              <w:bottom w:val="single" w:sz="10" w:color="FFFFFF"/>
              <w:end w:val="single" w:sz="10" w:color="FFFFFF"/>
              <w:insideH w:val="single" w:sz="10" w:color="FFFFFF"/>
              <w:insideV w:val="single" w:sz="10" w:color="FFFFFF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4</w:t>
              <w:br/>
            </w:r>
            <w:r>
              <w:rPr>
                <w:rFonts w:ascii="Malgun Gothic" w:hAnsi="Malgun Gothic" w:eastAsia="Malgun Gothic"/>
                <w:b w:val="0"/>
                <w:color w:val="FFFFFF"/>
                <w:sz w:val="16"/>
              </w:rPr>
              <w:t>핵심 사용자 화면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tcBorders>
              <w:top w:val="single" w:sz="10" w:color="FFFFFF"/>
              <w:start w:val="single" w:sz="10" w:color="FFFFFF"/>
              <w:bottom w:val="single" w:sz="10" w:color="FFFFFF"/>
              <w:end w:val="single" w:sz="10" w:color="FFFFFF"/>
              <w:insideH w:val="single" w:sz="10" w:color="FFFFFF"/>
              <w:insideV w:val="single" w:sz="10" w:color="FFFFFF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1</w:t>
              <w:br/>
            </w:r>
            <w:r>
              <w:rPr>
                <w:rFonts w:ascii="Malgun Gothic" w:hAnsi="Malgun Gothic" w:eastAsia="Malgun Gothic"/>
                <w:b w:val="0"/>
                <w:color w:val="FFFFFF"/>
                <w:sz w:val="16"/>
              </w:rPr>
              <w:t>보조·비교 화면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  <w:tcBorders>
              <w:top w:val="single" w:sz="10" w:color="FFFFFF"/>
              <w:start w:val="single" w:sz="10" w:color="FFFFFF"/>
              <w:bottom w:val="single" w:sz="10" w:color="FFFFFF"/>
              <w:end w:val="single" w:sz="10" w:color="FFFFFF"/>
              <w:insideH w:val="single" w:sz="10" w:color="FFFFFF"/>
              <w:insideV w:val="single" w:sz="10" w:color="FFFFFF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34</w:t>
              <w:br/>
            </w:r>
            <w:r>
              <w:rPr>
                <w:rFonts w:ascii="Malgun Gothic" w:hAnsi="Malgun Gothic" w:eastAsia="Malgun Gothic"/>
                <w:b w:val="0"/>
                <w:color w:val="FFFFFF"/>
                <w:sz w:val="16"/>
              </w:rPr>
              <w:t>현재 33 + Tooltip 예정 1</w:t>
            </w:r>
          </w:p>
        </w:tc>
      </w:tr>
    </w:tbl>
    <w:p>
      <w:pPr>
        <w:spacing w:before="160" w:after="100" w:line="283" w:lineRule="auto"/>
      </w:pPr>
      <w:r>
        <w:rPr>
          <w:rFonts w:ascii="Malgun Gothic" w:hAnsi="Malgun Gothic" w:eastAsia="Malgun Gothic"/>
          <w:b/>
          <w:color w:val="1B2733"/>
          <w:sz w:val="20"/>
        </w:rPr>
        <w:t xml:space="preserve">AI-ONE은 재정경제부 업무를 위한 웹 기반 AI 업무지원 프로토타입입니다. </w:t>
      </w:r>
      <w:r>
        <w:rPr>
          <w:rFonts w:ascii="Malgun Gothic" w:hAnsi="Malgun Gothic" w:eastAsia="Malgun Gothic"/>
          <w:color w:val="1B2733"/>
          <w:sz w:val="20"/>
        </w:rPr>
        <w:t>홈을 중심으로 국회질의분류와 국회 답변서 초안 생성의 두 핵심 업무를 연결하며, 화면 간 공통 UI는 재사용 가능한 컴포넌트로 분리되어 있습니다.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1592"/>
            <wp:docPr id="1" name="Picture 1" title="AI-ONE 홈 화면" descr="AI 서비스 진입 카드와 최근 사용 이력을 제공하는 AI-ONE 홈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one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1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80"/>
        <w:jc w:val="center"/>
      </w:pPr>
      <w:r>
        <w:rPr>
          <w:rFonts w:ascii="Malgun Gothic" w:hAnsi="Malgun Gothic" w:eastAsia="Malgun Gothic"/>
          <w:i/>
          <w:color w:val="5F6B76"/>
          <w:sz w:val="16"/>
        </w:rPr>
        <w:t>그림 1. AI 서비스 진입과 최근 사용 이력을 한 화면에서 제공하는 AI-ONE 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  <w:tcBorders>
              <w:top w:val="single" w:sz="8" w:color="E8EEF5"/>
              <w:start w:val="single" w:sz="8" w:color="E8EEF5"/>
              <w:bottom w:val="single" w:sz="8" w:color="E8EEF5"/>
              <w:end w:val="single" w:sz="8" w:color="E8EEF5"/>
              <w:insideH w:val="single" w:sz="8" w:color="E8EEF5"/>
              <w:insideV w:val="single" w:sz="8" w:color="E8EEF5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 xml:space="preserve">주요 이용 흐름  </w:t>
            </w:r>
            <w:r>
              <w:rPr>
                <w:rFonts w:ascii="Malgun Gothic" w:hAnsi="Malgun Gothic" w:eastAsia="Malgun Gothic"/>
                <w:color w:val="1B2733"/>
                <w:sz w:val="18"/>
              </w:rPr>
              <w:t>로그인 → AI-ONE 홈 → 국회질의분류 또는 국회 답변서 초안 생성 → 결과 확인·수정·다운로드</w:t>
            </w:r>
          </w:p>
        </w:tc>
      </w:tr>
    </w:tbl>
    <w:p>
      <w:pPr>
        <w:spacing w:after="0" w:before="0" w:line="120" w:lineRule="auto"/>
      </w:pPr>
    </w:p>
    <w:p>
      <w:pPr>
        <w:spacing w:before="0" w:after="0" w:line="264" w:lineRule="auto"/>
      </w:pPr>
      <w:r>
        <w:rPr>
          <w:rFonts w:ascii="Malgun Gothic" w:hAnsi="Malgun Gothic" w:eastAsia="Malgun Gothic"/>
          <w:i/>
          <w:color w:val="5F6B76"/>
          <w:sz w:val="17"/>
        </w:rPr>
        <w:t>범위 안내  본 문서는 프론트엔드 프로토타입 구현 현황을 설명합니다. 실제 데이터, 권한 체계, AI 모델 및 백엔드 연동 범위는 별도 협의 대상입니다.</w:t>
      </w:r>
    </w:p>
    <w:p>
      <w:r>
        <w:br w:type="page"/>
      </w:r>
    </w:p>
    <w:p>
      <w:pPr>
        <w:pStyle w:val="Heading1"/>
      </w:pPr>
      <w:r>
        <w:t>1. 페이지 구성</w:t>
      </w:r>
    </w:p>
    <w:p>
      <w:pPr>
        <w:spacing w:after="120" w:line="276" w:lineRule="auto"/>
      </w:pPr>
      <w:r>
        <w:rPr>
          <w:rFonts w:ascii="Malgun Gothic" w:hAnsi="Malgun Gothic" w:eastAsia="Malgun Gothic"/>
          <w:color w:val="1B2733"/>
          <w:sz w:val="19"/>
        </w:rPr>
        <w:t>현재 사용자 흐름은 로그인·홈·두 개의 핵심 업무 화면으로 구성되며, ai-intake는 동일 업무의 이전 독립형 구현을 비교·보존하는 보조 화면입니다.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950"/>
        <w:gridCol w:w="5060"/>
        <w:gridCol w:w="1300"/>
      </w:tblGrid>
      <w:tr>
        <w:trPr>
          <w:tblHeader w:val="true"/>
        </w:trPr>
        <w:tc>
          <w:tcPr>
            <w:tcW w:type="dxa" w:w="1050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구분</w:t>
            </w:r>
          </w:p>
        </w:tc>
        <w:tc>
          <w:tcPr>
            <w:tcW w:type="dxa" w:w="1950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화면</w:t>
            </w:r>
          </w:p>
        </w:tc>
        <w:tc>
          <w:tcPr>
            <w:tcW w:type="dxa" w:w="5060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핵심 기능</w:t>
            </w:r>
          </w:p>
        </w:tc>
        <w:tc>
          <w:tcPr>
            <w:tcW w:type="dxa" w:w="1300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구현 기준</w:t>
            </w:r>
          </w:p>
        </w:tc>
      </w:tr>
      <w:tr>
        <w:tc>
          <w:tcPr>
            <w:tcW w:type="dxa" w:w="10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B2733"/>
                <w:sz w:val="16"/>
              </w:rPr>
              <w:t>핵심</w:t>
            </w:r>
          </w:p>
        </w:tc>
        <w:tc>
          <w:tcPr>
            <w:tcW w:type="dxa" w:w="19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/>
                <w:color w:val="1B2733"/>
                <w:sz w:val="16"/>
              </w:rPr>
              <w:t>로그인</w:t>
            </w:r>
          </w:p>
        </w:tc>
        <w:tc>
          <w:tcPr>
            <w:tcW w:type="dxa" w:w="50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B2733"/>
                <w:sz w:val="16"/>
              </w:rPr>
              <w:t>계정 입력, 로그인 유지, 화면 진입</w:t>
            </w:r>
          </w:p>
        </w:tc>
        <w:tc>
          <w:tcPr>
            <w:tcW w:type="dxa" w:w="13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B2733"/>
                <w:sz w:val="16"/>
              </w:rPr>
              <w:t>진입점</w:t>
            </w:r>
          </w:p>
        </w:tc>
      </w:tr>
      <w:tr>
        <w:tc>
          <w:tcPr>
            <w:tcW w:type="dxa" w:w="10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B2733"/>
                <w:sz w:val="16"/>
              </w:rPr>
              <w:t>핵심</w:t>
            </w:r>
          </w:p>
        </w:tc>
        <w:tc>
          <w:tcPr>
            <w:tcW w:type="dxa" w:w="19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/>
                <w:color w:val="1B2733"/>
                <w:sz w:val="16"/>
              </w:rPr>
              <w:t>AI-ONE 홈</w:t>
            </w:r>
          </w:p>
        </w:tc>
        <w:tc>
          <w:tcPr>
            <w:tcW w:type="dxa" w:w="50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B2733"/>
                <w:sz w:val="16"/>
              </w:rPr>
              <w:t>AI 서비스 선택, 최근 사용 이력 확인</w:t>
            </w:r>
          </w:p>
        </w:tc>
        <w:tc>
          <w:tcPr>
            <w:tcW w:type="dxa" w:w="13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B2733"/>
                <w:sz w:val="16"/>
              </w:rPr>
              <w:t>메인 허브</w:t>
            </w:r>
          </w:p>
        </w:tc>
      </w:tr>
      <w:tr>
        <w:tc>
          <w:tcPr>
            <w:tcW w:type="dxa" w:w="10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B2733"/>
                <w:sz w:val="16"/>
              </w:rPr>
              <w:t>핵심</w:t>
            </w:r>
          </w:p>
        </w:tc>
        <w:tc>
          <w:tcPr>
            <w:tcW w:type="dxa" w:w="19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/>
                <w:color w:val="1B2733"/>
                <w:sz w:val="16"/>
              </w:rPr>
              <w:t>국회질의분류</w:t>
            </w:r>
          </w:p>
        </w:tc>
        <w:tc>
          <w:tcPr>
            <w:tcW w:type="dxa" w:w="50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B2733"/>
                <w:sz w:val="16"/>
              </w:rPr>
              <w:t>파일 업로드 → OCR/파싱 → 질의 추출 → 추천실국 확인·확정</w:t>
            </w:r>
          </w:p>
        </w:tc>
        <w:tc>
          <w:tcPr>
            <w:tcW w:type="dxa" w:w="13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B2733"/>
                <w:sz w:val="16"/>
              </w:rPr>
              <w:t>ai-workspace</w:t>
            </w:r>
          </w:p>
        </w:tc>
      </w:tr>
      <w:tr>
        <w:tc>
          <w:tcPr>
            <w:tcW w:type="dxa" w:w="10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B2733"/>
                <w:sz w:val="16"/>
              </w:rPr>
              <w:t>핵심</w:t>
            </w:r>
          </w:p>
        </w:tc>
        <w:tc>
          <w:tcPr>
            <w:tcW w:type="dxa" w:w="19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/>
                <w:color w:val="1B2733"/>
                <w:sz w:val="16"/>
              </w:rPr>
              <w:t>답변서 초안 생성</w:t>
            </w:r>
          </w:p>
        </w:tc>
        <w:tc>
          <w:tcPr>
            <w:tcW w:type="dxa" w:w="50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B2733"/>
                <w:sz w:val="16"/>
              </w:rPr>
              <w:t>참조자료 추천·선택, 초안 생성, 문서 비교, AI 채팅</w:t>
            </w:r>
          </w:p>
        </w:tc>
        <w:tc>
          <w:tcPr>
            <w:tcW w:type="dxa" w:w="13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B2733"/>
                <w:sz w:val="16"/>
              </w:rPr>
              <w:t>ai-answer</w:t>
            </w:r>
          </w:p>
        </w:tc>
      </w:tr>
      <w:tr>
        <w:tc>
          <w:tcPr>
            <w:tcW w:type="dxa" w:w="10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B2733"/>
                <w:sz w:val="16"/>
              </w:rPr>
              <w:t>보조</w:t>
            </w:r>
          </w:p>
        </w:tc>
        <w:tc>
          <w:tcPr>
            <w:tcW w:type="dxa" w:w="195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/>
                <w:color w:val="1B2733"/>
                <w:sz w:val="16"/>
              </w:rPr>
              <w:t>질의분류 구형 화면</w:t>
            </w:r>
          </w:p>
        </w:tc>
        <w:tc>
          <w:tcPr>
            <w:tcW w:type="dxa" w:w="50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B2733"/>
                <w:sz w:val="16"/>
              </w:rPr>
              <w:t>동일 업무의 이전 독립형 구조를 비교·보존</w:t>
            </w:r>
          </w:p>
        </w:tc>
        <w:tc>
          <w:tcPr>
            <w:tcW w:type="dxa" w:w="13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1B2733"/>
                <w:sz w:val="16"/>
              </w:rPr>
              <w:t>ai-intake</w:t>
            </w:r>
          </w:p>
        </w:tc>
      </w:tr>
    </w:tbl>
    <w:p>
      <w:pPr>
        <w:pStyle w:val="Heading2"/>
        <w:spacing w:before="140" w:after="80"/>
      </w:pPr>
      <w:r>
        <w:t>대표 업무 화면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54530"/>
            <wp:docPr id="2" name="Picture 2" title="국회질의분류 AI 워크스페이스" descr="업로드, 원문과 결과 비교, 추천실국 목록을 3개 패널로 제공하는 국회질의분류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one-worksp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80"/>
        <w:jc w:val="center"/>
      </w:pPr>
      <w:r>
        <w:rPr>
          <w:rFonts w:ascii="Malgun Gothic" w:hAnsi="Malgun Gothic" w:eastAsia="Malgun Gothic"/>
          <w:i/>
          <w:color w:val="5F6B76"/>
          <w:sz w:val="16"/>
        </w:rPr>
        <w:t>그림 2. 업로드·원문 비교·추천실국을 한 작업 공간에 배치한 국회질의분류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54530"/>
            <wp:docPr id="3" name="Picture 3" title="국회 답변서 초안 생성 AI 워크스페이스" descr="참조소스, 관련자료와 답변서 초안, AI 채팅을 3개 패널로 제공하는 답변서 초안 생성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one-answ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80"/>
        <w:jc w:val="center"/>
      </w:pPr>
      <w:r>
        <w:rPr>
          <w:rFonts w:ascii="Malgun Gothic" w:hAnsi="Malgun Gothic" w:eastAsia="Malgun Gothic"/>
          <w:i/>
          <w:color w:val="5F6B76"/>
          <w:sz w:val="16"/>
        </w:rPr>
        <w:t>그림 3. 참조소스·관련자료/초안·AI 채팅을 연계한 국회 답변서 초안 생성</w:t>
      </w:r>
    </w:p>
    <w:p>
      <w:r>
        <w:br w:type="page"/>
      </w:r>
    </w:p>
    <w:p>
      <w:pPr>
        <w:pStyle w:val="Heading1"/>
      </w:pPr>
      <w:r>
        <w:t>2. 공통 컴포넌트 구성</w:t>
      </w:r>
    </w:p>
    <w:p>
      <w:pPr>
        <w:spacing w:after="100" w:line="276" w:lineRule="auto"/>
      </w:pPr>
      <w:r>
        <w:rPr>
          <w:rFonts w:ascii="Malgun Gothic" w:hAnsi="Malgun Gothic" w:eastAsia="Malgun Gothic"/>
          <w:color w:val="1B2733"/>
          <w:sz w:val="19"/>
        </w:rPr>
        <w:t>컴포넌트 카탈로그는 실제 화면의 공통 UI를 5개 분류로 정리해 대표 형태와 상태를 검수합니다.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06240" cy="2367465"/>
            <wp:docPr id="4" name="Picture 4" title="AI-ONE 컴포넌트 카탈로그" descr="Actions, Display, Forms, Layouts, Navigation 분류로 공통 UI를 제공하는 컴포넌트 카탈로그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one-compon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7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80"/>
        <w:jc w:val="center"/>
      </w:pPr>
      <w:r>
        <w:rPr>
          <w:rFonts w:ascii="Malgun Gothic" w:hAnsi="Malgun Gothic" w:eastAsia="Malgun Gothic"/>
          <w:i/>
          <w:color w:val="5F6B76"/>
          <w:sz w:val="16"/>
        </w:rPr>
        <w:t>그림 4. Actions·Display·Forms·Layouts·Navigation 분류의 컴포넌트 카탈로그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00"/>
        <w:gridCol w:w="7160"/>
      </w:tblGrid>
      <w:tr>
        <w:trPr>
          <w:tblHeader w:val="true"/>
        </w:trPr>
        <w:tc>
          <w:tcPr>
            <w:tcW w:type="dxa" w:w="1500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분류</w:t>
            </w:r>
          </w:p>
        </w:tc>
        <w:tc>
          <w:tcPr>
            <w:tcW w:type="dxa" w:w="700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수</w:t>
            </w:r>
          </w:p>
        </w:tc>
        <w:tc>
          <w:tcPr>
            <w:tcW w:type="dxa" w:w="7160"/>
            <w:shd w:fill="E8EEF5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포함 컴포넌트</w:t>
            </w:r>
          </w:p>
        </w:tc>
      </w:tr>
      <w:tr>
        <w:tc>
          <w:tcPr>
            <w:tcW w:type="dxa" w:w="15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Actions</w:t>
            </w:r>
          </w:p>
        </w:tc>
        <w:tc>
          <w:tcPr>
            <w:tcW w:type="dxa" w:w="7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74B5"/>
                <w:sz w:val="16"/>
              </w:rPr>
              <w:t>4</w:t>
            </w:r>
          </w:p>
        </w:tc>
        <w:tc>
          <w:tcPr>
            <w:tcW w:type="dxa" w:w="71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B2733"/>
                <w:sz w:val="16"/>
              </w:rPr>
              <w:t>Button, Icon Button, Filter Button, DropdownMenu</w:t>
            </w:r>
          </w:p>
        </w:tc>
      </w:tr>
      <w:tr>
        <w:tc>
          <w:tcPr>
            <w:tcW w:type="dxa" w:w="15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Display</w:t>
            </w:r>
          </w:p>
        </w:tc>
        <w:tc>
          <w:tcPr>
            <w:tcW w:type="dxa" w:w="7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74B5"/>
                <w:sz w:val="16"/>
              </w:rPr>
              <w:t>12</w:t>
            </w:r>
          </w:p>
        </w:tc>
        <w:tc>
          <w:tcPr>
            <w:tcW w:type="dxa" w:w="71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B2733"/>
                <w:sz w:val="16"/>
              </w:rPr>
              <w:t>Badge, CountBadge, StatusBadge, Chip, ProgressBar, DocumentStatusBar, ServiceCard, QueryCard, Toast, ChatMessage, DataTable, Tooltip (예정)</w:t>
            </w:r>
          </w:p>
        </w:tc>
      </w:tr>
      <w:tr>
        <w:tc>
          <w:tcPr>
            <w:tcW w:type="dxa" w:w="15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Forms</w:t>
            </w:r>
          </w:p>
        </w:tc>
        <w:tc>
          <w:tcPr>
            <w:tcW w:type="dxa" w:w="7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74B5"/>
                <w:sz w:val="16"/>
              </w:rPr>
              <w:t>9</w:t>
            </w:r>
          </w:p>
        </w:tc>
        <w:tc>
          <w:tcPr>
            <w:tcW w:type="dxa" w:w="71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B2733"/>
                <w:sz w:val="16"/>
              </w:rPr>
              <w:t>Input, Select, Textarea, Checkbox, Radio, Toggle, File Upload, FileList, FileItem</w:t>
            </w:r>
          </w:p>
        </w:tc>
      </w:tr>
      <w:tr>
        <w:tc>
          <w:tcPr>
            <w:tcW w:type="dxa" w:w="15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Layouts</w:t>
            </w:r>
          </w:p>
        </w:tc>
        <w:tc>
          <w:tcPr>
            <w:tcW w:type="dxa" w:w="7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74B5"/>
                <w:sz w:val="16"/>
              </w:rPr>
              <w:t>5</w:t>
            </w:r>
          </w:p>
        </w:tc>
        <w:tc>
          <w:tcPr>
            <w:tcW w:type="dxa" w:w="71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B2733"/>
                <w:sz w:val="16"/>
              </w:rPr>
              <w:t>Panel, Three Panel, Split Handler, Modal, SidePop</w:t>
            </w:r>
          </w:p>
        </w:tc>
      </w:tr>
      <w:tr>
        <w:tc>
          <w:tcPr>
            <w:tcW w:type="dxa" w:w="15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6"/>
              </w:rPr>
              <w:t>Navigation</w:t>
            </w:r>
          </w:p>
        </w:tc>
        <w:tc>
          <w:tcPr>
            <w:tcW w:type="dxa" w:w="70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E74B5"/>
                <w:sz w:val="16"/>
              </w:rPr>
              <w:t>4</w:t>
            </w:r>
          </w:p>
        </w:tc>
        <w:tc>
          <w:tcPr>
            <w:tcW w:type="dxa" w:w="7160"/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1B2733"/>
                <w:sz w:val="16"/>
              </w:rPr>
              <w:t>Tab, Tab Button, Topbar, Sidebar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shd w:fill="E8EEF5"/>
            <w:tcBorders>
              <w:top w:val="single" w:sz="8" w:color="E8EEF5"/>
              <w:start w:val="single" w:sz="8" w:color="E8EEF5"/>
              <w:bottom w:val="single" w:sz="8" w:color="E8EEF5"/>
              <w:end w:val="single" w:sz="8" w:color="E8EEF5"/>
              <w:insideH w:val="single" w:sz="8" w:color="E8EEF5"/>
              <w:insideV w:val="single" w:sz="8" w:color="E8EEF5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 xml:space="preserve">생성 예정  Tooltip  </w:t>
            </w:r>
            <w:r>
              <w:rPr>
                <w:rFonts w:ascii="Malgun Gothic" w:hAnsi="Malgun Gothic" w:eastAsia="Malgun Gothic"/>
                <w:color w:val="1B2733"/>
                <w:sz w:val="18"/>
              </w:rPr>
              <w:t>아이콘·축소형 내비게이션 등에서 요소 이름과 보조 설명을 제공하는 별도 공통 컴포넌트로 생성 예정입니다. 현재 33개 카탈로그 항목에는 포함되지 않습니다.</w:t>
            </w:r>
          </w:p>
        </w:tc>
      </w:tr>
    </w:tbl>
    <w:p>
      <w:pPr>
        <w:spacing w:after="0" w:before="0" w:line="120" w:lineRule="auto"/>
      </w:pPr>
    </w:p>
    <w:p>
      <w:pPr>
        <w:spacing w:before="0" w:after="60" w:line="276" w:lineRule="auto"/>
      </w:pPr>
      <w:r>
        <w:rPr>
          <w:rFonts w:ascii="Malgun Gothic" w:hAnsi="Malgun Gothic" w:eastAsia="Malgun Gothic"/>
          <w:b/>
          <w:color w:val="1F4D78"/>
          <w:sz w:val="18"/>
        </w:rPr>
        <w:t xml:space="preserve">재사용 구조  </w:t>
      </w:r>
      <w:r>
        <w:rPr>
          <w:rFonts w:ascii="Malgun Gothic" w:hAnsi="Malgun Gothic" w:eastAsia="Malgun Gothic"/>
          <w:color w:val="1B2733"/>
          <w:sz w:val="18"/>
        </w:rPr>
        <w:t>화면은 data-component-include로 fragment를 조합하고, 컴포넌트별 CSS·JS와 README를 같은 폴더에서 관리합니다.</w:t>
      </w:r>
    </w:p>
    <w:p>
      <w:pPr>
        <w:spacing w:before="0" w:after="60" w:line="276" w:lineRule="auto"/>
      </w:pPr>
      <w:r>
        <w:rPr>
          <w:rFonts w:ascii="Malgun Gothic" w:hAnsi="Malgun Gothic" w:eastAsia="Malgun Gothic"/>
          <w:b/>
          <w:color w:val="1F4D78"/>
          <w:sz w:val="18"/>
        </w:rPr>
        <w:t xml:space="preserve">책임 분리  </w:t>
      </w:r>
      <w:r>
        <w:rPr>
          <w:rFonts w:ascii="Malgun Gothic" w:hAnsi="Malgun Gothic" w:eastAsia="Malgun Gothic"/>
          <w:color w:val="1B2733"/>
          <w:sz w:val="18"/>
        </w:rPr>
        <w:t>공통 표현·상태·기본 이벤트는 컴포넌트가 맡고, 업무 데이터와 화면별 흐름은 각 페이지 JavaScript가 담당합니다.</w:t>
      </w:r>
    </w:p>
    <w:p>
      <w:pPr>
        <w:spacing w:before="0" w:after="60" w:line="276" w:lineRule="auto"/>
      </w:pPr>
      <w:r>
        <w:rPr>
          <w:rFonts w:ascii="Malgun Gothic" w:hAnsi="Malgun Gothic" w:eastAsia="Malgun Gothic"/>
          <w:b/>
          <w:color w:val="1F4D78"/>
          <w:sz w:val="18"/>
        </w:rPr>
        <w:t xml:space="preserve">검수 기준  </w:t>
      </w:r>
      <w:r>
        <w:rPr>
          <w:rFonts w:ascii="Malgun Gothic" w:hAnsi="Malgun Gothic" w:eastAsia="Malgun Gothic"/>
          <w:color w:val="1B2733"/>
          <w:sz w:val="18"/>
        </w:rPr>
        <w:t>component/index.html과 componentgroup-card.html에서 대표 상태를 확인하고, 실제 화면에서는 동일 계약을 재사용합니다.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algun Gothic" w:hAnsi="Malgun Gothic" w:eastAsia="Malgun Gothic"/>
        <w:color w:val="5F6B76"/>
        <w:sz w:val="16"/>
      </w:rPr>
      <w:t xml:space="preserve">AI-ONE  ·  </w:t>
    </w:r>
    <w:r>
      <w:rPr>
        <w:rFonts w:ascii="Malgun Gothic" w:hAnsi="Malgun Gothic" w:eastAsia="Malgun Gothic"/>
        <w:color w:val="5F6B76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algun Gothic" w:hAnsi="Malgun Gothic" w:eastAsia="Malgun Gothic"/>
        <w:color w:val="5F6B76"/>
        <w:sz w:val="16"/>
      </w:rPr>
      <w:t xml:space="preserve"> / </w:t>
    </w:r>
    <w:r>
      <w:rPr>
        <w:rFonts w:ascii="Malgun Gothic" w:hAnsi="Malgun Gothic" w:eastAsia="Malgun Gothic"/>
        <w:color w:val="5F6B76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/>
        <w:b/>
        <w:color w:val="5F6B76"/>
        <w:sz w:val="16"/>
      </w:rPr>
      <w:t>AI-ONE  |  화면·컴포넌트 구성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color w:val="1B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4" w:lineRule="auto"/>
    </w:pPr>
    <w:rPr>
      <w:rFonts w:asciiTheme="majorHAnsi" w:eastAsiaTheme="majorEastAsia" w:hAnsiTheme="majorHAnsi" w:cstheme="majorBidi" w:ascii="Malgun Gothic" w:hAnsi="Malgun Gothic" w:eastAsia="Malgun Gothic"/>
      <w:i/>
      <w:iCs/>
      <w:color w:val="5F6B7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lgun Gothic" w:hAnsi="Malgun Gothic" w:eastAsia="Malgun Gothic"/>
      <w:b/>
      <w:bCs/>
      <w:color w:val="5F6B7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AI-ONE 화면·컴포넌트 구성 가이드</dc:title>
  <dc:subject>AI-ONE Platform Prototype 외부 공유용 구현 현황 요약</dc:subject>
  <dc:creator>AI-ONE Project</dc:creator>
  <cp:keywords>AI-ONE, 화면, 컴포넌트, 프로토타입, 퍼블리싱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