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79E7C" w14:textId="1CD89F74" w:rsidR="009A79C2" w:rsidRPr="00246AE7" w:rsidRDefault="00887D4A" w:rsidP="00887D4A">
      <w:pPr>
        <w:ind w:left="720"/>
        <w:jc w:val="center"/>
      </w:pPr>
      <w:r w:rsidRPr="00887D4A">
        <w:rPr>
          <w:b/>
          <w:bCs/>
          <w:sz w:val="28"/>
          <w:szCs w:val="28"/>
        </w:rPr>
        <w:t>Diversity-Aware Risk Scoring Framework for Detecting Malicious Tool Usage in AI Agents</w:t>
      </w:r>
    </w:p>
    <w:p w14:paraId="6CCEC0F0" w14:textId="2A8D290C" w:rsidR="00246AE7" w:rsidRPr="00246AE7" w:rsidRDefault="00246AE7" w:rsidP="00887D4A">
      <w:pPr>
        <w:jc w:val="center"/>
        <w:rPr>
          <w:b/>
          <w:bCs/>
          <w:shd w:val="clear" w:color="auto" w:fill="FFFFFF"/>
        </w:rPr>
      </w:pPr>
      <w:r w:rsidRPr="00246AE7">
        <w:rPr>
          <w:b/>
          <w:bCs/>
          <w:shd w:val="clear" w:color="auto" w:fill="FFFFFF"/>
          <w:lang w:val="vi-VN"/>
        </w:rPr>
        <w:t>Q</w:t>
      </w:r>
      <w:proofErr w:type="spellStart"/>
      <w:r w:rsidRPr="00246AE7">
        <w:rPr>
          <w:b/>
          <w:bCs/>
          <w:shd w:val="clear" w:color="auto" w:fill="FFFFFF"/>
        </w:rPr>
        <w:t>uoc</w:t>
      </w:r>
      <w:proofErr w:type="spellEnd"/>
      <w:r w:rsidRPr="00246AE7">
        <w:rPr>
          <w:b/>
          <w:bCs/>
          <w:shd w:val="clear" w:color="auto" w:fill="FFFFFF"/>
          <w:lang w:val="vi-VN"/>
        </w:rPr>
        <w:t xml:space="preserve"> Hung NGUYEN</w:t>
      </w:r>
      <w:r w:rsidRPr="00246AE7">
        <w:rPr>
          <w:b/>
          <w:bCs/>
          <w:shd w:val="clear" w:color="auto" w:fill="FFFFFF"/>
          <w:vertAlign w:val="superscript"/>
          <w:lang w:val="vi-VN"/>
        </w:rPr>
        <w:t>[0000-0002-6363-0160]</w:t>
      </w:r>
      <w:r w:rsidRPr="00246AE7">
        <w:rPr>
          <w:b/>
          <w:bCs/>
          <w:shd w:val="clear" w:color="auto" w:fill="FFFFFF"/>
          <w:lang w:val="vi-VN"/>
        </w:rPr>
        <w:t>,</w:t>
      </w:r>
      <w:r w:rsidR="00887D4A">
        <w:rPr>
          <w:b/>
          <w:bCs/>
          <w:shd w:val="clear" w:color="auto" w:fill="FFFFFF"/>
        </w:rPr>
        <w:t xml:space="preserve"> </w:t>
      </w:r>
      <w:r w:rsidRPr="00246AE7">
        <w:rPr>
          <w:b/>
          <w:bCs/>
          <w:shd w:val="clear" w:color="auto" w:fill="FFFFFF"/>
        </w:rPr>
        <w:t>Hoang Minh NGUYEN</w:t>
      </w:r>
      <w:r w:rsidRPr="00246AE7">
        <w:rPr>
          <w:b/>
          <w:bCs/>
          <w:shd w:val="clear" w:color="auto" w:fill="FFFFFF"/>
          <w:vertAlign w:val="superscript"/>
        </w:rPr>
        <w:t>[0009-0008-3892-5881]</w:t>
      </w:r>
      <w:r w:rsidRPr="00246AE7">
        <w:rPr>
          <w:b/>
          <w:bCs/>
          <w:shd w:val="clear" w:color="auto" w:fill="FFFFFF"/>
        </w:rPr>
        <w:t xml:space="preserve"> </w:t>
      </w:r>
    </w:p>
    <w:p w14:paraId="52CC9B11" w14:textId="77777777" w:rsidR="00246AE7" w:rsidRPr="00246AE7" w:rsidRDefault="00246AE7" w:rsidP="00887D4A">
      <w:pPr>
        <w:ind w:left="0"/>
        <w:rPr>
          <w:b/>
          <w:bCs/>
          <w:shd w:val="clear" w:color="auto" w:fill="FFFFFF"/>
        </w:rPr>
      </w:pPr>
    </w:p>
    <w:p w14:paraId="0E65B9F7" w14:textId="77777777" w:rsidR="00246AE7" w:rsidRPr="00246AE7" w:rsidRDefault="00246AE7" w:rsidP="00246AE7">
      <w:pPr>
        <w:jc w:val="center"/>
        <w:rPr>
          <w:b/>
          <w:bCs/>
          <w:sz w:val="24"/>
          <w:szCs w:val="24"/>
        </w:rPr>
      </w:pPr>
      <w:r w:rsidRPr="00246AE7">
        <w:rPr>
          <w:b/>
          <w:bCs/>
          <w:shd w:val="clear" w:color="auto" w:fill="FFFFFF"/>
        </w:rPr>
        <w:t>University of Economics Ho Chi Minh City (UEH), Ho Chi Minh City, Vietnam</w:t>
      </w:r>
    </w:p>
    <w:p w14:paraId="6F9BE396" w14:textId="77777777" w:rsidR="00246AE7" w:rsidRPr="00246AE7" w:rsidRDefault="00246AE7" w:rsidP="00246AE7">
      <w:pPr>
        <w:jc w:val="center"/>
        <w:rPr>
          <w:rFonts w:ascii="Courier New" w:hAnsi="Courier New" w:cs="Courier New"/>
        </w:rPr>
      </w:pPr>
      <w:r w:rsidRPr="00246AE7">
        <w:rPr>
          <w:rFonts w:ascii="Courier New" w:hAnsi="Courier New" w:cs="Courier New"/>
          <w:color w:val="000000"/>
          <w:shd w:val="clear" w:color="auto" w:fill="FFFFFF"/>
        </w:rPr>
        <w:t xml:space="preserve">Corresponding author: </w:t>
      </w:r>
      <w:hyperlink r:id="rId7" w:history="1">
        <w:r w:rsidRPr="00246AE7">
          <w:rPr>
            <w:rStyle w:val="Hyperlink"/>
            <w:rFonts w:ascii="Courier New" w:hAnsi="Courier New" w:cs="Courier New"/>
            <w:shd w:val="clear" w:color="auto" w:fill="FFFFFF"/>
            <w:lang w:val="vi-VN"/>
          </w:rPr>
          <w:t>hungngq@ueh.edu.vn</w:t>
        </w:r>
      </w:hyperlink>
    </w:p>
    <w:p w14:paraId="4FA08607" w14:textId="77777777" w:rsidR="009A79C2" w:rsidRPr="00246AE7" w:rsidRDefault="009A79C2" w:rsidP="00246AE7"/>
    <w:p w14:paraId="1C7B774F" w14:textId="49B309FD" w:rsidR="00392E94" w:rsidRDefault="007E150C" w:rsidP="00392E94">
      <w:pPr>
        <w:ind w:left="1440" w:right="1440"/>
      </w:pPr>
      <w:r w:rsidRPr="00246AE7">
        <w:rPr>
          <w:b/>
          <w:bCs/>
        </w:rPr>
        <w:t>Abstract</w:t>
      </w:r>
      <w:r w:rsidR="00887D4A">
        <w:rPr>
          <w:b/>
          <w:bCs/>
        </w:rPr>
        <w:t>:</w:t>
      </w:r>
      <w:r w:rsidR="00DC05CD">
        <w:t xml:space="preserve"> </w:t>
      </w:r>
      <w:r w:rsidR="009B7D48" w:rsidRPr="009B7D48">
        <w:t xml:space="preserve">Modern autonomous AI agents can make plans, infer conclusions, and autonomously use external utilities such as APIs, databases, and filesystems. Using these external utilities introduces many security threats, including prompt injection, tool hijacking, privilege escalation, and malicious workflows. Current methods focus primarily on detecting abnormal behavior through binary classification (normal or abnormal). Therefore, they fail to assess the severity of attacks, ignore the diversity of legitimate tool usage, and lack interpretability for security analysts. We propose the Diversity-Aware Risk Scoring (DARS) Framework to overcome these weaknesses by incorporating five distinct features: (1) behavior diversity estimation using entropy measures, (2) tool transition pattern analysis, (3) privilege-aware scoring, (4) contextual sequence inference, and (5) SHAP value-based risk explanation. Instead of classifying activities into two categories, DARS assigns continuous scores ranging from 0 to 1. Evaluation on a dataset generated from </w:t>
      </w:r>
      <w:proofErr w:type="spellStart"/>
      <w:r w:rsidR="009B7D48" w:rsidRPr="009B7D48">
        <w:t>AgentDojo</w:t>
      </w:r>
      <w:proofErr w:type="spellEnd"/>
      <w:r w:rsidR="009B7D48" w:rsidRPr="009B7D48">
        <w:t xml:space="preserve"> shows that our approach achieves an F1-score of 0.936 and an ROC-AUC score of 0.961, with enhanced interpretability of attack severity and a 53% decrease in the false discovery rate.</w:t>
      </w:r>
    </w:p>
    <w:p w14:paraId="5FE1B8C7" w14:textId="2A2137A0" w:rsidR="00E850C3" w:rsidRPr="00057B8E" w:rsidRDefault="00E850C3" w:rsidP="00392E94">
      <w:pPr>
        <w:ind w:left="1440" w:right="1440"/>
      </w:pPr>
      <w:r w:rsidRPr="00E850C3">
        <w:rPr>
          <w:b/>
          <w:bCs/>
        </w:rPr>
        <w:t>Keywords:</w:t>
      </w:r>
      <w:r w:rsidRPr="00E850C3">
        <w:t xml:space="preserve"> </w:t>
      </w:r>
      <w:r w:rsidR="003635E1" w:rsidRPr="003635E1">
        <w:t>AI Agent Security, Prompt Injection Detection, Behavioral Diversity, Risk Scoring, Explainable AI, Tool-Use Monitoring</w:t>
      </w:r>
      <w:r w:rsidRPr="00E850C3">
        <w:t>.</w:t>
      </w:r>
    </w:p>
    <w:p w14:paraId="076B9225" w14:textId="7B580FED" w:rsidR="00A842AE" w:rsidRPr="00246AE7" w:rsidRDefault="009A79C2" w:rsidP="00246AE7">
      <w:pPr>
        <w:pStyle w:val="Heading1"/>
      </w:pPr>
      <w:r w:rsidRPr="00246AE7">
        <w:t>Introduction</w:t>
      </w:r>
    </w:p>
    <w:p w14:paraId="7383700A" w14:textId="0CC96E37" w:rsidR="00A842AE" w:rsidRDefault="00301B92" w:rsidP="00246AE7">
      <w:pPr>
        <w:pStyle w:val="Heading2"/>
      </w:pPr>
      <w:r>
        <w:t>R</w:t>
      </w:r>
      <w:r w:rsidR="00E850C3">
        <w:t>ise of Autonomous AI Agents</w:t>
      </w:r>
    </w:p>
    <w:p w14:paraId="4D0DCCEC" w14:textId="6CBB8331" w:rsidR="009B7D48" w:rsidRPr="009B7D48" w:rsidRDefault="009B7D48" w:rsidP="009B7D48">
      <w:r w:rsidRPr="009B7D48">
        <w:t xml:space="preserve">Today, autonomous agents use LLMs to plan tasks, reason through multiple steps, and interact with external tools via APIs [1, 2]. The </w:t>
      </w:r>
      <w:proofErr w:type="spellStart"/>
      <w:r w:rsidRPr="009B7D48">
        <w:t>ReAct</w:t>
      </w:r>
      <w:proofErr w:type="spellEnd"/>
      <w:r w:rsidRPr="009B7D48">
        <w:t xml:space="preserve"> approach [3] employs iterative chain-of-thought reasoning along with tool execution. Platforms for multi-agent collaboration, such as </w:t>
      </w:r>
      <w:proofErr w:type="spellStart"/>
      <w:r w:rsidRPr="009B7D48">
        <w:t>AutoGen</w:t>
      </w:r>
      <w:proofErr w:type="spellEnd"/>
      <w:r w:rsidRPr="009B7D48">
        <w:t xml:space="preserve"> [4] and </w:t>
      </w:r>
      <w:proofErr w:type="spellStart"/>
      <w:r w:rsidRPr="009B7D48">
        <w:t>CrewAI</w:t>
      </w:r>
      <w:proofErr w:type="spellEnd"/>
      <w:r w:rsidRPr="009B7D48">
        <w:t xml:space="preserve"> [5], allow coordination between different agents through common tool registries. Such agents are deployed to perform tasks like REST API access, file read/write operations, database queries, web browsing, and shell command execution [6]. They have been applied to areas like customer support, software development, financial modeling [7], and healthcare [8]. As agents gain more autonomy, executing long tool-call sequences with minimal human supervision [9], security threats escalate.</w:t>
      </w:r>
    </w:p>
    <w:p w14:paraId="361F6CF8" w14:textId="18CB83D0" w:rsidR="009A79C2" w:rsidRDefault="00301B92" w:rsidP="00246AE7">
      <w:pPr>
        <w:pStyle w:val="Heading2"/>
        <w:rPr>
          <w:rStyle w:val="Heading2Char"/>
          <w:b/>
          <w:bCs/>
        </w:rPr>
      </w:pPr>
      <w:r>
        <w:rPr>
          <w:rStyle w:val="Heading2Char"/>
          <w:b/>
          <w:bCs/>
        </w:rPr>
        <w:t>Security Threats in AI Agents</w:t>
      </w:r>
    </w:p>
    <w:p w14:paraId="02616024" w14:textId="5A06DBF3" w:rsidR="00DC05CD" w:rsidRPr="00DC05CD" w:rsidRDefault="009B7D48" w:rsidP="00DC05CD">
      <w:r w:rsidRPr="009B7D48">
        <w:t xml:space="preserve">The threat of prompt injection has been studied in the greatest detail. In direct injection, an attacker creates input to subvert the agent’s instructions. With indirect injection, the attacker </w:t>
      </w:r>
      <w:r w:rsidRPr="009B7D48">
        <w:lastRenderedPageBreak/>
        <w:t>embeds commands in the data accessed by the agent, such as websites and documents [10, 11]. When the agent uses its tools to commit malicious actions at the attacker’s request, this is tool misuse; examples include using an email application to send internal information to external mailboxes [12]. Data exfiltration usually relies on a chain of several calls to different tools (such as “</w:t>
      </w:r>
      <w:proofErr w:type="spellStart"/>
      <w:r w:rsidRPr="009B7D48">
        <w:t>read_file</w:t>
      </w:r>
      <w:proofErr w:type="spellEnd"/>
      <w:r w:rsidRPr="009B7D48">
        <w:t>” followed by “</w:t>
      </w:r>
      <w:proofErr w:type="spellStart"/>
      <w:r w:rsidRPr="009B7D48">
        <w:t>send_email</w:t>
      </w:r>
      <w:proofErr w:type="spellEnd"/>
      <w:r w:rsidRPr="009B7D48">
        <w:t>”), each harmless by itself [13]. Privilege escalation happens when the access rights of the agent are too wide, allowing it to perform actions at an admin level that are irrelevant to its operation [14]. Denial-of-wallet attacks cause the agent to make repeated API requests, consuming credits in the process [15]. The OWASP Top 10 for Agentic Applications [16] has formalized these risks.</w:t>
      </w:r>
    </w:p>
    <w:p w14:paraId="19256562" w14:textId="25BD7CB1" w:rsidR="00246AE7" w:rsidRDefault="00A842AE" w:rsidP="00246AE7">
      <w:pPr>
        <w:pStyle w:val="Heading2"/>
      </w:pPr>
      <w:r w:rsidRPr="00246AE7">
        <w:t xml:space="preserve">Research </w:t>
      </w:r>
      <w:r w:rsidR="00301B92">
        <w:t>Gap</w:t>
      </w:r>
    </w:p>
    <w:p w14:paraId="50716BC4" w14:textId="357D2094" w:rsidR="00DC05CD" w:rsidRDefault="00405C7B" w:rsidP="00DC05CD">
      <w:r w:rsidRPr="00405C7B">
        <w:t>The current techniques face five significant issues. Firstly, they employ a binary classification mechanism (safe/unsafe), which does not account for the magnitude of attacks [17]. Secondly, they ignore the behavioral variations among legitimate bots, resulting in a lot of false positives where bots undertake complicated yet legitimate activities [18]. Thirdly, they analyze individual actions of tools without considering multi-stage attacks [19]. Fourthly, deep learning models work in a black-box fashion, hence lacking transparency [20]. Lastly, preventive mechanisms such as sandboxing are incapable of assessing the danger posed by actions that have evaded them [21].</w:t>
      </w:r>
    </w:p>
    <w:p w14:paraId="69758F11" w14:textId="0153F166" w:rsidR="009B7D48" w:rsidRDefault="009B7D48" w:rsidP="009B7D48">
      <w:pPr>
        <w:pStyle w:val="Heading2"/>
      </w:pPr>
      <w:r>
        <w:t>Proposed Innovation</w:t>
      </w:r>
    </w:p>
    <w:p w14:paraId="4A8C5F59" w14:textId="31AF2FE6" w:rsidR="009B7D48" w:rsidRDefault="009B7D48" w:rsidP="009B7D48">
      <w:r w:rsidRPr="009B7D48">
        <w:t>We introduce the Diversity Aware Risk Scoring (DARS) framework, based on four core design principles. The first is diversity-aware behavioral modeling, which uses Shannon entropy and similar metrics to capture the diversity of the agent's tool usage. Normal sessions show stable diversity for similar tasks, while adversarial activities disrupt this stability. The second is that risk scoring is continuous rather than binary, where R</w:t>
      </w:r>
      <w:proofErr w:type="gramStart"/>
      <w:r w:rsidRPr="009B7D48">
        <w:rPr>
          <w:rFonts w:ascii="Cambria Math" w:hAnsi="Cambria Math" w:cs="Cambria Math"/>
        </w:rPr>
        <w:t>∈</w:t>
      </w:r>
      <w:r w:rsidRPr="009B7D48">
        <w:t>[</w:t>
      </w:r>
      <w:proofErr w:type="gramEnd"/>
      <w:r w:rsidRPr="009B7D48">
        <w:t>0,1]. This facilitates a graded policy approach to risk. Third, multi-faceted security reasoning combines tool-transition probabilities, privilege tracking, sequence encoding, and diversity anomalies. Finally, SHAP [22] is used to attribute features for explainable anomaly detection.</w:t>
      </w:r>
    </w:p>
    <w:p w14:paraId="13298199" w14:textId="0439A780" w:rsidR="00405C7B" w:rsidRDefault="00405C7B" w:rsidP="00405C7B">
      <w:pPr>
        <w:pStyle w:val="Heading2"/>
      </w:pPr>
      <w:r>
        <w:t>Main Contributions</w:t>
      </w:r>
    </w:p>
    <w:p w14:paraId="1B25F391" w14:textId="3C98068F" w:rsidR="00613B91" w:rsidRPr="00613B91" w:rsidRDefault="00613B91" w:rsidP="00613B91">
      <w:r w:rsidRPr="00613B91">
        <w:t>The contributions of this work are summarized as follows:</w:t>
      </w:r>
    </w:p>
    <w:p w14:paraId="35E781A9" w14:textId="64FF28E6" w:rsidR="00613B91" w:rsidRPr="00613B91" w:rsidRDefault="00613B91" w:rsidP="00613B91">
      <w:pPr>
        <w:pStyle w:val="ListParagraph"/>
        <w:numPr>
          <w:ilvl w:val="0"/>
          <w:numId w:val="7"/>
        </w:numPr>
      </w:pPr>
      <w:r w:rsidRPr="00613B91">
        <w:rPr>
          <w:b/>
          <w:bCs/>
        </w:rPr>
        <w:t>The DARS framework:</w:t>
      </w:r>
      <w:r w:rsidRPr="00613B91">
        <w:t xml:space="preserve"> Introducing the Diversity Aware Risk Scoring approach for monitoring the continuous security state of AI agents.</w:t>
      </w:r>
    </w:p>
    <w:p w14:paraId="1AF77BC3" w14:textId="5EEDBE24" w:rsidR="00613B91" w:rsidRPr="00613B91" w:rsidRDefault="00613B91" w:rsidP="00613B91">
      <w:pPr>
        <w:pStyle w:val="ListParagraph"/>
        <w:numPr>
          <w:ilvl w:val="0"/>
          <w:numId w:val="7"/>
        </w:numPr>
      </w:pPr>
      <w:r w:rsidRPr="00613B91">
        <w:rPr>
          <w:b/>
          <w:bCs/>
        </w:rPr>
        <w:t>Behavioral Diversity Quantification:</w:t>
      </w:r>
      <w:r w:rsidRPr="00613B91">
        <w:t xml:space="preserve"> Introducing new metrics for modeling the diversity of normal behaviors of AI agents, such as entropy-based diversity, sequence variability, and action dispersion.</w:t>
      </w:r>
    </w:p>
    <w:p w14:paraId="5A23DC77" w14:textId="504F0BF5" w:rsidR="00613B91" w:rsidRPr="00613B91" w:rsidRDefault="00613B91" w:rsidP="00613B91">
      <w:pPr>
        <w:pStyle w:val="ListParagraph"/>
        <w:numPr>
          <w:ilvl w:val="0"/>
          <w:numId w:val="7"/>
        </w:numPr>
      </w:pPr>
      <w:r w:rsidRPr="00613B91">
        <w:rPr>
          <w:b/>
          <w:bCs/>
        </w:rPr>
        <w:t>Continuous Risk Scoring:</w:t>
      </w:r>
      <w:r w:rsidRPr="00613B91">
        <w:t xml:space="preserve"> Using a continuous risk score, rather than the classic binary classification of either benign or malicious, for assessing risks posed by AI agents.</w:t>
      </w:r>
    </w:p>
    <w:p w14:paraId="6A800825" w14:textId="31AA8097" w:rsidR="00613B91" w:rsidRPr="00613B91" w:rsidRDefault="00613B91" w:rsidP="00613B91">
      <w:pPr>
        <w:pStyle w:val="ListParagraph"/>
        <w:numPr>
          <w:ilvl w:val="0"/>
          <w:numId w:val="7"/>
        </w:numPr>
      </w:pPr>
      <w:r w:rsidRPr="00613B91">
        <w:rPr>
          <w:b/>
          <w:bCs/>
        </w:rPr>
        <w:t>Interpretable Security:</w:t>
      </w:r>
      <w:r w:rsidRPr="00613B91">
        <w:t xml:space="preserve"> Incorporating SHAP values to provide explainable security outcomes, ensuring risk narratives can be generated for the analysts.</w:t>
      </w:r>
    </w:p>
    <w:p w14:paraId="2131C1F9" w14:textId="55040B80" w:rsidR="00613B91" w:rsidRPr="00613B91" w:rsidRDefault="00613B91" w:rsidP="00613B91">
      <w:pPr>
        <w:pStyle w:val="ListParagraph"/>
        <w:numPr>
          <w:ilvl w:val="0"/>
          <w:numId w:val="7"/>
        </w:numPr>
      </w:pPr>
      <w:r w:rsidRPr="00613B91">
        <w:rPr>
          <w:b/>
          <w:bCs/>
        </w:rPr>
        <w:t>Extensive Evaluation:</w:t>
      </w:r>
      <w:r w:rsidRPr="00613B91">
        <w:t xml:space="preserve"> Evaluating our framework based on six misuse scenarios on an </w:t>
      </w:r>
      <w:proofErr w:type="spellStart"/>
      <w:r w:rsidRPr="00613B91">
        <w:t>AgentDojo</w:t>
      </w:r>
      <w:proofErr w:type="spellEnd"/>
      <w:r w:rsidRPr="00613B91">
        <w:t>-inspired dataset [23], demonstrating improvements over other benchmarks significantly.</w:t>
      </w:r>
    </w:p>
    <w:p w14:paraId="63BD15ED" w14:textId="203E7B7A" w:rsidR="00A842AE" w:rsidRPr="00246AE7" w:rsidRDefault="006703A2" w:rsidP="00246AE7">
      <w:pPr>
        <w:pStyle w:val="Heading1"/>
      </w:pPr>
      <w:r>
        <w:rPr>
          <w:lang w:val="en-US"/>
        </w:rPr>
        <w:lastRenderedPageBreak/>
        <w:t>Related Work and Limitations</w:t>
      </w:r>
    </w:p>
    <w:p w14:paraId="1BDD4C60" w14:textId="15F2BA4B" w:rsidR="00246AE7" w:rsidRDefault="006703A2" w:rsidP="00246AE7">
      <w:pPr>
        <w:pStyle w:val="Heading2"/>
      </w:pPr>
      <w:r>
        <w:t>Prompt Injection</w:t>
      </w:r>
      <w:r w:rsidR="00405C7B">
        <w:t xml:space="preserve"> Defense</w:t>
      </w:r>
    </w:p>
    <w:p w14:paraId="12EE6AA0" w14:textId="79AC07C3" w:rsidR="006703A2" w:rsidRPr="006703A2" w:rsidRDefault="00405C7B" w:rsidP="006703A2">
      <w:r w:rsidRPr="00405C7B">
        <w:t xml:space="preserve">Prompt injection was initially identified by Perez and Ribeiro (10). </w:t>
      </w:r>
      <w:proofErr w:type="spellStart"/>
      <w:r w:rsidRPr="00405C7B">
        <w:t>Greshake</w:t>
      </w:r>
      <w:proofErr w:type="spellEnd"/>
      <w:r w:rsidRPr="00405C7B">
        <w:t xml:space="preserve"> et al. (11) introduced the idea of indirect injection through malicious tool outputs. Defenses include prompt sanitization and filtering (24, 25), sandboxing to restrict the operating environment of tools (21), isolation designs to segregate trusted and untrusted information, and the guardrail approach like that of </w:t>
      </w:r>
      <w:proofErr w:type="spellStart"/>
      <w:r w:rsidRPr="00405C7B">
        <w:t>LlamaGuard</w:t>
      </w:r>
      <w:proofErr w:type="spellEnd"/>
      <w:r w:rsidRPr="00405C7B">
        <w:t xml:space="preserve"> (17). All these approaches have a preventive strategy where attacks are prevented but risk evaluation after attack evasion is not considered. If the injection attacks bypass the input filters, there is nothing to estimate the threat of the tool commands produced as a result of that process.</w:t>
      </w:r>
    </w:p>
    <w:p w14:paraId="3EDEE6B2" w14:textId="2334064D" w:rsidR="006703A2" w:rsidRDefault="002D3382" w:rsidP="002D3382">
      <w:pPr>
        <w:pStyle w:val="Heading2"/>
      </w:pPr>
      <w:r>
        <w:t>AI Agent Monitoring Systems</w:t>
      </w:r>
    </w:p>
    <w:p w14:paraId="16BBD8DA" w14:textId="4E99FF28" w:rsidR="002D3382" w:rsidRDefault="002D3382" w:rsidP="002D3382">
      <w:r w:rsidRPr="002D3382">
        <w:t xml:space="preserve">Log-based monitoring extends traditional observability—such as structured logging and tracing—to track large language model (LLM) tool calls [6]. Behavioral anomalies can be detected using methods that analyze the regular behavior patterns of agents and look for statistically significant deviations from these patterns [13, 18]. Furthermore, standardized security test cases are provided within the </w:t>
      </w:r>
      <w:proofErr w:type="spellStart"/>
      <w:r w:rsidRPr="002D3382">
        <w:t>AgentDojo</w:t>
      </w:r>
      <w:proofErr w:type="spellEnd"/>
      <w:r w:rsidRPr="002D3382">
        <w:t xml:space="preserve"> benchmarking platform [23]. RAMPART is a security testing framework developed by Microsoft that considers security throughout the agent development lifecycle. Nonetheless, existing monitoring approaches mostly rely on binary classification (safe/unsafe) without modeling sequential dependencies [23].</w:t>
      </w:r>
    </w:p>
    <w:p w14:paraId="5DF434C8" w14:textId="6C3A683B" w:rsidR="002D3382" w:rsidRDefault="002D3382" w:rsidP="002D3382">
      <w:pPr>
        <w:pStyle w:val="Heading2"/>
      </w:pPr>
      <w:r>
        <w:t>Explainable AI in Cybersecurity</w:t>
      </w:r>
    </w:p>
    <w:p w14:paraId="683DC584" w14:textId="71D84DBC" w:rsidR="002D3382" w:rsidRDefault="002D3382" w:rsidP="002D3382">
      <w:r w:rsidRPr="002D3382">
        <w:t>SHAP [22] makes use of game theory principles to measure the importance of each input feature with respect to a particular prediction. LIME uses sparse linear approximations to locally explain the complex behavior of classifiers. Both techniques have been applied to network intrusion detection systems to reduce investigation time for false positives [20, 26]. However, neither has been used within AI agent behavior analysis. Unlike standard network traffic, agent behavior consists of tool-call sequences with varying lengths and complex temporal dependencies, presenting unique challenges for explainability.</w:t>
      </w:r>
    </w:p>
    <w:p w14:paraId="21FB7AED" w14:textId="09F8A531" w:rsidR="002D3382" w:rsidRDefault="002D3382" w:rsidP="002D3382">
      <w:pPr>
        <w:pStyle w:val="Heading2"/>
      </w:pPr>
      <w:r>
        <w:t>Research Limitations</w:t>
      </w:r>
    </w:p>
    <w:p w14:paraId="17E683BE" w14:textId="35B169A1" w:rsidR="002D3382" w:rsidRDefault="00E85D9D" w:rsidP="002D3382">
      <w:r w:rsidRPr="00E85D9D">
        <w:t>Table 1 compares existing approaches across five capabilities needed for comprehensive agent monitoring.</w:t>
      </w:r>
    </w:p>
    <w:p w14:paraId="363E3C9A" w14:textId="3B716A50" w:rsidR="00E85D9D" w:rsidRDefault="00E85D9D" w:rsidP="002D3382">
      <w:r w:rsidRPr="00E85D9D">
        <w:t>Table 1. Comparison of existing approaches.</w:t>
      </w:r>
    </w:p>
    <w:tbl>
      <w:tblPr>
        <w:tblStyle w:val="Table"/>
        <w:tblW w:w="5000" w:type="pct"/>
        <w:tblLayout w:type="fixed"/>
        <w:tblLook w:val="0020" w:firstRow="1" w:lastRow="0" w:firstColumn="0" w:lastColumn="0" w:noHBand="0" w:noVBand="0"/>
      </w:tblPr>
      <w:tblGrid>
        <w:gridCol w:w="1134"/>
        <w:gridCol w:w="1445"/>
        <w:gridCol w:w="1612"/>
        <w:gridCol w:w="1612"/>
        <w:gridCol w:w="1612"/>
        <w:gridCol w:w="1612"/>
      </w:tblGrid>
      <w:tr w:rsidR="00E85D9D" w14:paraId="50860638" w14:textId="77777777" w:rsidTr="006735CE">
        <w:trPr>
          <w:cnfStyle w:val="100000000000" w:firstRow="1" w:lastRow="0" w:firstColumn="0" w:lastColumn="0" w:oddVBand="0" w:evenVBand="0" w:oddHBand="0" w:evenHBand="0" w:firstRowFirstColumn="0" w:firstRowLastColumn="0" w:lastRowFirstColumn="0" w:lastRowLastColumn="0"/>
          <w:tblHeader/>
        </w:trPr>
        <w:tc>
          <w:tcPr>
            <w:tcW w:w="1134" w:type="dxa"/>
          </w:tcPr>
          <w:p w14:paraId="64B48CB6"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t>Method Category</w:t>
            </w:r>
          </w:p>
        </w:tc>
        <w:tc>
          <w:tcPr>
            <w:tcW w:w="1445" w:type="dxa"/>
          </w:tcPr>
          <w:p w14:paraId="7D871F18"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Binary Detection</w:t>
            </w:r>
          </w:p>
        </w:tc>
        <w:tc>
          <w:tcPr>
            <w:tcW w:w="1612" w:type="dxa"/>
          </w:tcPr>
          <w:p w14:paraId="43C0DB06"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Continuous Scoring</w:t>
            </w:r>
          </w:p>
        </w:tc>
        <w:tc>
          <w:tcPr>
            <w:tcW w:w="1612" w:type="dxa"/>
          </w:tcPr>
          <w:p w14:paraId="589F4008"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Diversity Modeling</w:t>
            </w:r>
          </w:p>
        </w:tc>
        <w:tc>
          <w:tcPr>
            <w:tcW w:w="1612" w:type="dxa"/>
          </w:tcPr>
          <w:p w14:paraId="70685E5A"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Sequence Analysis</w:t>
            </w:r>
          </w:p>
        </w:tc>
        <w:tc>
          <w:tcPr>
            <w:tcW w:w="1612" w:type="dxa"/>
          </w:tcPr>
          <w:p w14:paraId="6EF88EAA"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Explainability</w:t>
            </w:r>
          </w:p>
        </w:tc>
      </w:tr>
      <w:tr w:rsidR="00E85D9D" w14:paraId="11FE36AF" w14:textId="77777777" w:rsidTr="006735CE">
        <w:tc>
          <w:tcPr>
            <w:tcW w:w="1134" w:type="dxa"/>
          </w:tcPr>
          <w:p w14:paraId="40A972ED"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t>Prompt Injection Filters [10, 24]</w:t>
            </w:r>
          </w:p>
        </w:tc>
        <w:tc>
          <w:tcPr>
            <w:tcW w:w="1445" w:type="dxa"/>
          </w:tcPr>
          <w:p w14:paraId="3FAACD1B"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168B6AF0"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7D9242C3"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6F184147"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108D262D"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r>
      <w:tr w:rsidR="00E85D9D" w14:paraId="38851E19" w14:textId="77777777" w:rsidTr="006735CE">
        <w:tc>
          <w:tcPr>
            <w:tcW w:w="1134" w:type="dxa"/>
          </w:tcPr>
          <w:p w14:paraId="6084A31A"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t>Sandboxing / Isolation [21]</w:t>
            </w:r>
          </w:p>
        </w:tc>
        <w:tc>
          <w:tcPr>
            <w:tcW w:w="1445" w:type="dxa"/>
          </w:tcPr>
          <w:p w14:paraId="5B71F9E1"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3E8C19FC"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1FCDABF2"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304A1CC3"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263E2102"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r>
      <w:tr w:rsidR="00E85D9D" w14:paraId="3029D81E" w14:textId="77777777" w:rsidTr="006735CE">
        <w:tc>
          <w:tcPr>
            <w:tcW w:w="1134" w:type="dxa"/>
          </w:tcPr>
          <w:p w14:paraId="65E06CC9"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lastRenderedPageBreak/>
              <w:t>Guardrails (</w:t>
            </w:r>
            <w:proofErr w:type="spellStart"/>
            <w:r w:rsidRPr="00E85D9D">
              <w:rPr>
                <w:rFonts w:ascii="Times New Roman" w:hAnsi="Times New Roman" w:cs="Times New Roman"/>
                <w:sz w:val="20"/>
                <w:szCs w:val="20"/>
              </w:rPr>
              <w:t>LlamaGuard</w:t>
            </w:r>
            <w:proofErr w:type="spellEnd"/>
            <w:r w:rsidRPr="00E85D9D">
              <w:rPr>
                <w:rFonts w:ascii="Times New Roman" w:hAnsi="Times New Roman" w:cs="Times New Roman"/>
                <w:sz w:val="20"/>
                <w:szCs w:val="20"/>
              </w:rPr>
              <w:t>) [17]</w:t>
            </w:r>
          </w:p>
        </w:tc>
        <w:tc>
          <w:tcPr>
            <w:tcW w:w="1445" w:type="dxa"/>
          </w:tcPr>
          <w:p w14:paraId="6DBA54B3"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205056A2"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45184537"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4F2429F1"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3969F006"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Partial</w:t>
            </w:r>
          </w:p>
        </w:tc>
      </w:tr>
      <w:tr w:rsidR="00E85D9D" w14:paraId="0569EE80" w14:textId="77777777" w:rsidTr="006735CE">
        <w:tc>
          <w:tcPr>
            <w:tcW w:w="1134" w:type="dxa"/>
          </w:tcPr>
          <w:p w14:paraId="5054CABE"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t>Behavioral Anomaly Detection [18]</w:t>
            </w:r>
          </w:p>
        </w:tc>
        <w:tc>
          <w:tcPr>
            <w:tcW w:w="1445" w:type="dxa"/>
          </w:tcPr>
          <w:p w14:paraId="5FF2BEAD"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7E89E303"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0AD6E713"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716B767A"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Partial</w:t>
            </w:r>
          </w:p>
        </w:tc>
        <w:tc>
          <w:tcPr>
            <w:tcW w:w="1612" w:type="dxa"/>
          </w:tcPr>
          <w:p w14:paraId="42AD1776"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r>
      <w:tr w:rsidR="00E85D9D" w14:paraId="0935FB2F" w14:textId="77777777" w:rsidTr="006735CE">
        <w:tc>
          <w:tcPr>
            <w:tcW w:w="1134" w:type="dxa"/>
          </w:tcPr>
          <w:p w14:paraId="4BEF55CD" w14:textId="77777777" w:rsidR="00E85D9D" w:rsidRPr="00E85D9D" w:rsidRDefault="00E85D9D" w:rsidP="00101FFC">
            <w:pPr>
              <w:pStyle w:val="Compact"/>
              <w:rPr>
                <w:rFonts w:ascii="Times New Roman" w:hAnsi="Times New Roman" w:cs="Times New Roman"/>
                <w:sz w:val="20"/>
                <w:szCs w:val="20"/>
              </w:rPr>
            </w:pPr>
            <w:proofErr w:type="spellStart"/>
            <w:r w:rsidRPr="00E85D9D">
              <w:rPr>
                <w:rFonts w:ascii="Times New Roman" w:hAnsi="Times New Roman" w:cs="Times New Roman"/>
                <w:sz w:val="20"/>
                <w:szCs w:val="20"/>
              </w:rPr>
              <w:t>AgentDojo</w:t>
            </w:r>
            <w:proofErr w:type="spellEnd"/>
            <w:r w:rsidRPr="00E85D9D">
              <w:rPr>
                <w:rFonts w:ascii="Times New Roman" w:hAnsi="Times New Roman" w:cs="Times New Roman"/>
                <w:sz w:val="20"/>
                <w:szCs w:val="20"/>
              </w:rPr>
              <w:t xml:space="preserve"> / Red-Teaming [23]</w:t>
            </w:r>
          </w:p>
        </w:tc>
        <w:tc>
          <w:tcPr>
            <w:tcW w:w="1445" w:type="dxa"/>
          </w:tcPr>
          <w:p w14:paraId="37BB873E"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30403356"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29FE2D9B"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1728521A"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00E26B2B"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r>
      <w:tr w:rsidR="00E85D9D" w14:paraId="5C7A6294" w14:textId="77777777" w:rsidTr="006735CE">
        <w:tc>
          <w:tcPr>
            <w:tcW w:w="1134" w:type="dxa"/>
          </w:tcPr>
          <w:p w14:paraId="76F1F424"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sz w:val="20"/>
                <w:szCs w:val="20"/>
              </w:rPr>
              <w:t>XAI for IDS (SHAP/LIME) [22]</w:t>
            </w:r>
          </w:p>
        </w:tc>
        <w:tc>
          <w:tcPr>
            <w:tcW w:w="1445" w:type="dxa"/>
          </w:tcPr>
          <w:p w14:paraId="3B300C04"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3D49CC25" w14:textId="77777777" w:rsidR="00E85D9D" w:rsidRPr="00E85D9D" w:rsidRDefault="00E85D9D" w:rsidP="00101FFC">
            <w:pPr>
              <w:pStyle w:val="Compact"/>
              <w:jc w:val="center"/>
              <w:rPr>
                <w:rFonts w:ascii="Times New Roman" w:hAnsi="Times New Roman" w:cs="Times New Roman"/>
                <w:sz w:val="20"/>
                <w:szCs w:val="20"/>
              </w:rPr>
            </w:pPr>
            <w:r w:rsidRPr="00E85D9D">
              <w:rPr>
                <w:rFonts w:ascii="Times New Roman" w:hAnsi="Times New Roman" w:cs="Times New Roman"/>
                <w:sz w:val="20"/>
                <w:szCs w:val="20"/>
              </w:rPr>
              <w:t>Partial</w:t>
            </w:r>
          </w:p>
        </w:tc>
        <w:tc>
          <w:tcPr>
            <w:tcW w:w="1612" w:type="dxa"/>
          </w:tcPr>
          <w:p w14:paraId="53298759"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7B3A4E59"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c>
          <w:tcPr>
            <w:tcW w:w="1612" w:type="dxa"/>
          </w:tcPr>
          <w:p w14:paraId="06DCB78D"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sz w:val="20"/>
                <w:szCs w:val="20"/>
              </w:rPr>
              <w:t>✓</w:t>
            </w:r>
          </w:p>
        </w:tc>
      </w:tr>
      <w:tr w:rsidR="00E85D9D" w14:paraId="1684EC75" w14:textId="77777777" w:rsidTr="00F236F1">
        <w:tc>
          <w:tcPr>
            <w:tcW w:w="1134" w:type="dxa"/>
            <w:tcBorders>
              <w:bottom w:val="single" w:sz="4" w:space="0" w:color="auto"/>
            </w:tcBorders>
          </w:tcPr>
          <w:p w14:paraId="5E24B71C" w14:textId="77777777" w:rsidR="00E85D9D" w:rsidRPr="00E85D9D" w:rsidRDefault="00E85D9D" w:rsidP="00101FFC">
            <w:pPr>
              <w:pStyle w:val="Compact"/>
              <w:rPr>
                <w:rFonts w:ascii="Times New Roman" w:hAnsi="Times New Roman" w:cs="Times New Roman"/>
                <w:sz w:val="20"/>
                <w:szCs w:val="20"/>
              </w:rPr>
            </w:pPr>
            <w:r w:rsidRPr="00E85D9D">
              <w:rPr>
                <w:rFonts w:ascii="Times New Roman" w:hAnsi="Times New Roman" w:cs="Times New Roman"/>
                <w:b/>
                <w:bCs/>
                <w:sz w:val="20"/>
                <w:szCs w:val="20"/>
              </w:rPr>
              <w:t>DARS (Proposed)</w:t>
            </w:r>
          </w:p>
        </w:tc>
        <w:tc>
          <w:tcPr>
            <w:tcW w:w="1445" w:type="dxa"/>
            <w:tcBorders>
              <w:bottom w:val="single" w:sz="4" w:space="0" w:color="auto"/>
            </w:tcBorders>
          </w:tcPr>
          <w:p w14:paraId="419183DD"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b/>
                <w:bCs/>
                <w:sz w:val="20"/>
                <w:szCs w:val="20"/>
              </w:rPr>
              <w:t>✓</w:t>
            </w:r>
          </w:p>
        </w:tc>
        <w:tc>
          <w:tcPr>
            <w:tcW w:w="1612" w:type="dxa"/>
            <w:tcBorders>
              <w:bottom w:val="single" w:sz="4" w:space="0" w:color="auto"/>
            </w:tcBorders>
          </w:tcPr>
          <w:p w14:paraId="067C9532"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b/>
                <w:bCs/>
                <w:sz w:val="20"/>
                <w:szCs w:val="20"/>
              </w:rPr>
              <w:t>✓</w:t>
            </w:r>
          </w:p>
        </w:tc>
        <w:tc>
          <w:tcPr>
            <w:tcW w:w="1612" w:type="dxa"/>
            <w:tcBorders>
              <w:bottom w:val="single" w:sz="4" w:space="0" w:color="auto"/>
            </w:tcBorders>
          </w:tcPr>
          <w:p w14:paraId="747465D2"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b/>
                <w:bCs/>
                <w:sz w:val="20"/>
                <w:szCs w:val="20"/>
              </w:rPr>
              <w:t>✓</w:t>
            </w:r>
          </w:p>
        </w:tc>
        <w:tc>
          <w:tcPr>
            <w:tcW w:w="1612" w:type="dxa"/>
            <w:tcBorders>
              <w:bottom w:val="single" w:sz="4" w:space="0" w:color="auto"/>
            </w:tcBorders>
          </w:tcPr>
          <w:p w14:paraId="30730E25"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b/>
                <w:bCs/>
                <w:sz w:val="20"/>
                <w:szCs w:val="20"/>
              </w:rPr>
              <w:t>✓</w:t>
            </w:r>
          </w:p>
        </w:tc>
        <w:tc>
          <w:tcPr>
            <w:tcW w:w="1612" w:type="dxa"/>
            <w:tcBorders>
              <w:bottom w:val="single" w:sz="4" w:space="0" w:color="auto"/>
            </w:tcBorders>
          </w:tcPr>
          <w:p w14:paraId="48F267CD" w14:textId="77777777" w:rsidR="00E85D9D" w:rsidRPr="00E85D9D" w:rsidRDefault="00E85D9D" w:rsidP="00101FFC">
            <w:pPr>
              <w:pStyle w:val="Compact"/>
              <w:jc w:val="center"/>
              <w:rPr>
                <w:rFonts w:ascii="Times New Roman" w:hAnsi="Times New Roman" w:cs="Times New Roman"/>
                <w:sz w:val="20"/>
                <w:szCs w:val="20"/>
              </w:rPr>
            </w:pPr>
            <w:r w:rsidRPr="00E85D9D">
              <w:rPr>
                <w:rFonts w:ascii="Segoe UI Symbol" w:hAnsi="Segoe UI Symbol" w:cs="Segoe UI Symbol"/>
                <w:b/>
                <w:bCs/>
                <w:sz w:val="20"/>
                <w:szCs w:val="20"/>
              </w:rPr>
              <w:t>✓</w:t>
            </w:r>
          </w:p>
        </w:tc>
      </w:tr>
    </w:tbl>
    <w:p w14:paraId="775A9030" w14:textId="77AFC783" w:rsidR="00C77289" w:rsidRDefault="00C77289" w:rsidP="002D3382"/>
    <w:p w14:paraId="2A99ADFD" w14:textId="67670C95" w:rsidR="00E85D9D" w:rsidRPr="002D3382" w:rsidRDefault="006735CE" w:rsidP="002D3382">
      <w:r w:rsidRPr="006735CE">
        <w:t>The following five limitations can be identified in the current approaches: (1) Single action-based approach – most of the approaches only analyze each action separately. (2) Lack of reasoning regarding behavioral diversity - none of the approaches make use of measurements of behavioral diversity. (3) Binary classification – the output is limited to either being classified as malicious or benign and does not consider the intensity of an attack. (4) Poor explainability - XAI has not been used in agent monitoring. (5) Sequential Context Limitations - existing methods fail to capture the complex temporal dependencies between multiple tool calls.</w:t>
      </w:r>
    </w:p>
    <w:p w14:paraId="30F3DADA" w14:textId="00EA7C52" w:rsidR="008E7108" w:rsidRPr="008E7108" w:rsidRDefault="00E85D9D" w:rsidP="008E7108">
      <w:pPr>
        <w:pStyle w:val="Heading1"/>
      </w:pPr>
      <w:r>
        <w:rPr>
          <w:lang w:val="en-US"/>
        </w:rPr>
        <w:t>Proposed Framework</w:t>
      </w:r>
      <w:r w:rsidR="008E7108">
        <w:t xml:space="preserve"> </w:t>
      </w:r>
    </w:p>
    <w:p w14:paraId="3E21591D" w14:textId="60CDF1F2" w:rsidR="00B10A15" w:rsidRDefault="00E85D9D" w:rsidP="008E7108">
      <w:pPr>
        <w:pStyle w:val="Heading2"/>
      </w:pPr>
      <w:r>
        <w:t>System Architecture</w:t>
      </w:r>
    </w:p>
    <w:p w14:paraId="26015978" w14:textId="423668EB" w:rsidR="006735CE" w:rsidRPr="006735CE" w:rsidRDefault="006735CE" w:rsidP="006735CE">
      <w:r w:rsidRPr="006735CE">
        <w:t xml:space="preserve">DARS is an overall architecture of a pipeline that consists of six layers. Telemetry Collection Layer collects for each execution of the tools the name of the tool, its parameters, time stamp, number of tokens, session context, and whether the tool’s execution was successful. Log Normalization Layer normalizes the different agent log events into </w:t>
      </w:r>
      <m:oMath>
        <m:r>
          <m:rPr>
            <m:scr m:val="script"/>
            <m:sty m:val="p"/>
          </m:rPr>
          <w:rPr>
            <w:rFonts w:ascii="Cambria Math" w:hAnsi="Cambria Math"/>
          </w:rPr>
          <m:t>E=⟨</m:t>
        </m:r>
        <m:r>
          <w:rPr>
            <w:rFonts w:ascii="Cambria Math" w:hAnsi="Cambria Math"/>
          </w:rPr>
          <m:t>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o</m:t>
        </m:r>
        <m:r>
          <m:rPr>
            <m:sty m:val="p"/>
          </m:rPr>
          <w:rPr>
            <w:rFonts w:ascii="Cambria Math" w:hAnsi="Cambria Math"/>
          </w:rPr>
          <m:t>⟩</m:t>
        </m:r>
      </m:oMath>
      <w:r w:rsidRPr="006735CE">
        <w:t xml:space="preserve"> form. There are four types of features extracted by Feature Extraction Engine: transition features, privilege features, diversity features, and sequence features. Risk Scoring Engine provides a continuous risk score value</w:t>
      </w:r>
      <w:r>
        <w:t xml:space="preserve">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6735CE">
        <w:t>. Furthermore, the Explainability Layer uses SHAP to calculate attribution scores for each feature. Finally, the Security Dashboard provides real-time risk trends, alert management, and drill-down views for analysts.</w:t>
      </w:r>
    </w:p>
    <w:p w14:paraId="224A44B4" w14:textId="37A46D82" w:rsidR="00B10A15" w:rsidRDefault="00E85D9D" w:rsidP="008E7108">
      <w:pPr>
        <w:pStyle w:val="Heading2"/>
      </w:pPr>
      <w:r>
        <w:t>Threat Model</w:t>
      </w:r>
    </w:p>
    <w:p w14:paraId="0C3BB4C3" w14:textId="15152706" w:rsidR="00A823EA" w:rsidRPr="00A823EA" w:rsidRDefault="009A7013" w:rsidP="005B5A2E">
      <w:r w:rsidRPr="009A7013">
        <w:t xml:space="preserve">Capabilities of the attacker: Prompt generation for the purpose of manipulating the tool into performing malicious actions [10], command injection using the tool outputs [11], and memory or dialogue history poisoning to carry out unauthorized operations. Attack surface: Tool invocation API, the prompt interface, and memory subsystem. Trust boundary: Boundary between the reasoning of the LLM and the tool execution environment [16]. Assets under threat: PII data, resources of the computer, API key, and execution integrity. </w:t>
      </w:r>
      <w:r w:rsidRPr="009A7013">
        <w:lastRenderedPageBreak/>
        <w:t>Objectives of the attacker: Data exfiltration (for example, read a file and send it via e-mail), privilege escalation, resource misuse, and conducting unauthorized actions.</w:t>
      </w:r>
    </w:p>
    <w:p w14:paraId="4206E151" w14:textId="72EB2E41" w:rsidR="00392E94" w:rsidRDefault="00E85D9D" w:rsidP="008E7108">
      <w:pPr>
        <w:pStyle w:val="Heading2"/>
      </w:pPr>
      <w:r>
        <w:t>Diversity-Aware Behavioral Modeling</w:t>
      </w:r>
    </w:p>
    <w:p w14:paraId="5E867DD2" w14:textId="3D4DEE4D" w:rsidR="00E85D9D" w:rsidRDefault="00E85D9D" w:rsidP="00E85D9D">
      <w:pPr>
        <w:pStyle w:val="Heading3"/>
      </w:pPr>
      <w:r>
        <w:t>Tool Transition Diversity</w:t>
      </w:r>
    </w:p>
    <w:p w14:paraId="64C0FFCF" w14:textId="563127D0" w:rsidR="009A7013" w:rsidRDefault="009A7013" w:rsidP="009A7013">
      <w:pPr>
        <w:pStyle w:val="BodyText"/>
      </w:pPr>
      <w:r w:rsidRPr="009A7013">
        <w:t xml:space="preserve">The sequential usage of tools is described as a Markov model, represented by a transition matrix P estimated using benign traces with Laplace smoothing where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sidRPr="009A7013">
        <w:t xml:space="preserve">: </w:t>
      </w:r>
      <w:r w:rsidRPr="009A7013">
        <w:rPr>
          <w:rFonts w:ascii="Cambria Math" w:hAnsi="Cambria Math"/>
        </w:rPr>
        <w:br/>
      </w: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count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nor/>
                    </m:rPr>
                    <m:t>count</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den>
          </m:f>
        </m:oMath>
      </m:oMathPara>
    </w:p>
    <w:p w14:paraId="586E085D" w14:textId="631288BD" w:rsidR="009A7013" w:rsidRPr="00E85D9D" w:rsidRDefault="009A7013" w:rsidP="009A7013">
      <w:pPr>
        <w:pStyle w:val="BodyText"/>
      </w:pPr>
      <w:r w:rsidRPr="009A7013">
        <w:t xml:space="preserve">Higher order sequences use </w:t>
      </w:r>
      <m:oMath>
        <m:r>
          <w:rPr>
            <w:rFonts w:ascii="Cambria Math" w:hAnsi="Cambria Math"/>
          </w:rPr>
          <m:t>n</m:t>
        </m:r>
      </m:oMath>
      <w:r>
        <w:t xml:space="preserve">-gram </w:t>
      </w:r>
      <w:r w:rsidRPr="009A7013">
        <w:t>for prediction with parameter</w:t>
      </w:r>
      <w:r w:rsidRPr="009A7013">
        <w:rPr>
          <w:rFonts w:ascii="Cambria Math" w:hAnsi="Cambria Math"/>
          <w:i/>
        </w:rPr>
        <w:t xml:space="preserve"> </w:t>
      </w:r>
      <m:oMath>
        <m:r>
          <w:rPr>
            <w:rFonts w:ascii="Cambria Math" w:hAnsi="Cambria Math"/>
          </w:rPr>
          <m:t>k</m:t>
        </m:r>
        <m:r>
          <m:rPr>
            <m:sty m:val="p"/>
          </m:rPr>
          <w:rPr>
            <w:rFonts w:ascii="Cambria Math" w:hAnsi="Cambria Math"/>
          </w:rPr>
          <m:t>=</m:t>
        </m:r>
        <m:r>
          <w:rPr>
            <w:rFonts w:ascii="Cambria Math" w:hAnsi="Cambria Math"/>
          </w:rPr>
          <m:t>3</m:t>
        </m:r>
      </m:oMath>
      <w:r w:rsidRPr="009A7013">
        <w:t xml:space="preserve">. Transitions where </w:t>
      </w: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&lt;</m:t>
        </m:r>
        <m:r>
          <w:rPr>
            <w:rFonts w:ascii="Cambria Math" w:hAnsi="Cambria Math"/>
          </w:rPr>
          <m:t>0.01</m:t>
        </m:r>
      </m:oMath>
      <w:r>
        <w:t xml:space="preserve"> </w:t>
      </w:r>
      <w:r w:rsidRPr="009A7013">
        <w:t xml:space="preserve">are considered rare transitions. The transition anomaly score is calculated as follows: </w:t>
      </w:r>
      <w:r w:rsidRPr="009A7013">
        <w:rPr>
          <w:rFonts w:ascii="Cambria Math" w:hAnsi="Cambria Math"/>
        </w:rPr>
        <w:br/>
      </w:r>
      <m:oMathPara>
        <m:oMath>
          <m:sSub>
            <m:sSubPr>
              <m:ctrlPr>
                <w:rPr>
                  <w:rFonts w:ascii="Cambria Math" w:hAnsi="Cambria Math"/>
                </w:rPr>
              </m:ctrlPr>
            </m:sSubPr>
            <m:e>
              <m:r>
                <w:rPr>
                  <w:rFonts w:ascii="Cambria Math" w:hAnsi="Cambria Math"/>
                </w:rPr>
                <m:t>S</m:t>
              </m:r>
            </m:e>
            <m:sub>
              <m:r>
                <m:rPr>
                  <m:nor/>
                </m:rPr>
                <m:t>trans</m:t>
              </m:r>
            </m:sub>
          </m:sSub>
          <m:r>
            <m:rPr>
              <m:sty m:val="p"/>
            </m:rPr>
            <w:rPr>
              <w:rFonts w:ascii="Cambria Math" w:hAnsi="Cambria Math"/>
            </w:rPr>
            <m:t>=-log</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7A3ADC3" w14:textId="53B5EE7E" w:rsidR="00E85D9D" w:rsidRDefault="00E85D9D" w:rsidP="00E85D9D">
      <w:pPr>
        <w:pStyle w:val="Heading3"/>
      </w:pPr>
      <w:r>
        <w:t>Privilege-Aware Risk Features</w:t>
      </w:r>
    </w:p>
    <w:p w14:paraId="67208B69" w14:textId="77777777" w:rsidR="009A7013" w:rsidRDefault="009A7013" w:rsidP="009A7013">
      <w:r>
        <w:t xml:space="preserve">Each tool maps to a privilege level </w:t>
      </w:r>
      <m:oMath>
        <m:r>
          <w:rPr>
            <w:rFonts w:ascii="Cambria Math" w:hAnsi="Cambria Math"/>
          </w:rPr>
          <m:t>L</m:t>
        </m:r>
        <m:r>
          <m:rPr>
            <m:sty m:val="p"/>
          </m:rPr>
          <w:rPr>
            <w:rFonts w:ascii="Cambria Math" w:hAnsi="Cambria Math"/>
          </w:rPr>
          <m:t>(</m:t>
        </m:r>
        <m:r>
          <m:rPr>
            <m:nor/>
          </m:rPr>
          <m:t>tool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t>: read-only (1), write (2), execute (3), admin (4), system (5). The dynamic privilege escalation score is:</w:t>
      </w:r>
    </w:p>
    <w:p w14:paraId="5868D2EC" w14:textId="77777777" w:rsidR="009A7013" w:rsidRPr="009A7013" w:rsidRDefault="00000000" w:rsidP="009A7013">
      <w:pPr>
        <w:pStyle w:val="BodyText"/>
      </w:pPr>
      <m:oMathPara>
        <m:oMath>
          <m:sSub>
            <m:sSubPr>
              <m:ctrlPr>
                <w:rPr>
                  <w:rFonts w:ascii="Cambria Math" w:hAnsi="Cambria Math"/>
                </w:rPr>
              </m:ctrlPr>
            </m:sSubPr>
            <m:e>
              <m:r>
                <w:rPr>
                  <w:rFonts w:ascii="Cambria Math" w:hAnsi="Cambria Math"/>
                </w:rPr>
                <m:t>S</m:t>
              </m:r>
            </m:e>
            <m:sub>
              <m:r>
                <m:rPr>
                  <m:nor/>
                </m:rPr>
                <m:t>priv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 L</m:t>
                  </m:r>
                  <m:d>
                    <m:dPr>
                      <m:ctrlPr>
                        <w:rPr>
                          <w:rFonts w:ascii="Cambria Math" w:hAnsi="Cambria Math"/>
                        </w:rPr>
                      </m:ctrlPr>
                    </m:dPr>
                    <m:e>
                      <m:sSub>
                        <m:sSubPr>
                          <m:ctrlPr>
                            <w:rPr>
                              <w:rFonts w:ascii="Cambria Math" w:hAnsi="Cambria Math"/>
                            </w:rPr>
                          </m:ctrlPr>
                        </m:sSubPr>
                        <m:e>
                          <m:r>
                            <m:rPr>
                              <m:nor/>
                            </m:rPr>
                            <m:t>tool</m:t>
                          </m:r>
                        </m:e>
                        <m:sub>
                          <m:r>
                            <w:rPr>
                              <w:rFonts w:ascii="Cambria Math" w:hAnsi="Cambria Math"/>
                            </w:rPr>
                            <m:t>t</m:t>
                          </m:r>
                        </m:sub>
                      </m:sSub>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m:rPr>
                              <m:nor/>
                            </m:rPr>
                            <m:t>tool</m:t>
                          </m:r>
                        </m:e>
                        <m:sub>
                          <m:r>
                            <w:rPr>
                              <w:rFonts w:ascii="Cambria Math" w:hAnsi="Cambria Math"/>
                            </w:rPr>
                            <m:t>t</m:t>
                          </m:r>
                          <m:r>
                            <m:rPr>
                              <m:sty m:val="p"/>
                            </m:rPr>
                            <w:rPr>
                              <w:rFonts w:ascii="Cambria Math" w:hAnsi="Cambria Math"/>
                            </w:rPr>
                            <m:t>-</m:t>
                          </m:r>
                          <m:r>
                            <w:rPr>
                              <w:rFonts w:ascii="Cambria Math" w:hAnsi="Cambria Math"/>
                            </w:rPr>
                            <m:t>1</m:t>
                          </m:r>
                        </m:sub>
                      </m:sSub>
                    </m:e>
                  </m:d>
                </m:e>
              </m:d>
            </m:e>
          </m:func>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priv</m:t>
              </m:r>
            </m:sub>
          </m:sSub>
        </m:oMath>
      </m:oMathPara>
    </w:p>
    <w:p w14:paraId="08A560BE" w14:textId="3BCF35FC" w:rsidR="009A7013" w:rsidRPr="009A7013" w:rsidRDefault="009A7013" w:rsidP="009A7013">
      <w:pPr>
        <w:pStyle w:val="BodyText"/>
      </w:pPr>
      <w:r>
        <w:t>where</w:t>
      </w:r>
      <m:oMath>
        <m:sSub>
          <m:sSubPr>
            <m:ctrlPr>
              <w:rPr>
                <w:rFonts w:ascii="Cambria Math" w:hAnsi="Cambria Math"/>
              </w:rPr>
            </m:ctrlPr>
          </m:sSubPr>
          <m:e>
            <m:r>
              <w:rPr>
                <w:rFonts w:ascii="Cambria Math" w:hAnsi="Cambria Math"/>
              </w:rPr>
              <m:t xml:space="preserve"> w</m:t>
            </m:r>
          </m:e>
          <m:sub>
            <m:r>
              <m:rPr>
                <m:nor/>
              </m:rPr>
              <m:t>priv</m:t>
            </m:r>
          </m:sub>
        </m:sSub>
        <m:r>
          <m:rPr>
            <m:sty m:val="p"/>
          </m:rPr>
          <w:rPr>
            <w:rFonts w:ascii="Cambria Math" w:hAnsi="Cambria Math"/>
          </w:rPr>
          <m:t>=</m:t>
        </m:r>
        <m:r>
          <w:rPr>
            <w:rFonts w:ascii="Cambria Math" w:hAnsi="Cambria Math"/>
          </w:rPr>
          <m:t>1.5</m:t>
        </m:r>
      </m:oMath>
      <w:r>
        <w:t xml:space="preserve">. Cumulative privilege exposure: </w:t>
      </w:r>
      <m:oMath>
        <m:sSub>
          <m:sSubPr>
            <m:ctrlPr>
              <w:rPr>
                <w:rFonts w:ascii="Cambria Math" w:hAnsi="Cambria Math"/>
              </w:rPr>
            </m:ctrlPr>
          </m:sSubPr>
          <m:e>
            <m:r>
              <w:rPr>
                <w:rFonts w:ascii="Cambria Math" w:hAnsi="Cambria Math"/>
              </w:rPr>
              <m:t>E</m:t>
            </m:r>
          </m:e>
          <m:sub>
            <m:r>
              <m:rPr>
                <m:nor/>
              </m:rPr>
              <m:t>priv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L</m:t>
            </m:r>
          </m:e>
        </m:nary>
        <m:d>
          <m:dPr>
            <m:ctrlPr>
              <w:rPr>
                <w:rFonts w:ascii="Cambria Math" w:hAnsi="Cambria Math"/>
              </w:rPr>
            </m:ctrlPr>
          </m:dPr>
          <m:e>
            <m:sSub>
              <m:sSubPr>
                <m:ctrlPr>
                  <w:rPr>
                    <w:rFonts w:ascii="Cambria Math" w:hAnsi="Cambria Math"/>
                  </w:rPr>
                </m:ctrlPr>
              </m:sSubPr>
              <m:e>
                <m:r>
                  <m:rPr>
                    <m:nor/>
                  </m:rPr>
                  <m:t>tool</m:t>
                </m:r>
              </m:e>
              <m:sub>
                <m:r>
                  <w:rPr>
                    <w:rFonts w:ascii="Cambria Math" w:hAnsi="Cambria Math"/>
                  </w:rPr>
                  <m:t>t</m:t>
                </m:r>
              </m:sub>
            </m:sSub>
          </m:e>
        </m:d>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oMath>
    </w:p>
    <w:p w14:paraId="5CFFFB5D" w14:textId="5EA01005" w:rsidR="00E85D9D" w:rsidRDefault="00E85D9D" w:rsidP="00E85D9D">
      <w:pPr>
        <w:pStyle w:val="Heading3"/>
      </w:pPr>
      <w:r>
        <w:t>Token Consumption Behavior</w:t>
      </w:r>
    </w:p>
    <w:p w14:paraId="2F941A2F" w14:textId="7AB13F75" w:rsidR="009A7013" w:rsidRPr="009A7013" w:rsidRDefault="009A7013" w:rsidP="009A7013">
      <w:r w:rsidRPr="009A7013">
        <w:t>Token anomaly scores are calculated using Z-scores</w:t>
      </w:r>
      <w:r>
        <w:t xml:space="preserve">: </w:t>
      </w:r>
      <m:oMath>
        <m:sSub>
          <m:sSubPr>
            <m:ctrlPr>
              <w:rPr>
                <w:rFonts w:ascii="Cambria Math" w:hAnsi="Cambria Math"/>
              </w:rPr>
            </m:ctrlPr>
          </m:sSubPr>
          <m:e>
            <m:r>
              <w:rPr>
                <w:rFonts w:ascii="Cambria Math" w:hAnsi="Cambria Math"/>
              </w:rPr>
              <m:t>S</m:t>
            </m:r>
          </m:e>
          <m:sub>
            <m:r>
              <m:rPr>
                <m:nor/>
              </m:rPr>
              <m:t>token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m:t>
            </m:r>
          </m:sub>
        </m:sSub>
        <m:r>
          <w:rPr>
            <w:rFonts w:ascii="Cambria Math" w:hAnsi="Cambria Math"/>
          </w:rPr>
          <m:t>,</m:t>
        </m:r>
      </m:oMath>
      <w:r w:rsidRPr="009A7013">
        <w:t xml:space="preserve"> wherein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oMath>
      <w:r w:rsidRPr="009A7013">
        <w:t xml:space="preserve">stands for token counts, while </w:t>
      </w:r>
      <m:oMath>
        <m:sSub>
          <m:sSubPr>
            <m:ctrlPr>
              <w:rPr>
                <w:rFonts w:ascii="Cambria Math" w:hAnsi="Cambria Math"/>
              </w:rPr>
            </m:ctrlPr>
          </m:sSubPr>
          <m:e>
            <m:r>
              <w:rPr>
                <w:rFonts w:ascii="Cambria Math" w:hAnsi="Cambria Math"/>
              </w:rPr>
              <m:t>μ</m:t>
            </m:r>
          </m:e>
          <m:sub>
            <m:r>
              <w:rPr>
                <w:rFonts w:ascii="Cambria Math" w:hAnsi="Cambria Math"/>
              </w:rPr>
              <m:t>c</m:t>
            </m:r>
          </m:sub>
        </m:sSub>
      </m:oMath>
      <w:r w:rsidRPr="009A7013">
        <w:t xml:space="preserve"> and </w:t>
      </w:r>
      <m:oMath>
        <m:sSub>
          <m:sSubPr>
            <m:ctrlPr>
              <w:rPr>
                <w:rFonts w:ascii="Cambria Math" w:hAnsi="Cambria Math"/>
              </w:rPr>
            </m:ctrlPr>
          </m:sSubPr>
          <m:e>
            <m:r>
              <w:rPr>
                <w:rFonts w:ascii="Cambria Math" w:hAnsi="Cambria Math"/>
              </w:rPr>
              <m:t>σ</m:t>
            </m:r>
          </m:e>
          <m:sub>
            <m:r>
              <w:rPr>
                <w:rFonts w:ascii="Cambria Math" w:hAnsi="Cambria Math"/>
              </w:rPr>
              <m:t>c</m:t>
            </m:r>
          </m:sub>
        </m:sSub>
      </m:oMath>
      <w:r w:rsidRPr="009A7013">
        <w:t xml:space="preserve"> are obtained based on the benign data set. Any call with a score </w:t>
      </w:r>
      <m:oMath>
        <m:sSub>
          <m:sSubPr>
            <m:ctrlPr>
              <w:rPr>
                <w:rFonts w:ascii="Cambria Math" w:hAnsi="Cambria Math"/>
              </w:rPr>
            </m:ctrlPr>
          </m:sSubPr>
          <m:e>
            <m:r>
              <w:rPr>
                <w:rFonts w:ascii="Cambria Math" w:hAnsi="Cambria Math"/>
              </w:rPr>
              <m:t>S</m:t>
            </m:r>
          </m:e>
          <m:sub>
            <m:r>
              <m:rPr>
                <m:nor/>
              </m:rPr>
              <m:t>token</m:t>
            </m:r>
          </m:sub>
        </m:sSub>
        <m:r>
          <m:rPr>
            <m:sty m:val="p"/>
          </m:rPr>
          <w:rPr>
            <w:rFonts w:ascii="Cambria Math" w:hAnsi="Cambria Math"/>
          </w:rPr>
          <m:t>&gt;</m:t>
        </m:r>
        <m:r>
          <w:rPr>
            <w:rFonts w:ascii="Cambria Math" w:hAnsi="Cambria Math"/>
          </w:rPr>
          <m:t>3.0</m:t>
        </m:r>
      </m:oMath>
      <w:r w:rsidRPr="009A7013">
        <w:t xml:space="preserve"> is considered an abnormal token burst. A recursive generation is determined when </w:t>
      </w:r>
      <m:oMath>
        <m:sSubSup>
          <m:sSubSupPr>
            <m:ctrlPr>
              <w:rPr>
                <w:rFonts w:ascii="Cambria Math" w:hAnsi="Cambria Math"/>
              </w:rPr>
            </m:ctrlPr>
          </m:sSubSupPr>
          <m:e>
            <m:r>
              <w:rPr>
                <w:rFonts w:ascii="Cambria Math" w:hAnsi="Cambria Math"/>
              </w:rPr>
              <m:t>c</m:t>
            </m:r>
          </m:e>
          <m:sub>
            <m:r>
              <m:rPr>
                <m:nor/>
              </m:rPr>
              <m:t>out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in</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sup>
        </m:sSubSup>
        <m:r>
          <w:rPr>
            <w:rFonts w:ascii="Cambria Math" w:hAnsi="Cambria Math"/>
          </w:rPr>
          <m:t xml:space="preserve">. </m:t>
        </m:r>
      </m:oMath>
      <w:r w:rsidRPr="009A7013">
        <w:t xml:space="preserve">Token consumption within the session, i.e., </w:t>
      </w:r>
      <m:oMath>
        <m:sSub>
          <m:sSubPr>
            <m:ctrlPr>
              <w:rPr>
                <w:rFonts w:ascii="Cambria Math" w:hAnsi="Cambria Math"/>
              </w:rPr>
            </m:ctrlPr>
          </m:sSubPr>
          <m:e>
            <m:r>
              <w:rPr>
                <w:rFonts w:ascii="Cambria Math" w:hAnsi="Cambria Math"/>
              </w:rPr>
              <m:t>C</m:t>
            </m:r>
          </m:e>
          <m:sub>
            <m:r>
              <m:rPr>
                <m:nor/>
              </m:rPr>
              <m:t>session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9A7013">
        <w:t xml:space="preserve">, is checked against the denial-of-wallet threshold, </w:t>
      </w:r>
      <m:oMath>
        <m:sSub>
          <m:sSubPr>
            <m:ctrlPr>
              <w:rPr>
                <w:rFonts w:ascii="Cambria Math" w:hAnsi="Cambria Math"/>
              </w:rPr>
            </m:ctrlPr>
          </m:sSubPr>
          <m:e>
            <m:r>
              <m:rPr>
                <m:sty m:val="p"/>
              </m:rPr>
              <w:rPr>
                <w:rFonts w:ascii="Cambria Math" w:hAnsi="Cambria Math"/>
              </w:rPr>
              <m:t>Θ</m:t>
            </m:r>
          </m:e>
          <m:sub>
            <m:r>
              <m:rPr>
                <m:nor/>
              </m:rPr>
              <m:t>wallet</m:t>
            </m:r>
          </m:sub>
        </m:sSub>
      </m:oMath>
      <w:r w:rsidRPr="009A7013">
        <w:t>.</w:t>
      </w:r>
    </w:p>
    <w:p w14:paraId="364A33ED" w14:textId="565E9ABA" w:rsidR="00E85D9D" w:rsidRDefault="00E85D9D" w:rsidP="00E85D9D">
      <w:pPr>
        <w:pStyle w:val="Heading3"/>
      </w:pPr>
      <w:r>
        <w:t>Sequential Action Context</w:t>
      </w:r>
    </w:p>
    <w:p w14:paraId="32786662" w14:textId="77777777" w:rsidR="00F540CF" w:rsidRDefault="00F540CF" w:rsidP="00F540CF">
      <w:r>
        <w:t>An LSTM network encodes the tool-call sequence into dense vectors that capture temporal dependencies:</w:t>
      </w:r>
    </w:p>
    <w:p w14:paraId="6E8492AF" w14:textId="7A476680" w:rsidR="00F540CF" w:rsidRDefault="00000000" w:rsidP="00F540CF">
      <w:pPr>
        <w:pStyle w:val="BodyText"/>
      </w:pPr>
      <m:oMathPara>
        <m:oMath>
          <m:sSub>
            <m:sSubPr>
              <m:ctrlPr>
                <w:rPr>
                  <w:rFonts w:ascii="Cambria Math" w:hAnsi="Cambria Math"/>
                </w:rPr>
              </m:ctrlPr>
            </m:sSubPr>
            <m:e>
              <m:r>
                <m:rPr>
                  <m:sty m:val="bi"/>
                </m:rPr>
                <w:rPr>
                  <w:rFonts w:ascii="Cambria Math" w:hAnsi="Cambria Math"/>
                </w:rPr>
                <m:t>h</m:t>
              </m:r>
            </m:e>
            <m:sub>
              <m:r>
                <w:rPr>
                  <w:rFonts w:ascii="Cambria Math" w:hAnsi="Cambria Math"/>
                </w:rPr>
                <m:t>t</m:t>
              </m:r>
            </m:sub>
          </m:sSub>
          <m:r>
            <m:rPr>
              <m:sty m:val="p"/>
            </m:rPr>
            <w:rPr>
              <w:rFonts w:ascii="Cambria Math" w:hAnsi="Cambria Math"/>
            </w:rPr>
            <m:t>=</m:t>
          </m:r>
          <m:r>
            <m:rPr>
              <m:nor/>
            </m:rPr>
            <m:t>LSTM</m:t>
          </m:r>
          <m:r>
            <m:rPr>
              <m:sty m:val="p"/>
            </m:rPr>
            <w:rPr>
              <w:rFonts w:ascii="Cambria Math" w:hAnsi="Cambria Math"/>
            </w:rPr>
            <m:t>(</m:t>
          </m:r>
          <m:r>
            <m:rPr>
              <m:sty m:val="bi"/>
            </m:rP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F1CFAA7" w14:textId="5F7D396C" w:rsidR="002F7ABE" w:rsidRPr="002F7ABE" w:rsidRDefault="00F540CF" w:rsidP="00F540CF">
      <w:r>
        <w:t xml:space="preserve">The sequential anomaly score: </w:t>
      </w:r>
      <m:oMath>
        <m:sSub>
          <m:sSubPr>
            <m:ctrlPr>
              <w:rPr>
                <w:rFonts w:ascii="Cambria Math" w:hAnsi="Cambria Math"/>
              </w:rPr>
            </m:ctrlPr>
          </m:sSubPr>
          <m:e>
            <m:r>
              <w:rPr>
                <w:rFonts w:ascii="Cambria Math" w:hAnsi="Cambria Math"/>
              </w:rPr>
              <m:t>S</m:t>
            </m:r>
          </m:e>
          <m:sub>
            <m:r>
              <m:rPr>
                <m:nor/>
              </m:rPr>
              <m:t>seq</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LSTM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w:p>
    <w:p w14:paraId="27C63667" w14:textId="0AD4639C" w:rsidR="00E85D9D" w:rsidRDefault="00E85D9D" w:rsidP="00E85D9D">
      <w:pPr>
        <w:pStyle w:val="Heading3"/>
      </w:pPr>
      <w:r>
        <w:t>Behavioral Diversity Index</w:t>
      </w:r>
    </w:p>
    <w:p w14:paraId="1447F672" w14:textId="035064D1" w:rsidR="00E85D9D" w:rsidRPr="00E85D9D" w:rsidRDefault="00F540CF" w:rsidP="00E85D9D">
      <w:r w:rsidRPr="00F540CF">
        <w:t>The BDI is the main novel contribution. The key idea: normal agent sessions show consistent diversity profiles for similar tasks. Attacks disrupt these profiles—either through concentrated usage (one malicious tool repeated) or scattered usage (exploratory probing).</w:t>
      </w:r>
    </w:p>
    <w:p w14:paraId="362D13EC" w14:textId="77777777" w:rsidR="00F540CF" w:rsidRDefault="00F540CF" w:rsidP="00F540CF">
      <w:r>
        <w:t>The BDI has three sub-metrics:</w:t>
      </w:r>
    </w:p>
    <w:p w14:paraId="7A62223E" w14:textId="5DFA486C" w:rsidR="00F540CF" w:rsidRDefault="00F540CF" w:rsidP="00F540CF">
      <w:r>
        <w:t xml:space="preserve">Entropy-Based Diversity: </w:t>
      </w:r>
      <m:oMath>
        <m:sSub>
          <m:sSubPr>
            <m:ctrlPr>
              <w:rPr>
                <w:rFonts w:ascii="Cambria Math" w:hAnsi="Cambria Math"/>
              </w:rPr>
            </m:ctrlPr>
          </m:sSubPr>
          <m:e>
            <m:r>
              <w:rPr>
                <w:rFonts w:ascii="Cambria Math" w:hAnsi="Cambria Math"/>
              </w:rPr>
              <m:t>H</m:t>
            </m:r>
          </m:e>
          <m:sub>
            <m:r>
              <m:rPr>
                <m:nor/>
              </m:rPr>
              <m:t>norm</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T</m:t>
                </m:r>
              </m:e>
              <m:sup>
                <m:r>
                  <m:rPr>
                    <m:sty m:val="p"/>
                  </m:rPr>
                  <w:rPr>
                    <w:rFonts w:ascii="Cambria Math" w:hAnsi="Cambria Math"/>
                  </w:rPr>
                  <m:t>'</m:t>
                </m:r>
              </m:sup>
            </m:sSup>
            <m:r>
              <m:rPr>
                <m:sty m:val="p"/>
              </m:rPr>
              <w:rPr>
                <w:rFonts w:ascii="Cambria Math" w:hAnsi="Cambria Math"/>
              </w:rPr>
              <m:t>|</m:t>
            </m:r>
          </m:den>
        </m:f>
      </m:oMath>
    </w:p>
    <w:p w14:paraId="21C898BD" w14:textId="38B6B70B" w:rsidR="00F540CF" w:rsidRDefault="00F540CF" w:rsidP="00F540CF">
      <w:r>
        <w:lastRenderedPageBreak/>
        <w:t xml:space="preserve">Sequence Variability Index (SVI): </w:t>
      </w:r>
      <m:oMath>
        <m:r>
          <m:rPr>
            <m:nor/>
          </m:rPr>
          <m:t>SVI</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nor/>
              </m:rPr>
              <m:t>count(most repeated bigram)</m:t>
            </m:r>
          </m:num>
          <m:den>
            <m:r>
              <m:rPr>
                <m:nor/>
              </m:rPr>
              <m:t>total bigrams</m:t>
            </m:r>
          </m:den>
        </m:f>
      </m:oMath>
    </w:p>
    <w:p w14:paraId="27985A03" w14:textId="0EB945A9" w:rsidR="00F540CF" w:rsidRDefault="00F540CF" w:rsidP="00F540CF">
      <w:pPr>
        <w:pStyle w:val="BodyText"/>
      </w:pPr>
      <w:r>
        <w:t xml:space="preserve">Action Dispersion Score (ADS): </w:t>
      </w:r>
      <m:oMath>
        <m:r>
          <m:rPr>
            <m:nor/>
          </m:rPr>
          <m:t>ADS</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w:rPr>
            <w:rFonts w:ascii="Cambria Math" w:hAnsi="Cambria Math"/>
          </w:rPr>
          <m:t> 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p>
    <w:p w14:paraId="1AC1E648" w14:textId="6FA3B3AC" w:rsidR="00F540CF" w:rsidRDefault="00F540CF" w:rsidP="00F540CF">
      <w:r>
        <w:t xml:space="preserve">Composite BDI: </w:t>
      </w:r>
      <m:oMath>
        <m:r>
          <m:rPr>
            <m:nor/>
          </m:rPr>
          <m:t>BDI</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norm</m:t>
            </m:r>
          </m:sub>
        </m:sSub>
        <m:r>
          <m:rPr>
            <m:sty m:val="p"/>
          </m:rPr>
          <w:rPr>
            <w:rFonts w:ascii="Cambria Math" w:hAnsi="Cambria Math"/>
          </w:rPr>
          <m:t>+</m:t>
        </m:r>
        <m:r>
          <w:rPr>
            <w:rFonts w:ascii="Cambria Math" w:hAnsi="Cambria Math"/>
          </w:rPr>
          <m:t>β</m:t>
        </m:r>
        <m:r>
          <m:rPr>
            <m:sty m:val="p"/>
          </m:rPr>
          <w:rPr>
            <w:rFonts w:ascii="Cambria Math" w:hAnsi="Cambria Math"/>
          </w:rPr>
          <m:t>⋅</m:t>
        </m:r>
        <m:r>
          <m:rPr>
            <m:nor/>
          </m:rPr>
          <m:t>SVI</m:t>
        </m:r>
        <m:r>
          <m:rPr>
            <m:sty m:val="p"/>
          </m:rPr>
          <w:rPr>
            <w:rFonts w:ascii="Cambria Math" w:hAnsi="Cambria Math"/>
          </w:rPr>
          <m:t>+</m:t>
        </m:r>
        <m:r>
          <w:rPr>
            <w:rFonts w:ascii="Cambria Math" w:hAnsi="Cambria Math"/>
          </w:rPr>
          <m:t>γ</m:t>
        </m:r>
        <m:r>
          <m:rPr>
            <m:sty m:val="p"/>
          </m:rPr>
          <w:rPr>
            <w:rFonts w:ascii="Cambria Math" w:hAnsi="Cambria Math"/>
          </w:rPr>
          <m:t>⋅</m:t>
        </m:r>
        <m:r>
          <m:rPr>
            <m:nor/>
          </m:rPr>
          <m:t>ADS</m:t>
        </m:r>
      </m:oMath>
      <w:r>
        <w:tab/>
      </w:r>
    </w:p>
    <w:p w14:paraId="1BAC0CAF" w14:textId="437A2AA1" w:rsidR="00F540CF" w:rsidRDefault="000E3EB4" w:rsidP="00F540CF">
      <w:r>
        <w:t>w</w:t>
      </w:r>
      <w:r w:rsidR="00F540CF">
        <w:t>ith</w:t>
      </w:r>
      <w:r>
        <w:t xml:space="preserve"> </w:t>
      </w:r>
      <m:oMath>
        <m:r>
          <w:rPr>
            <w:rFonts w:ascii="Cambria Math" w:hAnsi="Cambria Math"/>
          </w:rPr>
          <m:t>α</m:t>
        </m:r>
        <w:bookmarkStart w:id="0" w:name="_Hlk230983944"/>
        <m:r>
          <m:rPr>
            <m:sty m:val="p"/>
          </m:rPr>
          <w:rPr>
            <w:rFonts w:ascii="Cambria Math" w:hAnsi="Cambria Math"/>
          </w:rPr>
          <m:t>=</m:t>
        </m:r>
        <m:r>
          <w:rPr>
            <w:rFonts w:ascii="Cambria Math" w:hAnsi="Cambria Math"/>
          </w:rPr>
          <m:t>0.4</m:t>
        </m:r>
      </m:oMath>
      <w:r>
        <w:t xml:space="preserve">, </w:t>
      </w:r>
      <m:oMath>
        <m:r>
          <w:rPr>
            <w:rFonts w:ascii="Cambria Math" w:hAnsi="Cambria Math"/>
          </w:rPr>
          <m:t>β</m:t>
        </m:r>
        <m:r>
          <m:rPr>
            <m:sty m:val="p"/>
          </m:rPr>
          <w:rPr>
            <w:rFonts w:ascii="Cambria Math" w:hAnsi="Cambria Math"/>
          </w:rPr>
          <m:t>=</m:t>
        </m:r>
        <m:r>
          <w:rPr>
            <w:rFonts w:ascii="Cambria Math" w:hAnsi="Cambria Math"/>
          </w:rPr>
          <m:t>0.3</m:t>
        </m:r>
      </m:oMath>
      <w:r>
        <w:t xml:space="preserve">, </w:t>
      </w:r>
      <m:oMath>
        <m:r>
          <w:rPr>
            <w:rFonts w:ascii="Cambria Math" w:hAnsi="Cambria Math"/>
          </w:rPr>
          <m:t>γ</m:t>
        </m:r>
        <m:r>
          <m:rPr>
            <m:sty m:val="p"/>
          </m:rPr>
          <w:rPr>
            <w:rFonts w:ascii="Cambria Math" w:hAnsi="Cambria Math"/>
          </w:rPr>
          <m:t>=</m:t>
        </m:r>
        <m:r>
          <w:rPr>
            <w:rFonts w:ascii="Cambria Math" w:hAnsi="Cambria Math"/>
          </w:rPr>
          <m:t>0.3</m:t>
        </m:r>
      </m:oMath>
      <w:bookmarkEnd w:id="0"/>
      <w:r w:rsidR="00F540CF">
        <w:t>. The anomaly score captures deviation from baseline:</w:t>
      </w:r>
    </w:p>
    <w:p w14:paraId="566734AD" w14:textId="03CCE3E6" w:rsidR="00F540CF" w:rsidRDefault="00000000" w:rsidP="000E3EB4">
      <w:pPr>
        <w:pStyle w:val="BodyText"/>
      </w:pPr>
      <m:oMathPara>
        <m:oMath>
          <m:sSub>
            <m:sSubPr>
              <m:ctrlPr>
                <w:rPr>
                  <w:rFonts w:ascii="Cambria Math" w:hAnsi="Cambria Math"/>
                </w:rPr>
              </m:ctrlPr>
            </m:sSubPr>
            <m:e>
              <m:r>
                <m:rPr>
                  <m:nor/>
                </m:rPr>
                <m:t>BDI</m:t>
              </m:r>
            </m:e>
            <m:sub>
              <m:r>
                <m:rPr>
                  <m:nor/>
                </m:rPr>
                <m:t>anomaly</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nor/>
                    </m:rPr>
                    <m:t>BDI</m:t>
                  </m:r>
                </m:e>
                <m:sub>
                  <m:r>
                    <m:rPr>
                      <m:nor/>
                    </m:rPr>
                    <m:t>session</m:t>
                  </m:r>
                </m:sub>
              </m:sSub>
              <m:r>
                <m:rPr>
                  <m:sty m:val="p"/>
                </m:rPr>
                <w:rPr>
                  <w:rFonts w:ascii="Cambria Math" w:hAnsi="Cambria Math"/>
                </w:rPr>
                <m:t>-</m:t>
              </m:r>
              <m:sSub>
                <m:sSubPr>
                  <m:ctrlPr>
                    <w:rPr>
                      <w:rFonts w:ascii="Cambria Math" w:hAnsi="Cambria Math"/>
                    </w:rPr>
                  </m:ctrlPr>
                </m:sSubPr>
                <m:e>
                  <m:r>
                    <m:rPr>
                      <m:nor/>
                    </m:rPr>
                    <m:t>BDI</m:t>
                  </m:r>
                </m:e>
                <m:sub>
                  <m:r>
                    <m:rPr>
                      <m:nor/>
                    </m:rPr>
                    <m:t>baseline</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m:rPr>
                      <m:nor/>
                    </m:rPr>
                    <m:t>BDI</m:t>
                  </m:r>
                </m:sub>
              </m:sSub>
            </m:den>
          </m:f>
        </m:oMath>
      </m:oMathPara>
    </w:p>
    <w:p w14:paraId="7107CFA5" w14:textId="493A3B68" w:rsidR="00E85D9D" w:rsidRPr="00E85D9D" w:rsidRDefault="00F540CF" w:rsidP="000E3EB4">
      <w:r>
        <w:t>This improves detection because attacks change either the entropy (too uniform or too scattered), the bigram patterns (unusual tool pairs), or the dominance of certain tools—all of which normal behavioral models miss.</w:t>
      </w:r>
    </w:p>
    <w:p w14:paraId="7F14F298" w14:textId="0698F0CA" w:rsidR="004F2D40" w:rsidRDefault="000E3EB4" w:rsidP="004F2D40">
      <w:pPr>
        <w:pStyle w:val="Heading1"/>
      </w:pPr>
      <w:r>
        <w:rPr>
          <w:lang w:val="en-US"/>
        </w:rPr>
        <w:t>Risk Scoring Mechanism</w:t>
      </w:r>
    </w:p>
    <w:p w14:paraId="45AF21C1" w14:textId="6DCB8CBA" w:rsidR="00467713" w:rsidRDefault="000E3EB4" w:rsidP="00467713">
      <w:pPr>
        <w:pStyle w:val="Heading2"/>
      </w:pPr>
      <w:r>
        <w:t>Multi-Factor Risk Fusion</w:t>
      </w:r>
    </w:p>
    <w:p w14:paraId="1E218B40" w14:textId="77777777" w:rsidR="001507F6" w:rsidRDefault="001507F6" w:rsidP="001507F6">
      <w:r>
        <w:t>The raw risk score combines all component scores with learned weights:</w:t>
      </w:r>
    </w:p>
    <w:p w14:paraId="5F073ADB" w14:textId="754B6DF9" w:rsidR="001507F6" w:rsidRDefault="00000000" w:rsidP="001507F6">
      <w:pPr>
        <w:pStyle w:val="BodyText"/>
      </w:pPr>
      <m:oMath>
        <m:sSub>
          <m:sSubPr>
            <m:ctrlPr>
              <w:rPr>
                <w:rFonts w:ascii="Cambria Math" w:hAnsi="Cambria Math"/>
              </w:rPr>
            </m:ctrlPr>
          </m:sSubPr>
          <m:e>
            <m:r>
              <w:rPr>
                <w:rFonts w:ascii="Cambria Math" w:hAnsi="Cambria Math"/>
              </w:rPr>
              <m:t>R</m:t>
            </m:r>
          </m:e>
          <m:sub>
            <m:r>
              <m:rPr>
                <m:nor/>
              </m:rPr>
              <m:t>raw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trans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priv</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token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seq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BDI</m:t>
            </m:r>
          </m:e>
          <m:sub>
            <m:r>
              <m:rPr>
                <m:nor/>
              </m:rPr>
              <m:t>anomaly</m:t>
            </m:r>
          </m:sub>
        </m:sSub>
      </m:oMath>
      <w:r w:rsidR="001507F6">
        <w:t xml:space="preserve"> </w:t>
      </w:r>
    </w:p>
    <w:p w14:paraId="4211C35B" w14:textId="3369D274" w:rsidR="001507F6" w:rsidRPr="001507F6" w:rsidRDefault="001507F6" w:rsidP="001507F6">
      <w:r>
        <w:t>Each component is min-max normalized to [0,1] before fusion.</w:t>
      </w:r>
    </w:p>
    <w:p w14:paraId="2BE7D872" w14:textId="5B8F380D" w:rsidR="00B9547F" w:rsidRDefault="002728DD" w:rsidP="002728DD">
      <w:pPr>
        <w:pStyle w:val="Heading2"/>
      </w:pPr>
      <w:r>
        <w:t>Continuous Risk Scoring</w:t>
      </w:r>
    </w:p>
    <w:p w14:paraId="53D310F6" w14:textId="52727543" w:rsidR="001507F6" w:rsidRPr="001507F6" w:rsidRDefault="001507F6" w:rsidP="001507F6">
      <w:r w:rsidRPr="001507F6">
        <w:t xml:space="preserve">A </w:t>
      </w:r>
      <w:proofErr w:type="gramStart"/>
      <w:r w:rsidRPr="001507F6">
        <w:t>sigmoid maps</w:t>
      </w:r>
      <w:proofErr w:type="gramEnd"/>
      <w:r w:rsidRPr="001507F6">
        <w:t xml:space="preserve"> the raw score to a calibrated probability:</w:t>
      </w:r>
      <w:r>
        <w:t xml:space="preserve"> </w:t>
      </w:r>
      <m:oMath>
        <m:sSub>
          <m:sSubPr>
            <m:ctrlPr>
              <w:rPr>
                <w:rFonts w:ascii="Cambria Math" w:hAnsi="Cambria Math"/>
              </w:rPr>
            </m:ctrlPr>
          </m:sSubPr>
          <m:e>
            <m:r>
              <w:rPr>
                <w:rFonts w:ascii="Cambria Math" w:hAnsi="Cambria Math"/>
              </w:rPr>
              <m:t>R</m:t>
            </m:r>
          </m:e>
          <m:sub>
            <m:r>
              <m:rPr>
                <m:nor/>
              </m:rPr>
              <m:t>score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raw</m:t>
                </m:r>
              </m:sub>
            </m:sSub>
            <m:r>
              <m:rPr>
                <m:sty m:val="p"/>
              </m:rPr>
              <w:rPr>
                <w:rFonts w:ascii="Cambria Math" w:hAnsi="Cambria Math"/>
              </w:rPr>
              <m:t>-</m:t>
            </m:r>
            <m:r>
              <w:rPr>
                <w:rFonts w:ascii="Cambria Math" w:hAnsi="Cambria Math"/>
              </w:rPr>
              <m:t>δ</m:t>
            </m:r>
            <m:r>
              <m:rPr>
                <m:sty m:val="p"/>
              </m:rPr>
              <w:rPr>
                <w:rFonts w:ascii="Cambria Math" w:hAnsi="Cambria Math"/>
              </w:rPr>
              <m:t>)</m:t>
            </m:r>
          </m:sup>
        </m:sSup>
        <m:r>
          <m:rPr>
            <m:sty m:val="p"/>
          </m:rPr>
          <w:rPr>
            <w:rFonts w:ascii="Cambria Math" w:hAnsi="Cambria Math"/>
          </w:rPr>
          <m:t>)</m:t>
        </m:r>
      </m:oMath>
      <w:r w:rsidRPr="001507F6">
        <w:t xml:space="preserve">. This maps to five severity tiers: Normal (0–20%), Low (20–40%), Medium (40–60%), High (60–80%), Critical (80–100%). Temporal smoothing uses an exponential moving average </w:t>
      </w:r>
      <w:r>
        <w:t>(</w:t>
      </w:r>
      <m:oMath>
        <m:r>
          <w:rPr>
            <w:rFonts w:ascii="Cambria Math" w:hAnsi="Cambria Math"/>
          </w:rPr>
          <m:t>λ</m:t>
        </m:r>
        <m:r>
          <m:rPr>
            <m:sty m:val="p"/>
          </m:rPr>
          <w:rPr>
            <w:rFonts w:ascii="Cambria Math" w:hAnsi="Cambria Math"/>
          </w:rPr>
          <m:t>=</m:t>
        </m:r>
        <m:r>
          <w:rPr>
            <w:rFonts w:ascii="Cambria Math" w:hAnsi="Cambria Math"/>
          </w:rPr>
          <m:t>0.3</m:t>
        </m:r>
      </m:oMath>
      <w:r>
        <w:t>).</w:t>
      </w:r>
    </w:p>
    <w:p w14:paraId="1766B5E3" w14:textId="5CE0AA75" w:rsidR="004F2D40" w:rsidRDefault="002728DD" w:rsidP="00B9547F">
      <w:pPr>
        <w:pStyle w:val="Heading2"/>
      </w:pPr>
      <w:r>
        <w:t>Deep Learning Classifier</w:t>
      </w:r>
    </w:p>
    <w:p w14:paraId="5F1F6B85" w14:textId="142E1C99" w:rsidR="001507F6" w:rsidRDefault="004E14CA" w:rsidP="001507F6">
      <w:r w:rsidRPr="004E14CA">
        <w:t xml:space="preserve">The classifier uses a bidirectional LSTM encoder (128 hidden units) followed by a 4-head Transformer attention layer </w:t>
      </w:r>
      <m:oMath>
        <m: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256</m:t>
        </m:r>
      </m:oMath>
      <w:r>
        <w:t>)</w:t>
      </w:r>
      <w:r w:rsidRPr="004E14CA">
        <w:t xml:space="preserve"> and a feed-forward head (128 → 64 → 1). Training uses combined BCE and Brier score loss (ν=0.5):</w:t>
      </w:r>
    </w:p>
    <w:p w14:paraId="6FEF38F2" w14:textId="4398D068" w:rsidR="004E14CA" w:rsidRDefault="004E14CA" w:rsidP="004E14CA">
      <w:pPr>
        <w:pStyle w:val="BodyText"/>
      </w:pPr>
      <m:oMathPara>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ν</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4343AAEC" w14:textId="02AA6C88" w:rsidR="004E14CA" w:rsidRPr="001507F6" w:rsidRDefault="004E14CA" w:rsidP="001507F6">
      <w:r w:rsidRPr="004E14CA">
        <w:t xml:space="preserve">The final score blends rule-based and learned outputs: </w:t>
      </w:r>
      <m:oMath>
        <m:sSub>
          <m:sSubPr>
            <m:ctrlPr>
              <w:rPr>
                <w:rFonts w:ascii="Cambria Math" w:hAnsi="Cambria Math"/>
              </w:rPr>
            </m:ctrlPr>
          </m:sSubPr>
          <m:e>
            <m:r>
              <w:rPr>
                <w:rFonts w:ascii="Cambria Math" w:hAnsi="Cambria Math"/>
              </w:rPr>
              <m:t>R</m:t>
            </m:r>
          </m:e>
          <m:sub>
            <m:r>
              <m:rPr>
                <m:nor/>
              </m:rPr>
              <m:t>final</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score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DL</m:t>
            </m:r>
          </m:sub>
        </m:sSub>
      </m:oMath>
    </w:p>
    <w:p w14:paraId="030D2BEF" w14:textId="6B033E4E" w:rsidR="001507F6" w:rsidRDefault="001507F6" w:rsidP="001507F6">
      <w:pPr>
        <w:pStyle w:val="Heading2"/>
      </w:pPr>
      <w:r>
        <w:t>Explainable Risk Attribution</w:t>
      </w:r>
    </w:p>
    <w:p w14:paraId="5648ABA5" w14:textId="42442B21" w:rsidR="001507F6" w:rsidRPr="001507F6" w:rsidRDefault="00546359" w:rsidP="00546359">
      <w:proofErr w:type="gramStart"/>
      <w:r w:rsidRPr="00546359">
        <w:t>SHAP[</w:t>
      </w:r>
      <w:proofErr w:type="gramEnd"/>
      <w:r w:rsidRPr="00546359">
        <w:t xml:space="preserve">22] breaks down each output into its constituent parts: </w:t>
      </w:r>
      <w:r>
        <w:t xml:space="preserve">: </w:t>
      </w:r>
      <m:oMath>
        <m:sSub>
          <m:sSubPr>
            <m:ctrlPr>
              <w:rPr>
                <w:rFonts w:ascii="Cambria Math" w:hAnsi="Cambria Math"/>
              </w:rPr>
            </m:ctrlPr>
          </m:sSubPr>
          <m:e>
            <m:r>
              <w:rPr>
                <w:rFonts w:ascii="Cambria Math" w:hAnsi="Cambria Math"/>
              </w:rPr>
              <m:t>R</m:t>
            </m:r>
          </m:e>
          <m:sub>
            <m:r>
              <m:rPr>
                <m:nor/>
              </m:rPr>
              <m:t>final</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k</m:t>
                </m:r>
              </m:sub>
            </m:sSub>
          </m:e>
        </m:nary>
      </m:oMath>
      <w:r w:rsidRPr="00546359">
        <w:t>. The TreeExplainer can generate exact Shapley values for tree-based components, whereas DeepSHAP uses this methodology to provide Shapley values for deep learning components. A rule-based engine generates security narratives from Shapley values, such as: “Risk raised due to abnormal flow from DB read to email send along with unusual tool variety.”</w:t>
      </w:r>
    </w:p>
    <w:p w14:paraId="50FB24B4" w14:textId="72542352" w:rsidR="003D2E49" w:rsidRPr="00246AE7" w:rsidRDefault="00546359" w:rsidP="00467713">
      <w:pPr>
        <w:pStyle w:val="Heading1"/>
      </w:pPr>
      <w:r>
        <w:rPr>
          <w:lang w:val="en-US"/>
        </w:rPr>
        <w:lastRenderedPageBreak/>
        <w:t>Experimental Setup</w:t>
      </w:r>
    </w:p>
    <w:p w14:paraId="2C999AEF" w14:textId="17823090" w:rsidR="00A30A22" w:rsidRDefault="00546359" w:rsidP="00467713">
      <w:pPr>
        <w:pStyle w:val="Heading2"/>
      </w:pPr>
      <w:r>
        <w:t>Dataset</w:t>
      </w:r>
    </w:p>
    <w:p w14:paraId="32C1DFEA" w14:textId="33741AEC" w:rsidR="004649CB" w:rsidRPr="004649CB" w:rsidRDefault="00546359" w:rsidP="004649CB">
      <w:r w:rsidRPr="00546359">
        <w:t xml:space="preserve">Our benchmark dataset is derived from </w:t>
      </w:r>
      <w:proofErr w:type="spellStart"/>
      <w:r w:rsidRPr="00546359">
        <w:t>AgentDojo</w:t>
      </w:r>
      <w:proofErr w:type="spellEnd"/>
      <w:r w:rsidRPr="00546359">
        <w:t xml:space="preserve"> [23] and contains four domains, including workspace, Slack, data manipulation, and external APIs. Because of the limited rate limit of Llama-3.3-70b by </w:t>
      </w:r>
      <w:proofErr w:type="spellStart"/>
      <w:r w:rsidRPr="00546359">
        <w:t>Groq</w:t>
      </w:r>
      <w:proofErr w:type="spellEnd"/>
      <w:r w:rsidRPr="00546359">
        <w:t xml:space="preserve">, we used a two-step approach in our experiments. First, we gathered 25 seed traces (15 benign, 10 malicious) from genuine LLM agents. Then, based on the created seeds, we synthesized 5,300 traces (3,500 benign, 1,800 malicious). For testing the robustness of our detector, 40% of benign traces contained false-positive anomalies that mimic suspicious behavior. The dataset was split into train/validation/test in the ratio 70/15/15 using stratified sampling. Technical specifications: Python 3.10, </w:t>
      </w:r>
      <w:proofErr w:type="spellStart"/>
      <w:r w:rsidRPr="00546359">
        <w:t>PyTorch</w:t>
      </w:r>
      <w:proofErr w:type="spellEnd"/>
      <w:r w:rsidRPr="00546359">
        <w:t xml:space="preserve"> 2.1, an LSTM model consisting of 2 layers and 128 neurons, Adam (η = 10^-3) optimizer, batch size 16, training for 30 epochs with early stopping (patience = 8), and SHAP explanations obtained via </w:t>
      </w:r>
      <w:proofErr w:type="spellStart"/>
      <w:r w:rsidRPr="00546359">
        <w:t>TreeExplainer</w:t>
      </w:r>
      <w:proofErr w:type="spellEnd"/>
      <w:r w:rsidRPr="00546359">
        <w:t xml:space="preserve"> (background samples = 100). Hardware: NVIDIA GTX 1650 Mobile GPU (4 GB). Time requirements: Training - 10-15 min; Inference - 0.33 </w:t>
      </w:r>
      <w:proofErr w:type="spellStart"/>
      <w:r w:rsidRPr="00546359">
        <w:t>ms</w:t>
      </w:r>
      <w:proofErr w:type="spellEnd"/>
      <w:r w:rsidRPr="00546359">
        <w:t xml:space="preserve"> per trace.</w:t>
      </w:r>
    </w:p>
    <w:p w14:paraId="04967EF4" w14:textId="295041C9" w:rsidR="003D2E49" w:rsidRDefault="00546359" w:rsidP="00467713">
      <w:pPr>
        <w:pStyle w:val="Heading2"/>
      </w:pPr>
      <w:r>
        <w:t>Abuse Scenarios</w:t>
      </w:r>
    </w:p>
    <w:p w14:paraId="1BFE9135" w14:textId="354D0B9F" w:rsidR="002E0D27" w:rsidRDefault="002E0D27" w:rsidP="002E0D27">
      <w:r w:rsidRPr="002E0D27">
        <w:t>Table 2. Abuse scenarios used for evaluation.</w:t>
      </w:r>
    </w:p>
    <w:tbl>
      <w:tblPr>
        <w:tblStyle w:val="Table"/>
        <w:tblW w:w="4113" w:type="pct"/>
        <w:tblInd w:w="797" w:type="dxa"/>
        <w:tblLayout w:type="fixed"/>
        <w:tblLook w:val="0020" w:firstRow="1" w:lastRow="0" w:firstColumn="0" w:lastColumn="0" w:noHBand="0" w:noVBand="0"/>
      </w:tblPr>
      <w:tblGrid>
        <w:gridCol w:w="2259"/>
        <w:gridCol w:w="2934"/>
        <w:gridCol w:w="2233"/>
      </w:tblGrid>
      <w:tr w:rsidR="002E0D27" w:rsidRPr="00493EDD" w14:paraId="44691417" w14:textId="77777777" w:rsidTr="00C77289">
        <w:trPr>
          <w:cnfStyle w:val="100000000000" w:firstRow="1" w:lastRow="0" w:firstColumn="0" w:lastColumn="0" w:oddVBand="0" w:evenVBand="0" w:oddHBand="0" w:evenHBand="0" w:firstRowFirstColumn="0" w:firstRowLastColumn="0" w:lastRowFirstColumn="0" w:lastRowLastColumn="0"/>
          <w:tblHeader/>
        </w:trPr>
        <w:tc>
          <w:tcPr>
            <w:tcW w:w="2258" w:type="dxa"/>
          </w:tcPr>
          <w:p w14:paraId="53C177BB" w14:textId="77777777" w:rsidR="002E0D27" w:rsidRPr="00493EDD" w:rsidRDefault="002E0D27" w:rsidP="00ED2F6D">
            <w:pPr>
              <w:pStyle w:val="Compact"/>
              <w:rPr>
                <w:rFonts w:ascii="Times New Roman" w:hAnsi="Times New Roman" w:cs="Times New Roman"/>
                <w:sz w:val="20"/>
                <w:szCs w:val="20"/>
              </w:rPr>
            </w:pPr>
            <w:bookmarkStart w:id="1" w:name="_Hlk231043763"/>
            <w:r w:rsidRPr="00493EDD">
              <w:rPr>
                <w:rFonts w:ascii="Times New Roman" w:hAnsi="Times New Roman" w:cs="Times New Roman"/>
                <w:sz w:val="20"/>
                <w:szCs w:val="20"/>
              </w:rPr>
              <w:t>Scenario</w:t>
            </w:r>
          </w:p>
        </w:tc>
        <w:tc>
          <w:tcPr>
            <w:tcW w:w="2934" w:type="dxa"/>
          </w:tcPr>
          <w:p w14:paraId="401B232A"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Description</w:t>
            </w:r>
          </w:p>
        </w:tc>
        <w:tc>
          <w:tcPr>
            <w:tcW w:w="2233" w:type="dxa"/>
          </w:tcPr>
          <w:p w14:paraId="6C20E11D"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Expected Signal</w:t>
            </w:r>
          </w:p>
        </w:tc>
      </w:tr>
      <w:tr w:rsidR="002E0D27" w:rsidRPr="00493EDD" w14:paraId="0177E716" w14:textId="77777777" w:rsidTr="00C77289">
        <w:tc>
          <w:tcPr>
            <w:tcW w:w="2258" w:type="dxa"/>
          </w:tcPr>
          <w:p w14:paraId="0E348841"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S1: Prompt Injection</w:t>
            </w:r>
          </w:p>
        </w:tc>
        <w:tc>
          <w:tcPr>
            <w:tcW w:w="2934" w:type="dxa"/>
          </w:tcPr>
          <w:p w14:paraId="105BED8C"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Direct/indirect injection hijacks control</w:t>
            </w:r>
          </w:p>
        </w:tc>
        <w:tc>
          <w:tcPr>
            <w:tcW w:w="2233" w:type="dxa"/>
          </w:tcPr>
          <w:p w14:paraId="31B4D5B9"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Sudden tool transition change</w:t>
            </w:r>
          </w:p>
        </w:tc>
      </w:tr>
      <w:tr w:rsidR="002E0D27" w:rsidRPr="00493EDD" w14:paraId="44FC81BE" w14:textId="77777777" w:rsidTr="00C77289">
        <w:tc>
          <w:tcPr>
            <w:tcW w:w="2258" w:type="dxa"/>
          </w:tcPr>
          <w:p w14:paraId="6FE8F867"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S2: Privilege Escalation</w:t>
            </w:r>
          </w:p>
        </w:tc>
        <w:tc>
          <w:tcPr>
            <w:tcW w:w="2934" w:type="dxa"/>
          </w:tcPr>
          <w:p w14:paraId="578E7736"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Gradual escalation from read to admin</w:t>
            </w:r>
          </w:p>
        </w:tc>
        <w:tc>
          <w:tcPr>
            <w:tcW w:w="2233" w:type="dxa"/>
          </w:tcPr>
          <w:p w14:paraId="0F80384C"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Rising privilege score</w:t>
            </w:r>
          </w:p>
        </w:tc>
      </w:tr>
      <w:tr w:rsidR="002E0D27" w:rsidRPr="00493EDD" w14:paraId="734E549C" w14:textId="77777777" w:rsidTr="00C77289">
        <w:tc>
          <w:tcPr>
            <w:tcW w:w="2258" w:type="dxa"/>
          </w:tcPr>
          <w:p w14:paraId="260A3077"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S3: Malicious API Usage</w:t>
            </w:r>
          </w:p>
        </w:tc>
        <w:tc>
          <w:tcPr>
            <w:tcW w:w="2934" w:type="dxa"/>
          </w:tcPr>
          <w:p w14:paraId="6FF201EB"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Unauthorized external API calls</w:t>
            </w:r>
          </w:p>
        </w:tc>
        <w:tc>
          <w:tcPr>
            <w:tcW w:w="2233" w:type="dxa"/>
          </w:tcPr>
          <w:p w14:paraId="32409985"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Rare tool transitions</w:t>
            </w:r>
          </w:p>
        </w:tc>
      </w:tr>
      <w:tr w:rsidR="002E0D27" w:rsidRPr="00493EDD" w14:paraId="50298C4A" w14:textId="77777777" w:rsidTr="00C77289">
        <w:tc>
          <w:tcPr>
            <w:tcW w:w="2258" w:type="dxa"/>
          </w:tcPr>
          <w:p w14:paraId="1F10E7F3"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S4: Data Exfiltration</w:t>
            </w:r>
          </w:p>
        </w:tc>
        <w:tc>
          <w:tcPr>
            <w:tcW w:w="2934" w:type="dxa"/>
          </w:tcPr>
          <w:p w14:paraId="669F11BE"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Read data then send externally</w:t>
            </w:r>
          </w:p>
        </w:tc>
        <w:tc>
          <w:tcPr>
            <w:tcW w:w="2233" w:type="dxa"/>
          </w:tcPr>
          <w:p w14:paraId="7F789643"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High transition anomaly</w:t>
            </w:r>
          </w:p>
        </w:tc>
      </w:tr>
      <w:tr w:rsidR="002E0D27" w:rsidRPr="00493EDD" w14:paraId="75C315D4" w14:textId="77777777" w:rsidTr="00C77289">
        <w:tc>
          <w:tcPr>
            <w:tcW w:w="2258" w:type="dxa"/>
          </w:tcPr>
          <w:p w14:paraId="64F7C7C6"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S5: Denial-of-Wallet</w:t>
            </w:r>
          </w:p>
        </w:tc>
        <w:tc>
          <w:tcPr>
            <w:tcW w:w="2934" w:type="dxa"/>
          </w:tcPr>
          <w:p w14:paraId="10B7EF6B"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Excessive token consumption loops</w:t>
            </w:r>
          </w:p>
        </w:tc>
        <w:tc>
          <w:tcPr>
            <w:tcW w:w="2233" w:type="dxa"/>
          </w:tcPr>
          <w:p w14:paraId="7B689257"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Token burst detection</w:t>
            </w:r>
          </w:p>
        </w:tc>
      </w:tr>
      <w:tr w:rsidR="002E0D27" w:rsidRPr="00493EDD" w14:paraId="32C584F4" w14:textId="77777777" w:rsidTr="00ED2F6D">
        <w:tc>
          <w:tcPr>
            <w:tcW w:w="2258" w:type="dxa"/>
            <w:tcBorders>
              <w:bottom w:val="single" w:sz="4" w:space="0" w:color="auto"/>
            </w:tcBorders>
          </w:tcPr>
          <w:p w14:paraId="58295A87"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S6: Stealth Mimicry</w:t>
            </w:r>
          </w:p>
        </w:tc>
        <w:tc>
          <w:tcPr>
            <w:tcW w:w="2934" w:type="dxa"/>
            <w:tcBorders>
              <w:bottom w:val="single" w:sz="4" w:space="0" w:color="auto"/>
            </w:tcBorders>
          </w:tcPr>
          <w:p w14:paraId="4582D844"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Mimics benign workflow but swaps one tool</w:t>
            </w:r>
          </w:p>
        </w:tc>
        <w:tc>
          <w:tcPr>
            <w:tcW w:w="2233" w:type="dxa"/>
            <w:tcBorders>
              <w:bottom w:val="single" w:sz="4" w:space="0" w:color="auto"/>
            </w:tcBorders>
          </w:tcPr>
          <w:p w14:paraId="47AF7FC5" w14:textId="77777777" w:rsidR="002E0D27" w:rsidRPr="00493EDD" w:rsidRDefault="002E0D27" w:rsidP="00ED2F6D">
            <w:pPr>
              <w:pStyle w:val="Compact"/>
              <w:rPr>
                <w:rFonts w:ascii="Times New Roman" w:hAnsi="Times New Roman" w:cs="Times New Roman"/>
                <w:sz w:val="20"/>
                <w:szCs w:val="20"/>
              </w:rPr>
            </w:pPr>
            <w:r w:rsidRPr="00493EDD">
              <w:rPr>
                <w:rFonts w:ascii="Times New Roman" w:hAnsi="Times New Roman" w:cs="Times New Roman"/>
                <w:sz w:val="20"/>
                <w:szCs w:val="20"/>
              </w:rPr>
              <w:t>Extreme BDI anomaly</w:t>
            </w:r>
          </w:p>
        </w:tc>
      </w:tr>
    </w:tbl>
    <w:bookmarkEnd w:id="1"/>
    <w:p w14:paraId="3EDBBA1C" w14:textId="756AD4CB" w:rsidR="009C6C46" w:rsidRDefault="002E0D27" w:rsidP="00ED2F6D">
      <w:pPr>
        <w:pStyle w:val="Heading1"/>
      </w:pPr>
      <w:r>
        <w:t>Results and Evaluation</w:t>
      </w:r>
    </w:p>
    <w:p w14:paraId="74611790" w14:textId="286A3DEC" w:rsidR="002E0D27" w:rsidRDefault="002E0D27" w:rsidP="002E0D27">
      <w:pPr>
        <w:pStyle w:val="Heading2"/>
      </w:pPr>
      <w:r>
        <w:t>Baseline Comparison</w:t>
      </w:r>
    </w:p>
    <w:p w14:paraId="3F03F1AD" w14:textId="64FC8F23" w:rsidR="00493EDD" w:rsidRPr="00493EDD" w:rsidRDefault="00493EDD" w:rsidP="00493EDD">
      <w:r w:rsidRPr="00493EDD">
        <w:t xml:space="preserve">We evaluate DARS against five baselines: (1) </w:t>
      </w:r>
      <w:r w:rsidRPr="00493EDD">
        <w:rPr>
          <w:b/>
          <w:bCs/>
        </w:rPr>
        <w:t>The rule-based detection</w:t>
      </w:r>
      <w:r w:rsidRPr="00493EDD">
        <w:t xml:space="preserve"> with 42 static rules applied to the tool sequences; (2) </w:t>
      </w:r>
      <w:r w:rsidRPr="00493EDD">
        <w:rPr>
          <w:b/>
          <w:bCs/>
        </w:rPr>
        <w:t>Isolation Forest (IF)</w:t>
      </w:r>
      <w:r w:rsidRPr="00493EDD">
        <w:t xml:space="preserve"> method for unsupervised anomaly detection, with contamination value equal to 0.15; (3) </w:t>
      </w:r>
      <w:r w:rsidRPr="00493EDD">
        <w:rPr>
          <w:b/>
          <w:bCs/>
        </w:rPr>
        <w:t>Log Parser (</w:t>
      </w:r>
      <w:proofErr w:type="spellStart"/>
      <w:r w:rsidRPr="00493EDD">
        <w:rPr>
          <w:b/>
          <w:bCs/>
        </w:rPr>
        <w:t>LogP</w:t>
      </w:r>
      <w:proofErr w:type="spellEnd"/>
      <w:r w:rsidRPr="00493EDD">
        <w:rPr>
          <w:b/>
          <w:bCs/>
        </w:rPr>
        <w:t>)</w:t>
      </w:r>
      <w:r w:rsidRPr="00493EDD">
        <w:t xml:space="preserve"> based on regular expression pattern matching; (4) </w:t>
      </w:r>
      <w:r w:rsidRPr="00493EDD">
        <w:rPr>
          <w:b/>
          <w:bCs/>
        </w:rPr>
        <w:t>Sandbox Monitor (Sand)</w:t>
      </w:r>
      <w:r w:rsidRPr="00493EDD">
        <w:t xml:space="preserve">, which includes sandboxing along with violation policies [21]; and (5) </w:t>
      </w:r>
      <w:r w:rsidRPr="00493EDD">
        <w:rPr>
          <w:b/>
          <w:bCs/>
        </w:rPr>
        <w:t>Standard LSTM</w:t>
      </w:r>
      <w:r w:rsidRPr="00493EDD">
        <w:t xml:space="preserve"> with a two-layer LSTM on tool sequences without any diversity features</w:t>
      </w:r>
    </w:p>
    <w:p w14:paraId="1BE4825F" w14:textId="68EDC9EA" w:rsidR="002E0D27" w:rsidRDefault="002E0D27" w:rsidP="002E0D27">
      <w:pPr>
        <w:pStyle w:val="Heading2"/>
      </w:pPr>
      <w:r>
        <w:t>Classification Performance</w:t>
      </w:r>
    </w:p>
    <w:p w14:paraId="20984651" w14:textId="73C40BCE" w:rsidR="00493EDD" w:rsidRDefault="00493EDD" w:rsidP="00493EDD">
      <w:r w:rsidRPr="00493EDD">
        <w:t>Table 3. Overall classification performance on the test set.</w:t>
      </w:r>
    </w:p>
    <w:tbl>
      <w:tblPr>
        <w:tblStyle w:val="Table"/>
        <w:tblW w:w="5000" w:type="pct"/>
        <w:tblLayout w:type="fixed"/>
        <w:tblLook w:val="0020" w:firstRow="1" w:lastRow="0" w:firstColumn="0" w:lastColumn="0" w:noHBand="0" w:noVBand="0"/>
      </w:tblPr>
      <w:tblGrid>
        <w:gridCol w:w="1078"/>
        <w:gridCol w:w="1348"/>
        <w:gridCol w:w="1482"/>
        <w:gridCol w:w="1077"/>
        <w:gridCol w:w="1348"/>
        <w:gridCol w:w="1212"/>
        <w:gridCol w:w="1482"/>
      </w:tblGrid>
      <w:tr w:rsidR="00493EDD" w:rsidRPr="004F073D" w14:paraId="103F32D8" w14:textId="77777777" w:rsidTr="00493EDD">
        <w:trPr>
          <w:cnfStyle w:val="100000000000" w:firstRow="1" w:lastRow="0" w:firstColumn="0" w:lastColumn="0" w:oddVBand="0" w:evenVBand="0" w:oddHBand="0" w:evenHBand="0" w:firstRowFirstColumn="0" w:firstRowLastColumn="0" w:lastRowFirstColumn="0" w:lastRowLastColumn="0"/>
          <w:tblHeader/>
        </w:trPr>
        <w:tc>
          <w:tcPr>
            <w:tcW w:w="1078" w:type="dxa"/>
          </w:tcPr>
          <w:p w14:paraId="47EDAEB1"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Method</w:t>
            </w:r>
          </w:p>
        </w:tc>
        <w:tc>
          <w:tcPr>
            <w:tcW w:w="1348" w:type="dxa"/>
          </w:tcPr>
          <w:p w14:paraId="045396AB"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Accuracy</w:t>
            </w:r>
          </w:p>
        </w:tc>
        <w:tc>
          <w:tcPr>
            <w:tcW w:w="1482" w:type="dxa"/>
          </w:tcPr>
          <w:p w14:paraId="15C7D3D9"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Precision</w:t>
            </w:r>
          </w:p>
        </w:tc>
        <w:tc>
          <w:tcPr>
            <w:tcW w:w="1077" w:type="dxa"/>
          </w:tcPr>
          <w:p w14:paraId="2E16E860"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Recall</w:t>
            </w:r>
          </w:p>
        </w:tc>
        <w:tc>
          <w:tcPr>
            <w:tcW w:w="1348" w:type="dxa"/>
          </w:tcPr>
          <w:p w14:paraId="3FDD7BB9"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F1-Score</w:t>
            </w:r>
          </w:p>
        </w:tc>
        <w:tc>
          <w:tcPr>
            <w:tcW w:w="1212" w:type="dxa"/>
          </w:tcPr>
          <w:p w14:paraId="2EE041AC"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ROC-AUC</w:t>
            </w:r>
          </w:p>
        </w:tc>
        <w:tc>
          <w:tcPr>
            <w:tcW w:w="1482" w:type="dxa"/>
          </w:tcPr>
          <w:p w14:paraId="6C4438AD"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Time (</w:t>
            </w:r>
            <w:proofErr w:type="spellStart"/>
            <w:r w:rsidRPr="00493EDD">
              <w:rPr>
                <w:rFonts w:ascii="Times New Roman" w:hAnsi="Times New Roman" w:cs="Times New Roman"/>
                <w:sz w:val="20"/>
                <w:szCs w:val="20"/>
              </w:rPr>
              <w:t>ms</w:t>
            </w:r>
            <w:proofErr w:type="spellEnd"/>
            <w:r w:rsidRPr="00493EDD">
              <w:rPr>
                <w:rFonts w:ascii="Times New Roman" w:hAnsi="Times New Roman" w:cs="Times New Roman"/>
                <w:sz w:val="20"/>
                <w:szCs w:val="20"/>
              </w:rPr>
              <w:t>)</w:t>
            </w:r>
          </w:p>
        </w:tc>
      </w:tr>
      <w:tr w:rsidR="00493EDD" w:rsidRPr="004F073D" w14:paraId="6AB5729E" w14:textId="77777777" w:rsidTr="00493EDD">
        <w:tc>
          <w:tcPr>
            <w:tcW w:w="1078" w:type="dxa"/>
          </w:tcPr>
          <w:p w14:paraId="638E54D2"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Rule-based</w:t>
            </w:r>
          </w:p>
        </w:tc>
        <w:tc>
          <w:tcPr>
            <w:tcW w:w="1348" w:type="dxa"/>
          </w:tcPr>
          <w:p w14:paraId="6658D9A6"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0.550</w:t>
            </w:r>
          </w:p>
        </w:tc>
        <w:tc>
          <w:tcPr>
            <w:tcW w:w="1482" w:type="dxa"/>
          </w:tcPr>
          <w:p w14:paraId="79A29B94"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0.421</w:t>
            </w:r>
          </w:p>
        </w:tc>
        <w:tc>
          <w:tcPr>
            <w:tcW w:w="1077" w:type="dxa"/>
          </w:tcPr>
          <w:p w14:paraId="6E377AA5"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0.867</w:t>
            </w:r>
          </w:p>
        </w:tc>
        <w:tc>
          <w:tcPr>
            <w:tcW w:w="1348" w:type="dxa"/>
          </w:tcPr>
          <w:p w14:paraId="6168EBC6"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0.567</w:t>
            </w:r>
          </w:p>
        </w:tc>
        <w:tc>
          <w:tcPr>
            <w:tcW w:w="1212" w:type="dxa"/>
          </w:tcPr>
          <w:p w14:paraId="1129F10F"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0.713</w:t>
            </w:r>
          </w:p>
        </w:tc>
        <w:tc>
          <w:tcPr>
            <w:tcW w:w="1482" w:type="dxa"/>
          </w:tcPr>
          <w:p w14:paraId="11119608"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0.011</w:t>
            </w:r>
          </w:p>
        </w:tc>
      </w:tr>
      <w:tr w:rsidR="00493EDD" w:rsidRPr="004F073D" w14:paraId="6FD623A4" w14:textId="77777777" w:rsidTr="00493EDD">
        <w:tc>
          <w:tcPr>
            <w:tcW w:w="1078" w:type="dxa"/>
          </w:tcPr>
          <w:p w14:paraId="4DFAFCB3"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lastRenderedPageBreak/>
              <w:t>Isolation Forest</w:t>
            </w:r>
          </w:p>
        </w:tc>
        <w:tc>
          <w:tcPr>
            <w:tcW w:w="1348" w:type="dxa"/>
          </w:tcPr>
          <w:p w14:paraId="30BD4F0C"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0.697</w:t>
            </w:r>
          </w:p>
        </w:tc>
        <w:tc>
          <w:tcPr>
            <w:tcW w:w="1482" w:type="dxa"/>
          </w:tcPr>
          <w:p w14:paraId="698E480A"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0.538</w:t>
            </w:r>
          </w:p>
        </w:tc>
        <w:tc>
          <w:tcPr>
            <w:tcW w:w="1077" w:type="dxa"/>
          </w:tcPr>
          <w:p w14:paraId="126E88D1"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0.759</w:t>
            </w:r>
          </w:p>
        </w:tc>
        <w:tc>
          <w:tcPr>
            <w:tcW w:w="1348" w:type="dxa"/>
          </w:tcPr>
          <w:p w14:paraId="358383F5"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0.630</w:t>
            </w:r>
          </w:p>
        </w:tc>
        <w:tc>
          <w:tcPr>
            <w:tcW w:w="1212" w:type="dxa"/>
          </w:tcPr>
          <w:p w14:paraId="116A132A"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0.790</w:t>
            </w:r>
          </w:p>
        </w:tc>
        <w:tc>
          <w:tcPr>
            <w:tcW w:w="1482" w:type="dxa"/>
          </w:tcPr>
          <w:p w14:paraId="2D6DFED6"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0.012</w:t>
            </w:r>
          </w:p>
        </w:tc>
      </w:tr>
      <w:tr w:rsidR="00493EDD" w:rsidRPr="004F073D" w14:paraId="11E3B4BD" w14:textId="77777777" w:rsidTr="00493EDD">
        <w:tc>
          <w:tcPr>
            <w:tcW w:w="1078" w:type="dxa"/>
          </w:tcPr>
          <w:p w14:paraId="05224ADC"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Log Parser</w:t>
            </w:r>
          </w:p>
        </w:tc>
        <w:tc>
          <w:tcPr>
            <w:tcW w:w="1348" w:type="dxa"/>
          </w:tcPr>
          <w:p w14:paraId="0F9E8C34"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0.672</w:t>
            </w:r>
          </w:p>
        </w:tc>
        <w:tc>
          <w:tcPr>
            <w:tcW w:w="1482" w:type="dxa"/>
          </w:tcPr>
          <w:p w14:paraId="507555CC"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0.525</w:t>
            </w:r>
          </w:p>
        </w:tc>
        <w:tc>
          <w:tcPr>
            <w:tcW w:w="1077" w:type="dxa"/>
          </w:tcPr>
          <w:p w14:paraId="406941B6"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0.344</w:t>
            </w:r>
          </w:p>
        </w:tc>
        <w:tc>
          <w:tcPr>
            <w:tcW w:w="1348" w:type="dxa"/>
          </w:tcPr>
          <w:p w14:paraId="210AAB5A"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0.416</w:t>
            </w:r>
          </w:p>
        </w:tc>
        <w:tc>
          <w:tcPr>
            <w:tcW w:w="1212" w:type="dxa"/>
          </w:tcPr>
          <w:p w14:paraId="315C5312"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0.598</w:t>
            </w:r>
          </w:p>
        </w:tc>
        <w:tc>
          <w:tcPr>
            <w:tcW w:w="1482" w:type="dxa"/>
          </w:tcPr>
          <w:p w14:paraId="3DEB95EF"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0.009</w:t>
            </w:r>
          </w:p>
        </w:tc>
      </w:tr>
      <w:tr w:rsidR="00493EDD" w:rsidRPr="004F073D" w14:paraId="27349C34" w14:textId="77777777" w:rsidTr="00493EDD">
        <w:tc>
          <w:tcPr>
            <w:tcW w:w="1078" w:type="dxa"/>
          </w:tcPr>
          <w:p w14:paraId="67997200"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Sandbox Monitor</w:t>
            </w:r>
          </w:p>
        </w:tc>
        <w:tc>
          <w:tcPr>
            <w:tcW w:w="1348" w:type="dxa"/>
          </w:tcPr>
          <w:p w14:paraId="04B764D0"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0.677</w:t>
            </w:r>
          </w:p>
        </w:tc>
        <w:tc>
          <w:tcPr>
            <w:tcW w:w="1482" w:type="dxa"/>
          </w:tcPr>
          <w:p w14:paraId="0AA327E1"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1.000</w:t>
            </w:r>
          </w:p>
        </w:tc>
        <w:tc>
          <w:tcPr>
            <w:tcW w:w="1077" w:type="dxa"/>
          </w:tcPr>
          <w:p w14:paraId="303D8B93"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0.048</w:t>
            </w:r>
          </w:p>
        </w:tc>
        <w:tc>
          <w:tcPr>
            <w:tcW w:w="1348" w:type="dxa"/>
          </w:tcPr>
          <w:p w14:paraId="44206004"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0.092</w:t>
            </w:r>
          </w:p>
        </w:tc>
        <w:tc>
          <w:tcPr>
            <w:tcW w:w="1212" w:type="dxa"/>
          </w:tcPr>
          <w:p w14:paraId="29105C96"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0.623</w:t>
            </w:r>
          </w:p>
        </w:tc>
        <w:tc>
          <w:tcPr>
            <w:tcW w:w="1482" w:type="dxa"/>
          </w:tcPr>
          <w:p w14:paraId="73BCA5E1"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0.002</w:t>
            </w:r>
          </w:p>
        </w:tc>
      </w:tr>
      <w:tr w:rsidR="00493EDD" w:rsidRPr="004F073D" w14:paraId="0CDC6F49" w14:textId="77777777" w:rsidTr="00493EDD">
        <w:tc>
          <w:tcPr>
            <w:tcW w:w="1078" w:type="dxa"/>
          </w:tcPr>
          <w:p w14:paraId="28594D49"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Standard LSTM</w:t>
            </w:r>
          </w:p>
        </w:tc>
        <w:tc>
          <w:tcPr>
            <w:tcW w:w="1348" w:type="dxa"/>
          </w:tcPr>
          <w:p w14:paraId="04F6AD8F"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0.894</w:t>
            </w:r>
          </w:p>
        </w:tc>
        <w:tc>
          <w:tcPr>
            <w:tcW w:w="1482" w:type="dxa"/>
          </w:tcPr>
          <w:p w14:paraId="066CF7BB"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0.888</w:t>
            </w:r>
          </w:p>
        </w:tc>
        <w:tc>
          <w:tcPr>
            <w:tcW w:w="1077" w:type="dxa"/>
          </w:tcPr>
          <w:p w14:paraId="1D687DED"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0.897</w:t>
            </w:r>
          </w:p>
        </w:tc>
        <w:tc>
          <w:tcPr>
            <w:tcW w:w="1348" w:type="dxa"/>
          </w:tcPr>
          <w:p w14:paraId="4CB3C164"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0.892</w:t>
            </w:r>
          </w:p>
        </w:tc>
        <w:tc>
          <w:tcPr>
            <w:tcW w:w="1212" w:type="dxa"/>
          </w:tcPr>
          <w:p w14:paraId="270F006E"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0.921</w:t>
            </w:r>
          </w:p>
        </w:tc>
        <w:tc>
          <w:tcPr>
            <w:tcW w:w="1482" w:type="dxa"/>
          </w:tcPr>
          <w:p w14:paraId="05905368"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0.149</w:t>
            </w:r>
          </w:p>
        </w:tc>
      </w:tr>
      <w:tr w:rsidR="00493EDD" w:rsidRPr="004F073D" w14:paraId="4B9F628F" w14:textId="77777777" w:rsidTr="00ED2F6D">
        <w:tc>
          <w:tcPr>
            <w:tcW w:w="1078" w:type="dxa"/>
            <w:tcBorders>
              <w:bottom w:val="single" w:sz="4" w:space="0" w:color="auto"/>
            </w:tcBorders>
          </w:tcPr>
          <w:p w14:paraId="7FA60753"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DARS (Proposed)</w:t>
            </w:r>
          </w:p>
        </w:tc>
        <w:tc>
          <w:tcPr>
            <w:tcW w:w="1348" w:type="dxa"/>
            <w:tcBorders>
              <w:bottom w:val="single" w:sz="4" w:space="0" w:color="auto"/>
            </w:tcBorders>
          </w:tcPr>
          <w:p w14:paraId="1F740A1E"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0.942</w:t>
            </w:r>
          </w:p>
        </w:tc>
        <w:tc>
          <w:tcPr>
            <w:tcW w:w="1482" w:type="dxa"/>
            <w:tcBorders>
              <w:bottom w:val="single" w:sz="4" w:space="0" w:color="auto"/>
            </w:tcBorders>
          </w:tcPr>
          <w:p w14:paraId="41B4EA41"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0.951</w:t>
            </w:r>
          </w:p>
        </w:tc>
        <w:tc>
          <w:tcPr>
            <w:tcW w:w="1077" w:type="dxa"/>
            <w:tcBorders>
              <w:bottom w:val="single" w:sz="4" w:space="0" w:color="auto"/>
            </w:tcBorders>
          </w:tcPr>
          <w:p w14:paraId="548B92C8"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0.921</w:t>
            </w:r>
          </w:p>
        </w:tc>
        <w:tc>
          <w:tcPr>
            <w:tcW w:w="1348" w:type="dxa"/>
            <w:tcBorders>
              <w:bottom w:val="single" w:sz="4" w:space="0" w:color="auto"/>
            </w:tcBorders>
          </w:tcPr>
          <w:p w14:paraId="098AF453"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0.936</w:t>
            </w:r>
          </w:p>
        </w:tc>
        <w:tc>
          <w:tcPr>
            <w:tcW w:w="1212" w:type="dxa"/>
            <w:tcBorders>
              <w:bottom w:val="single" w:sz="4" w:space="0" w:color="auto"/>
            </w:tcBorders>
          </w:tcPr>
          <w:p w14:paraId="32CBDCAF"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b/>
                <w:bCs/>
                <w:sz w:val="20"/>
                <w:szCs w:val="20"/>
              </w:rPr>
              <w:t>0.961</w:t>
            </w:r>
          </w:p>
        </w:tc>
        <w:tc>
          <w:tcPr>
            <w:tcW w:w="1482" w:type="dxa"/>
            <w:tcBorders>
              <w:bottom w:val="single" w:sz="4" w:space="0" w:color="auto"/>
            </w:tcBorders>
          </w:tcPr>
          <w:p w14:paraId="51DDF8D2" w14:textId="77777777" w:rsidR="00493EDD" w:rsidRPr="00493EDD" w:rsidRDefault="00493EDD" w:rsidP="00F236F1">
            <w:pPr>
              <w:pStyle w:val="Compact"/>
              <w:rPr>
                <w:rFonts w:ascii="Times New Roman" w:hAnsi="Times New Roman" w:cs="Times New Roman"/>
                <w:sz w:val="20"/>
                <w:szCs w:val="20"/>
              </w:rPr>
            </w:pPr>
            <w:r w:rsidRPr="00493EDD">
              <w:rPr>
                <w:rFonts w:ascii="Times New Roman" w:hAnsi="Times New Roman" w:cs="Times New Roman"/>
                <w:sz w:val="20"/>
                <w:szCs w:val="20"/>
              </w:rPr>
              <w:t>0.331</w:t>
            </w:r>
          </w:p>
        </w:tc>
      </w:tr>
    </w:tbl>
    <w:p w14:paraId="145FF304" w14:textId="01A38F16" w:rsidR="00493EDD" w:rsidRDefault="00493EDD" w:rsidP="00F236F1">
      <w:pPr>
        <w:ind w:left="720"/>
      </w:pPr>
      <w:r w:rsidRPr="00493EDD">
        <w:t xml:space="preserve">DARS achieves F1 = 0.936 and ROC-AUC = 0.961, which represents an improvement over the Standard LSTM in terms of F1 (+0.044) and AUC (+0.040), both with a significance level of </w:t>
      </w:r>
      <m:oMath>
        <m:r>
          <w:rPr>
            <w:rFonts w:ascii="Cambria Math" w:hAnsi="Cambria Math"/>
          </w:rPr>
          <m:t>p</m:t>
        </m:r>
        <m:r>
          <m:rPr>
            <m:sty m:val="p"/>
          </m:rPr>
          <w:rPr>
            <w:rFonts w:ascii="Cambria Math" w:hAnsi="Cambria Math"/>
          </w:rPr>
          <m:t>&lt;</m:t>
        </m:r>
        <m:r>
          <w:rPr>
            <w:rFonts w:ascii="Cambria Math" w:hAnsi="Cambria Math"/>
          </w:rPr>
          <m:t>0.001</m:t>
        </m:r>
      </m:oMath>
      <w:r w:rsidRPr="00493EDD">
        <w:t xml:space="preserve"> based on McNemar’s test. The precision reaches 0.951, meaning fewer false alarms. All non-learned baselines stay below F1 = 0.70.</w:t>
      </w:r>
    </w:p>
    <w:p w14:paraId="70DA6FB1" w14:textId="041C5AE9" w:rsidR="00493EDD" w:rsidRDefault="00493EDD" w:rsidP="00493EDD">
      <w:r w:rsidRPr="00493EDD">
        <w:t>Table 4. F1-score by scenario.</w:t>
      </w:r>
    </w:p>
    <w:tbl>
      <w:tblPr>
        <w:tblStyle w:val="Table"/>
        <w:tblW w:w="4590" w:type="pct"/>
        <w:jc w:val="center"/>
        <w:tblLayout w:type="fixed"/>
        <w:tblLook w:val="0020" w:firstRow="1" w:lastRow="0" w:firstColumn="0" w:lastColumn="0" w:noHBand="0" w:noVBand="0"/>
      </w:tblPr>
      <w:tblGrid>
        <w:gridCol w:w="1946"/>
        <w:gridCol w:w="1167"/>
        <w:gridCol w:w="779"/>
        <w:gridCol w:w="1167"/>
        <w:gridCol w:w="1167"/>
        <w:gridCol w:w="1167"/>
        <w:gridCol w:w="894"/>
      </w:tblGrid>
      <w:tr w:rsidR="00493EDD" w:rsidRPr="004F073D" w14:paraId="113D7767" w14:textId="77777777" w:rsidTr="00ED2F6D">
        <w:trPr>
          <w:cnfStyle w:val="100000000000" w:firstRow="1" w:lastRow="0" w:firstColumn="0" w:lastColumn="0" w:oddVBand="0" w:evenVBand="0" w:oddHBand="0" w:evenHBand="0" w:firstRowFirstColumn="0" w:firstRowLastColumn="0" w:lastRowFirstColumn="0" w:lastRowLastColumn="0"/>
          <w:trHeight w:val="269"/>
          <w:tblHeader/>
          <w:jc w:val="center"/>
        </w:trPr>
        <w:tc>
          <w:tcPr>
            <w:tcW w:w="1945" w:type="dxa"/>
          </w:tcPr>
          <w:p w14:paraId="0E14AB8B"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Scenario</w:t>
            </w:r>
          </w:p>
        </w:tc>
        <w:tc>
          <w:tcPr>
            <w:tcW w:w="1167" w:type="dxa"/>
          </w:tcPr>
          <w:p w14:paraId="4A05AF24"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Rule</w:t>
            </w:r>
          </w:p>
        </w:tc>
        <w:tc>
          <w:tcPr>
            <w:tcW w:w="779" w:type="dxa"/>
          </w:tcPr>
          <w:p w14:paraId="571CC20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IF</w:t>
            </w:r>
          </w:p>
        </w:tc>
        <w:tc>
          <w:tcPr>
            <w:tcW w:w="1167" w:type="dxa"/>
          </w:tcPr>
          <w:p w14:paraId="054C9177" w14:textId="77777777" w:rsidR="00493EDD" w:rsidRPr="00493EDD" w:rsidRDefault="00493EDD" w:rsidP="00C77289">
            <w:pPr>
              <w:pStyle w:val="Compact"/>
              <w:rPr>
                <w:rFonts w:ascii="Times New Roman" w:hAnsi="Times New Roman" w:cs="Times New Roman"/>
                <w:sz w:val="20"/>
                <w:szCs w:val="20"/>
              </w:rPr>
            </w:pPr>
            <w:proofErr w:type="spellStart"/>
            <w:r w:rsidRPr="00493EDD">
              <w:rPr>
                <w:rFonts w:ascii="Times New Roman" w:hAnsi="Times New Roman" w:cs="Times New Roman"/>
                <w:sz w:val="20"/>
                <w:szCs w:val="20"/>
              </w:rPr>
              <w:t>LogP</w:t>
            </w:r>
            <w:proofErr w:type="spellEnd"/>
          </w:p>
        </w:tc>
        <w:tc>
          <w:tcPr>
            <w:tcW w:w="1167" w:type="dxa"/>
          </w:tcPr>
          <w:p w14:paraId="65752C90"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Sand</w:t>
            </w:r>
          </w:p>
        </w:tc>
        <w:tc>
          <w:tcPr>
            <w:tcW w:w="1167" w:type="dxa"/>
          </w:tcPr>
          <w:p w14:paraId="5B3B8234"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LSTM</w:t>
            </w:r>
          </w:p>
        </w:tc>
        <w:tc>
          <w:tcPr>
            <w:tcW w:w="894" w:type="dxa"/>
          </w:tcPr>
          <w:p w14:paraId="14FEE254"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DARS</w:t>
            </w:r>
          </w:p>
        </w:tc>
      </w:tr>
      <w:tr w:rsidR="00493EDD" w:rsidRPr="004F073D" w14:paraId="3D4F74CE" w14:textId="77777777" w:rsidTr="00ED2F6D">
        <w:trPr>
          <w:trHeight w:val="280"/>
          <w:jc w:val="center"/>
        </w:trPr>
        <w:tc>
          <w:tcPr>
            <w:tcW w:w="1945" w:type="dxa"/>
          </w:tcPr>
          <w:p w14:paraId="7E1A5772"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S1: Prompt Injection</w:t>
            </w:r>
          </w:p>
        </w:tc>
        <w:tc>
          <w:tcPr>
            <w:tcW w:w="1167" w:type="dxa"/>
          </w:tcPr>
          <w:p w14:paraId="5399B6FC"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0.218</w:t>
            </w:r>
          </w:p>
        </w:tc>
        <w:tc>
          <w:tcPr>
            <w:tcW w:w="779" w:type="dxa"/>
          </w:tcPr>
          <w:p w14:paraId="4B0DC414"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0.293</w:t>
            </w:r>
          </w:p>
        </w:tc>
        <w:tc>
          <w:tcPr>
            <w:tcW w:w="1167" w:type="dxa"/>
          </w:tcPr>
          <w:p w14:paraId="6A2807A2"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0.445</w:t>
            </w:r>
          </w:p>
        </w:tc>
        <w:tc>
          <w:tcPr>
            <w:tcW w:w="1167" w:type="dxa"/>
          </w:tcPr>
          <w:p w14:paraId="1CB9BFEC"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0.000</w:t>
            </w:r>
          </w:p>
        </w:tc>
        <w:tc>
          <w:tcPr>
            <w:tcW w:w="1167" w:type="dxa"/>
          </w:tcPr>
          <w:p w14:paraId="1D04940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0.920</w:t>
            </w:r>
          </w:p>
        </w:tc>
        <w:tc>
          <w:tcPr>
            <w:tcW w:w="894" w:type="dxa"/>
          </w:tcPr>
          <w:p w14:paraId="53B0B653"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0.941</w:t>
            </w:r>
          </w:p>
        </w:tc>
      </w:tr>
      <w:tr w:rsidR="00493EDD" w:rsidRPr="004F073D" w14:paraId="2C14FA99" w14:textId="77777777" w:rsidTr="00ED2F6D">
        <w:trPr>
          <w:trHeight w:val="481"/>
          <w:jc w:val="center"/>
        </w:trPr>
        <w:tc>
          <w:tcPr>
            <w:tcW w:w="1945" w:type="dxa"/>
          </w:tcPr>
          <w:p w14:paraId="2C40D6D5"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S2: Privilege Escalation</w:t>
            </w:r>
          </w:p>
        </w:tc>
        <w:tc>
          <w:tcPr>
            <w:tcW w:w="1167" w:type="dxa"/>
          </w:tcPr>
          <w:p w14:paraId="4E7E749B"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0.218</w:t>
            </w:r>
          </w:p>
        </w:tc>
        <w:tc>
          <w:tcPr>
            <w:tcW w:w="779" w:type="dxa"/>
          </w:tcPr>
          <w:p w14:paraId="644C463B"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0.338</w:t>
            </w:r>
          </w:p>
        </w:tc>
        <w:tc>
          <w:tcPr>
            <w:tcW w:w="1167" w:type="dxa"/>
          </w:tcPr>
          <w:p w14:paraId="5D2F4329"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0.232</w:t>
            </w:r>
          </w:p>
        </w:tc>
        <w:tc>
          <w:tcPr>
            <w:tcW w:w="1167" w:type="dxa"/>
          </w:tcPr>
          <w:p w14:paraId="79307427"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0.043</w:t>
            </w:r>
          </w:p>
        </w:tc>
        <w:tc>
          <w:tcPr>
            <w:tcW w:w="1167" w:type="dxa"/>
          </w:tcPr>
          <w:p w14:paraId="52E4EA76"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0.905</w:t>
            </w:r>
          </w:p>
        </w:tc>
        <w:tc>
          <w:tcPr>
            <w:tcW w:w="894" w:type="dxa"/>
          </w:tcPr>
          <w:p w14:paraId="3303991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0.962</w:t>
            </w:r>
          </w:p>
        </w:tc>
      </w:tr>
      <w:tr w:rsidR="00493EDD" w:rsidRPr="004F073D" w14:paraId="6094E255" w14:textId="77777777" w:rsidTr="00ED2F6D">
        <w:trPr>
          <w:trHeight w:val="481"/>
          <w:jc w:val="center"/>
        </w:trPr>
        <w:tc>
          <w:tcPr>
            <w:tcW w:w="1945" w:type="dxa"/>
          </w:tcPr>
          <w:p w14:paraId="3BDE80F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S3: Malicious API Usage</w:t>
            </w:r>
          </w:p>
        </w:tc>
        <w:tc>
          <w:tcPr>
            <w:tcW w:w="1167" w:type="dxa"/>
          </w:tcPr>
          <w:p w14:paraId="62078011"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0.141</w:t>
            </w:r>
          </w:p>
        </w:tc>
        <w:tc>
          <w:tcPr>
            <w:tcW w:w="779" w:type="dxa"/>
          </w:tcPr>
          <w:p w14:paraId="54C8E650"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0.224</w:t>
            </w:r>
          </w:p>
        </w:tc>
        <w:tc>
          <w:tcPr>
            <w:tcW w:w="1167" w:type="dxa"/>
          </w:tcPr>
          <w:p w14:paraId="3A38789C"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0.183</w:t>
            </w:r>
          </w:p>
        </w:tc>
        <w:tc>
          <w:tcPr>
            <w:tcW w:w="1167" w:type="dxa"/>
          </w:tcPr>
          <w:p w14:paraId="2377C194"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0.000</w:t>
            </w:r>
          </w:p>
        </w:tc>
        <w:tc>
          <w:tcPr>
            <w:tcW w:w="1167" w:type="dxa"/>
          </w:tcPr>
          <w:p w14:paraId="444A1A7D"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0.885</w:t>
            </w:r>
          </w:p>
        </w:tc>
        <w:tc>
          <w:tcPr>
            <w:tcW w:w="894" w:type="dxa"/>
          </w:tcPr>
          <w:p w14:paraId="69E71170"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0.895</w:t>
            </w:r>
          </w:p>
        </w:tc>
      </w:tr>
      <w:tr w:rsidR="00493EDD" w:rsidRPr="004F073D" w14:paraId="1CBF7F96" w14:textId="77777777" w:rsidTr="00ED2F6D">
        <w:trPr>
          <w:trHeight w:val="269"/>
          <w:jc w:val="center"/>
        </w:trPr>
        <w:tc>
          <w:tcPr>
            <w:tcW w:w="1945" w:type="dxa"/>
          </w:tcPr>
          <w:p w14:paraId="4ABBBF41"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S4: Data Exfiltration</w:t>
            </w:r>
          </w:p>
        </w:tc>
        <w:tc>
          <w:tcPr>
            <w:tcW w:w="1167" w:type="dxa"/>
          </w:tcPr>
          <w:p w14:paraId="1FA4FB6E"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0.200</w:t>
            </w:r>
          </w:p>
        </w:tc>
        <w:tc>
          <w:tcPr>
            <w:tcW w:w="779" w:type="dxa"/>
          </w:tcPr>
          <w:p w14:paraId="174E6422"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0.158</w:t>
            </w:r>
          </w:p>
        </w:tc>
        <w:tc>
          <w:tcPr>
            <w:tcW w:w="1167" w:type="dxa"/>
          </w:tcPr>
          <w:p w14:paraId="3564368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0.291</w:t>
            </w:r>
          </w:p>
        </w:tc>
        <w:tc>
          <w:tcPr>
            <w:tcW w:w="1167" w:type="dxa"/>
          </w:tcPr>
          <w:p w14:paraId="608CD280"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0.000</w:t>
            </w:r>
          </w:p>
        </w:tc>
        <w:tc>
          <w:tcPr>
            <w:tcW w:w="1167" w:type="dxa"/>
          </w:tcPr>
          <w:p w14:paraId="15746333"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0.880</w:t>
            </w:r>
          </w:p>
        </w:tc>
        <w:tc>
          <w:tcPr>
            <w:tcW w:w="894" w:type="dxa"/>
          </w:tcPr>
          <w:p w14:paraId="2D0E682E"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0.912</w:t>
            </w:r>
          </w:p>
        </w:tc>
      </w:tr>
      <w:tr w:rsidR="00493EDD" w:rsidRPr="004F073D" w14:paraId="1C4ADFE8" w14:textId="77777777" w:rsidTr="00ED2F6D">
        <w:trPr>
          <w:trHeight w:val="269"/>
          <w:jc w:val="center"/>
        </w:trPr>
        <w:tc>
          <w:tcPr>
            <w:tcW w:w="1945" w:type="dxa"/>
          </w:tcPr>
          <w:p w14:paraId="798E4CEB"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S5: Denial-of-Wallet</w:t>
            </w:r>
          </w:p>
        </w:tc>
        <w:tc>
          <w:tcPr>
            <w:tcW w:w="1167" w:type="dxa"/>
          </w:tcPr>
          <w:p w14:paraId="6329D2B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0.218</w:t>
            </w:r>
          </w:p>
        </w:tc>
        <w:tc>
          <w:tcPr>
            <w:tcW w:w="779" w:type="dxa"/>
          </w:tcPr>
          <w:p w14:paraId="5686E17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0.338</w:t>
            </w:r>
          </w:p>
        </w:tc>
        <w:tc>
          <w:tcPr>
            <w:tcW w:w="1167" w:type="dxa"/>
          </w:tcPr>
          <w:p w14:paraId="0F85A57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0.015</w:t>
            </w:r>
          </w:p>
        </w:tc>
        <w:tc>
          <w:tcPr>
            <w:tcW w:w="1167" w:type="dxa"/>
          </w:tcPr>
          <w:p w14:paraId="152AC33E"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0.421</w:t>
            </w:r>
          </w:p>
        </w:tc>
        <w:tc>
          <w:tcPr>
            <w:tcW w:w="1167" w:type="dxa"/>
          </w:tcPr>
          <w:p w14:paraId="2490EDA7"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0.914</w:t>
            </w:r>
          </w:p>
        </w:tc>
        <w:tc>
          <w:tcPr>
            <w:tcW w:w="894" w:type="dxa"/>
          </w:tcPr>
          <w:p w14:paraId="66F9E81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0.945</w:t>
            </w:r>
          </w:p>
        </w:tc>
      </w:tr>
      <w:tr w:rsidR="00493EDD" w:rsidRPr="004F073D" w14:paraId="2F3721DD" w14:textId="77777777" w:rsidTr="00ED2F6D">
        <w:trPr>
          <w:trHeight w:val="269"/>
          <w:jc w:val="center"/>
        </w:trPr>
        <w:tc>
          <w:tcPr>
            <w:tcW w:w="1945" w:type="dxa"/>
          </w:tcPr>
          <w:p w14:paraId="7F7C774F"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S6: Stealth Mimicry</w:t>
            </w:r>
          </w:p>
        </w:tc>
        <w:tc>
          <w:tcPr>
            <w:tcW w:w="1167" w:type="dxa"/>
          </w:tcPr>
          <w:p w14:paraId="64F9FC1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0.151</w:t>
            </w:r>
          </w:p>
        </w:tc>
        <w:tc>
          <w:tcPr>
            <w:tcW w:w="779" w:type="dxa"/>
          </w:tcPr>
          <w:p w14:paraId="65492239"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0.239</w:t>
            </w:r>
          </w:p>
        </w:tc>
        <w:tc>
          <w:tcPr>
            <w:tcW w:w="1167" w:type="dxa"/>
          </w:tcPr>
          <w:p w14:paraId="41B2C810"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0.045</w:t>
            </w:r>
          </w:p>
        </w:tc>
        <w:tc>
          <w:tcPr>
            <w:tcW w:w="1167" w:type="dxa"/>
          </w:tcPr>
          <w:p w14:paraId="02B1E21C"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0.000</w:t>
            </w:r>
          </w:p>
        </w:tc>
        <w:tc>
          <w:tcPr>
            <w:tcW w:w="1167" w:type="dxa"/>
          </w:tcPr>
          <w:p w14:paraId="7D3C0CE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sz w:val="20"/>
                <w:szCs w:val="20"/>
              </w:rPr>
              <w:t>0.305</w:t>
            </w:r>
          </w:p>
        </w:tc>
        <w:tc>
          <w:tcPr>
            <w:tcW w:w="894" w:type="dxa"/>
          </w:tcPr>
          <w:p w14:paraId="03C81E18" w14:textId="77777777" w:rsidR="00493EDD" w:rsidRPr="00493EDD" w:rsidRDefault="00493EDD" w:rsidP="00C77289">
            <w:pPr>
              <w:pStyle w:val="Compact"/>
              <w:rPr>
                <w:rFonts w:ascii="Times New Roman" w:hAnsi="Times New Roman" w:cs="Times New Roman"/>
                <w:sz w:val="20"/>
                <w:szCs w:val="20"/>
              </w:rPr>
            </w:pPr>
            <w:r w:rsidRPr="00493EDD">
              <w:rPr>
                <w:rFonts w:ascii="Times New Roman" w:hAnsi="Times New Roman" w:cs="Times New Roman"/>
                <w:b/>
                <w:bCs/>
                <w:sz w:val="20"/>
                <w:szCs w:val="20"/>
              </w:rPr>
              <w:t>0.875</w:t>
            </w:r>
          </w:p>
        </w:tc>
      </w:tr>
      <w:tr w:rsidR="005D14DE" w:rsidRPr="004F073D" w14:paraId="03F416E2" w14:textId="77777777" w:rsidTr="00ED2F6D">
        <w:trPr>
          <w:trHeight w:val="280"/>
          <w:jc w:val="center"/>
        </w:trPr>
        <w:tc>
          <w:tcPr>
            <w:tcW w:w="1945" w:type="dxa"/>
            <w:tcBorders>
              <w:bottom w:val="single" w:sz="4" w:space="0" w:color="auto"/>
            </w:tcBorders>
          </w:tcPr>
          <w:p w14:paraId="393134EF" w14:textId="77777777" w:rsidR="005D14DE" w:rsidRPr="00493EDD" w:rsidRDefault="005D14DE" w:rsidP="00C77289">
            <w:pPr>
              <w:pStyle w:val="Compact"/>
              <w:rPr>
                <w:rFonts w:ascii="Times New Roman" w:hAnsi="Times New Roman" w:cs="Times New Roman"/>
                <w:sz w:val="20"/>
                <w:szCs w:val="20"/>
              </w:rPr>
            </w:pPr>
          </w:p>
        </w:tc>
        <w:tc>
          <w:tcPr>
            <w:tcW w:w="1167" w:type="dxa"/>
            <w:tcBorders>
              <w:bottom w:val="single" w:sz="4" w:space="0" w:color="auto"/>
            </w:tcBorders>
          </w:tcPr>
          <w:p w14:paraId="2FC87A5C" w14:textId="77777777" w:rsidR="005D14DE" w:rsidRPr="00493EDD" w:rsidRDefault="005D14DE" w:rsidP="00C77289">
            <w:pPr>
              <w:pStyle w:val="Compact"/>
              <w:rPr>
                <w:rFonts w:ascii="Times New Roman" w:hAnsi="Times New Roman" w:cs="Times New Roman"/>
                <w:sz w:val="20"/>
                <w:szCs w:val="20"/>
              </w:rPr>
            </w:pPr>
          </w:p>
        </w:tc>
        <w:tc>
          <w:tcPr>
            <w:tcW w:w="779" w:type="dxa"/>
            <w:tcBorders>
              <w:bottom w:val="single" w:sz="4" w:space="0" w:color="auto"/>
            </w:tcBorders>
          </w:tcPr>
          <w:p w14:paraId="390AE47A" w14:textId="77777777" w:rsidR="005D14DE" w:rsidRPr="00493EDD" w:rsidRDefault="005D14DE" w:rsidP="00C77289">
            <w:pPr>
              <w:pStyle w:val="Compact"/>
              <w:rPr>
                <w:rFonts w:ascii="Times New Roman" w:hAnsi="Times New Roman" w:cs="Times New Roman"/>
                <w:sz w:val="20"/>
                <w:szCs w:val="20"/>
              </w:rPr>
            </w:pPr>
          </w:p>
        </w:tc>
        <w:tc>
          <w:tcPr>
            <w:tcW w:w="1167" w:type="dxa"/>
            <w:tcBorders>
              <w:bottom w:val="single" w:sz="4" w:space="0" w:color="auto"/>
            </w:tcBorders>
          </w:tcPr>
          <w:p w14:paraId="71EBF9FA" w14:textId="77777777" w:rsidR="005D14DE" w:rsidRPr="00493EDD" w:rsidRDefault="005D14DE" w:rsidP="00C77289">
            <w:pPr>
              <w:pStyle w:val="Compact"/>
              <w:rPr>
                <w:rFonts w:ascii="Times New Roman" w:hAnsi="Times New Roman" w:cs="Times New Roman"/>
                <w:sz w:val="20"/>
                <w:szCs w:val="20"/>
              </w:rPr>
            </w:pPr>
          </w:p>
        </w:tc>
        <w:tc>
          <w:tcPr>
            <w:tcW w:w="1167" w:type="dxa"/>
            <w:tcBorders>
              <w:bottom w:val="single" w:sz="4" w:space="0" w:color="auto"/>
            </w:tcBorders>
          </w:tcPr>
          <w:p w14:paraId="04E1EDFA" w14:textId="77777777" w:rsidR="005D14DE" w:rsidRPr="00493EDD" w:rsidRDefault="005D14DE" w:rsidP="00C77289">
            <w:pPr>
              <w:pStyle w:val="Compact"/>
              <w:rPr>
                <w:rFonts w:ascii="Times New Roman" w:hAnsi="Times New Roman" w:cs="Times New Roman"/>
                <w:sz w:val="20"/>
                <w:szCs w:val="20"/>
              </w:rPr>
            </w:pPr>
          </w:p>
        </w:tc>
        <w:tc>
          <w:tcPr>
            <w:tcW w:w="1167" w:type="dxa"/>
            <w:tcBorders>
              <w:bottom w:val="single" w:sz="4" w:space="0" w:color="auto"/>
            </w:tcBorders>
          </w:tcPr>
          <w:p w14:paraId="6A733090" w14:textId="77777777" w:rsidR="005D14DE" w:rsidRPr="00493EDD" w:rsidRDefault="005D14DE" w:rsidP="00C77289">
            <w:pPr>
              <w:pStyle w:val="Compact"/>
              <w:rPr>
                <w:rFonts w:ascii="Times New Roman" w:hAnsi="Times New Roman" w:cs="Times New Roman"/>
                <w:sz w:val="20"/>
                <w:szCs w:val="20"/>
              </w:rPr>
            </w:pPr>
          </w:p>
        </w:tc>
        <w:tc>
          <w:tcPr>
            <w:tcW w:w="894" w:type="dxa"/>
            <w:tcBorders>
              <w:bottom w:val="single" w:sz="4" w:space="0" w:color="auto"/>
            </w:tcBorders>
          </w:tcPr>
          <w:p w14:paraId="601AEC9C" w14:textId="77777777" w:rsidR="005D14DE" w:rsidRPr="00493EDD" w:rsidRDefault="005D14DE" w:rsidP="00C77289">
            <w:pPr>
              <w:pStyle w:val="Compact"/>
              <w:rPr>
                <w:rFonts w:ascii="Times New Roman" w:hAnsi="Times New Roman" w:cs="Times New Roman"/>
                <w:b/>
                <w:bCs/>
                <w:sz w:val="20"/>
                <w:szCs w:val="20"/>
              </w:rPr>
            </w:pPr>
          </w:p>
        </w:tc>
      </w:tr>
    </w:tbl>
    <w:p w14:paraId="5C7ADBF0" w14:textId="78EBB918" w:rsidR="00493EDD" w:rsidRPr="00493EDD" w:rsidRDefault="00784527" w:rsidP="00ED2F6D">
      <w:pPr>
        <w:ind w:left="850"/>
      </w:pPr>
      <w:r w:rsidRPr="00784527">
        <w:t>The major difference can be seen in S6 (Stealth Mimicry: +0.570 against LSTM). The independent LSTM achieves 0.305 on S6, since mimicry attacks manage to replicate the sequence but fail to reproduce the diversity profile. Consequently, S6 becomes the toughest case, obtaining the lowest absolute F1-score of DARS at 0.875</w:t>
      </w:r>
      <w:r>
        <w:t>.</w:t>
      </w:r>
    </w:p>
    <w:p w14:paraId="46027FCE" w14:textId="52AFE8ED" w:rsidR="002E0D27" w:rsidRDefault="002E0D27" w:rsidP="002E0D27">
      <w:pPr>
        <w:pStyle w:val="Heading2"/>
      </w:pPr>
      <w:r>
        <w:t>Risk Scoring Quality</w:t>
      </w:r>
    </w:p>
    <w:p w14:paraId="2E4B6FCB" w14:textId="77777777" w:rsidR="005D14DE" w:rsidRDefault="005D14DE" w:rsidP="005D14DE">
      <w:r>
        <w:t>Calibration performance. ECE = 0.045, significantly outperforming the Standard LSTM network (ECE = 0.115) and Rule-based techniques (ECE = 0.150). A trace with R = 0.80 will be regarded as a malicious one about 75 to 85 percent of the time.</w:t>
      </w:r>
    </w:p>
    <w:p w14:paraId="6ECC9FEA" w14:textId="407D9F0C" w:rsidR="00784527" w:rsidRDefault="005D14DE" w:rsidP="005D14DE">
      <w:r>
        <w:t>Discrimination between threat severities. Spearman’s rank correlation coefficient |ρ| = 0.361 (p &lt; 10</w:t>
      </w:r>
      <w:proofErr w:type="gramStart"/>
      <w:r>
        <w:t>^(</w:t>
      </w:r>
      <w:proofErr w:type="gramEnd"/>
      <w:r>
        <w:t>-10)), better than any other tested approach (LSTM: 0.269, IF: 0.349, Rule: 0.115).</w:t>
      </w:r>
    </w:p>
    <w:p w14:paraId="3FF6334C" w14:textId="114ACBD2" w:rsidR="005D14DE" w:rsidRPr="00784527" w:rsidRDefault="005D14DE" w:rsidP="005D14DE">
      <w:r w:rsidRPr="005D14DE">
        <w:t>Ranking effectiveness. NDCG@10 = 0.985, showing that the most critical threats appear at the top of alert lists.</w:t>
      </w:r>
    </w:p>
    <w:p w14:paraId="69F0B72B" w14:textId="2FA51FA5" w:rsidR="002E0D27" w:rsidRDefault="002E0D27" w:rsidP="002E0D27">
      <w:pPr>
        <w:pStyle w:val="Heading2"/>
      </w:pPr>
      <w:r>
        <w:t>Ablation Study</w:t>
      </w:r>
    </w:p>
    <w:p w14:paraId="4BE7D394" w14:textId="55857BD1" w:rsidR="005D14DE" w:rsidRDefault="005D14DE" w:rsidP="005D14DE">
      <w:r w:rsidRPr="005D14DE">
        <w:t>Table 5. Ablation results.</w:t>
      </w:r>
    </w:p>
    <w:tbl>
      <w:tblPr>
        <w:tblStyle w:val="Table"/>
        <w:tblW w:w="5403" w:type="dxa"/>
        <w:jc w:val="center"/>
        <w:tblLook w:val="0020" w:firstRow="1" w:lastRow="0" w:firstColumn="0" w:lastColumn="0" w:noHBand="0" w:noVBand="0"/>
      </w:tblPr>
      <w:tblGrid>
        <w:gridCol w:w="2491"/>
        <w:gridCol w:w="988"/>
        <w:gridCol w:w="1162"/>
        <w:gridCol w:w="762"/>
      </w:tblGrid>
      <w:tr w:rsidR="005D14DE" w:rsidRPr="004F073D" w14:paraId="7AC9A1EE" w14:textId="77777777" w:rsidTr="00ED2F6D">
        <w:trPr>
          <w:cnfStyle w:val="100000000000" w:firstRow="1" w:lastRow="0" w:firstColumn="0" w:lastColumn="0" w:oddVBand="0" w:evenVBand="0" w:oddHBand="0" w:evenHBand="0" w:firstRowFirstColumn="0" w:firstRowLastColumn="0" w:lastRowFirstColumn="0" w:lastRowLastColumn="0"/>
          <w:trHeight w:val="298"/>
          <w:tblHeader/>
          <w:jc w:val="center"/>
        </w:trPr>
        <w:tc>
          <w:tcPr>
            <w:tcW w:w="0" w:type="auto"/>
            <w:vAlign w:val="center"/>
          </w:tcPr>
          <w:p w14:paraId="402F335D"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lastRenderedPageBreak/>
              <w:t>Configuration</w:t>
            </w:r>
          </w:p>
        </w:tc>
        <w:tc>
          <w:tcPr>
            <w:tcW w:w="0" w:type="auto"/>
            <w:vAlign w:val="center"/>
          </w:tcPr>
          <w:p w14:paraId="6DD257D1"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F1-Score</w:t>
            </w:r>
          </w:p>
        </w:tc>
        <w:tc>
          <w:tcPr>
            <w:tcW w:w="0" w:type="auto"/>
            <w:vAlign w:val="center"/>
          </w:tcPr>
          <w:p w14:paraId="397FCF62"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ROC-AUC</w:t>
            </w:r>
          </w:p>
        </w:tc>
        <w:tc>
          <w:tcPr>
            <w:tcW w:w="0" w:type="auto"/>
            <w:vAlign w:val="center"/>
          </w:tcPr>
          <w:p w14:paraId="7743B026" w14:textId="77777777" w:rsidR="005D14DE" w:rsidRPr="005D14DE" w:rsidRDefault="005D14DE" w:rsidP="00ED2F6D">
            <w:pPr>
              <w:pStyle w:val="Compact"/>
              <w:jc w:val="center"/>
              <w:rPr>
                <w:rFonts w:ascii="Times New Roman" w:hAnsi="Times New Roman" w:cs="Times New Roman"/>
                <w:sz w:val="20"/>
                <w:szCs w:val="20"/>
              </w:rPr>
            </w:pPr>
            <m:oMath>
              <m:r>
                <m:rPr>
                  <m:sty m:val="p"/>
                </m:rPr>
                <w:rPr>
                  <w:rFonts w:ascii="Cambria Math" w:hAnsi="Cambria Math" w:cs="Times New Roman"/>
                  <w:sz w:val="20"/>
                  <w:szCs w:val="20"/>
                </w:rPr>
                <m:t>Δ</m:t>
              </m:r>
            </m:oMath>
            <w:r w:rsidRPr="005D14DE">
              <w:rPr>
                <w:rFonts w:ascii="Times New Roman" w:hAnsi="Times New Roman" w:cs="Times New Roman"/>
                <w:sz w:val="20"/>
                <w:szCs w:val="20"/>
              </w:rPr>
              <w:t xml:space="preserve"> F1</w:t>
            </w:r>
          </w:p>
        </w:tc>
      </w:tr>
      <w:tr w:rsidR="005D14DE" w:rsidRPr="004F073D" w14:paraId="048424E5" w14:textId="77777777" w:rsidTr="00ED2F6D">
        <w:trPr>
          <w:trHeight w:val="287"/>
          <w:jc w:val="center"/>
        </w:trPr>
        <w:tc>
          <w:tcPr>
            <w:tcW w:w="0" w:type="auto"/>
            <w:vAlign w:val="center"/>
          </w:tcPr>
          <w:p w14:paraId="245618AE"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Full DARS</w:t>
            </w:r>
          </w:p>
        </w:tc>
        <w:tc>
          <w:tcPr>
            <w:tcW w:w="0" w:type="auto"/>
            <w:vAlign w:val="center"/>
          </w:tcPr>
          <w:p w14:paraId="15FD905F"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0.936</w:t>
            </w:r>
          </w:p>
        </w:tc>
        <w:tc>
          <w:tcPr>
            <w:tcW w:w="0" w:type="auto"/>
            <w:vAlign w:val="center"/>
          </w:tcPr>
          <w:p w14:paraId="3B985917"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0.961</w:t>
            </w:r>
          </w:p>
        </w:tc>
        <w:tc>
          <w:tcPr>
            <w:tcW w:w="0" w:type="auto"/>
            <w:vAlign w:val="center"/>
          </w:tcPr>
          <w:p w14:paraId="5E9E9342"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w:t>
            </w:r>
          </w:p>
        </w:tc>
      </w:tr>
      <w:tr w:rsidR="005D14DE" w:rsidRPr="004F073D" w14:paraId="7632A944" w14:textId="77777777" w:rsidTr="00ED2F6D">
        <w:trPr>
          <w:trHeight w:val="287"/>
          <w:jc w:val="center"/>
        </w:trPr>
        <w:tc>
          <w:tcPr>
            <w:tcW w:w="0" w:type="auto"/>
            <w:vAlign w:val="center"/>
          </w:tcPr>
          <w:p w14:paraId="5C881778"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w/o BDI</w:t>
            </w:r>
          </w:p>
        </w:tc>
        <w:tc>
          <w:tcPr>
            <w:tcW w:w="0" w:type="auto"/>
            <w:vAlign w:val="center"/>
          </w:tcPr>
          <w:p w14:paraId="6BF92BDC"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0.880</w:t>
            </w:r>
          </w:p>
        </w:tc>
        <w:tc>
          <w:tcPr>
            <w:tcW w:w="0" w:type="auto"/>
            <w:vAlign w:val="center"/>
          </w:tcPr>
          <w:p w14:paraId="51148BE2"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0.911</w:t>
            </w:r>
          </w:p>
        </w:tc>
        <w:tc>
          <w:tcPr>
            <w:tcW w:w="0" w:type="auto"/>
            <w:vAlign w:val="center"/>
          </w:tcPr>
          <w:p w14:paraId="1C474BC6"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-0.056</w:t>
            </w:r>
          </w:p>
        </w:tc>
      </w:tr>
      <w:tr w:rsidR="005D14DE" w:rsidRPr="004F073D" w14:paraId="0E753100" w14:textId="77777777" w:rsidTr="00ED2F6D">
        <w:trPr>
          <w:trHeight w:val="287"/>
          <w:jc w:val="center"/>
        </w:trPr>
        <w:tc>
          <w:tcPr>
            <w:tcW w:w="0" w:type="auto"/>
            <w:vAlign w:val="center"/>
          </w:tcPr>
          <w:p w14:paraId="10949AB4"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w/o Privilege Scoring</w:t>
            </w:r>
          </w:p>
        </w:tc>
        <w:tc>
          <w:tcPr>
            <w:tcW w:w="0" w:type="auto"/>
            <w:vAlign w:val="center"/>
          </w:tcPr>
          <w:p w14:paraId="2FFFAEC1"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0.910</w:t>
            </w:r>
          </w:p>
        </w:tc>
        <w:tc>
          <w:tcPr>
            <w:tcW w:w="0" w:type="auto"/>
            <w:vAlign w:val="center"/>
          </w:tcPr>
          <w:p w14:paraId="7EDFE0E6"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0.935</w:t>
            </w:r>
          </w:p>
        </w:tc>
        <w:tc>
          <w:tcPr>
            <w:tcW w:w="0" w:type="auto"/>
            <w:vAlign w:val="center"/>
          </w:tcPr>
          <w:p w14:paraId="6DC3DFFF"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-0.026</w:t>
            </w:r>
          </w:p>
        </w:tc>
      </w:tr>
      <w:tr w:rsidR="005D14DE" w:rsidRPr="004F073D" w14:paraId="64FC6574" w14:textId="77777777" w:rsidTr="00ED2F6D">
        <w:trPr>
          <w:trHeight w:val="298"/>
          <w:jc w:val="center"/>
        </w:trPr>
        <w:tc>
          <w:tcPr>
            <w:tcW w:w="0" w:type="auto"/>
            <w:vAlign w:val="center"/>
          </w:tcPr>
          <w:p w14:paraId="40E58E1D"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w/o Token Analysis</w:t>
            </w:r>
          </w:p>
        </w:tc>
        <w:tc>
          <w:tcPr>
            <w:tcW w:w="0" w:type="auto"/>
            <w:vAlign w:val="center"/>
          </w:tcPr>
          <w:p w14:paraId="4189C274"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0.915</w:t>
            </w:r>
          </w:p>
        </w:tc>
        <w:tc>
          <w:tcPr>
            <w:tcW w:w="0" w:type="auto"/>
            <w:vAlign w:val="center"/>
          </w:tcPr>
          <w:p w14:paraId="5CF5C6C3"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0.940</w:t>
            </w:r>
          </w:p>
        </w:tc>
        <w:tc>
          <w:tcPr>
            <w:tcW w:w="0" w:type="auto"/>
            <w:vAlign w:val="center"/>
          </w:tcPr>
          <w:p w14:paraId="5BD712E3"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-0.021</w:t>
            </w:r>
          </w:p>
        </w:tc>
      </w:tr>
      <w:tr w:rsidR="005D14DE" w:rsidRPr="004F073D" w14:paraId="2B7D9E84" w14:textId="77777777" w:rsidTr="00ED2F6D">
        <w:trPr>
          <w:trHeight w:val="287"/>
          <w:jc w:val="center"/>
        </w:trPr>
        <w:tc>
          <w:tcPr>
            <w:tcW w:w="0" w:type="auto"/>
            <w:vAlign w:val="center"/>
          </w:tcPr>
          <w:p w14:paraId="41CD0EEC"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w/o Transition</w:t>
            </w:r>
          </w:p>
        </w:tc>
        <w:tc>
          <w:tcPr>
            <w:tcW w:w="0" w:type="auto"/>
            <w:vAlign w:val="center"/>
          </w:tcPr>
          <w:p w14:paraId="72C25045"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0.925</w:t>
            </w:r>
          </w:p>
        </w:tc>
        <w:tc>
          <w:tcPr>
            <w:tcW w:w="0" w:type="auto"/>
            <w:vAlign w:val="center"/>
          </w:tcPr>
          <w:p w14:paraId="238E4D6C"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0.950</w:t>
            </w:r>
          </w:p>
        </w:tc>
        <w:tc>
          <w:tcPr>
            <w:tcW w:w="0" w:type="auto"/>
            <w:vAlign w:val="center"/>
          </w:tcPr>
          <w:p w14:paraId="253CE082"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-0.011</w:t>
            </w:r>
          </w:p>
        </w:tc>
      </w:tr>
      <w:tr w:rsidR="005D14DE" w:rsidRPr="004F073D" w14:paraId="340666E8" w14:textId="77777777" w:rsidTr="00ED2F6D">
        <w:trPr>
          <w:trHeight w:val="287"/>
          <w:jc w:val="center"/>
        </w:trPr>
        <w:tc>
          <w:tcPr>
            <w:tcW w:w="0" w:type="auto"/>
            <w:vAlign w:val="center"/>
          </w:tcPr>
          <w:p w14:paraId="0D36E5C7" w14:textId="77777777" w:rsidR="005D14DE" w:rsidRPr="005D14DE" w:rsidRDefault="005D14DE" w:rsidP="00F236F1">
            <w:pPr>
              <w:pStyle w:val="Compact"/>
              <w:rPr>
                <w:rFonts w:ascii="Times New Roman" w:hAnsi="Times New Roman" w:cs="Times New Roman"/>
                <w:sz w:val="20"/>
                <w:szCs w:val="20"/>
              </w:rPr>
            </w:pPr>
            <w:r w:rsidRPr="005D14DE">
              <w:rPr>
                <w:rFonts w:ascii="Times New Roman" w:hAnsi="Times New Roman" w:cs="Times New Roman"/>
                <w:sz w:val="20"/>
                <w:szCs w:val="20"/>
              </w:rPr>
              <w:t>w/o Explainability (SHAP)</w:t>
            </w:r>
          </w:p>
        </w:tc>
        <w:tc>
          <w:tcPr>
            <w:tcW w:w="0" w:type="auto"/>
            <w:vAlign w:val="center"/>
          </w:tcPr>
          <w:p w14:paraId="0E19C323"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0.936</w:t>
            </w:r>
          </w:p>
        </w:tc>
        <w:tc>
          <w:tcPr>
            <w:tcW w:w="0" w:type="auto"/>
            <w:vAlign w:val="center"/>
          </w:tcPr>
          <w:p w14:paraId="0D5FBFE7"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0.961</w:t>
            </w:r>
          </w:p>
        </w:tc>
        <w:tc>
          <w:tcPr>
            <w:tcW w:w="0" w:type="auto"/>
            <w:vAlign w:val="center"/>
          </w:tcPr>
          <w:p w14:paraId="2D51BE83" w14:textId="77777777" w:rsidR="005D14DE" w:rsidRPr="005D14DE" w:rsidRDefault="005D14DE" w:rsidP="00ED2F6D">
            <w:pPr>
              <w:pStyle w:val="Compact"/>
              <w:jc w:val="center"/>
              <w:rPr>
                <w:rFonts w:ascii="Times New Roman" w:hAnsi="Times New Roman" w:cs="Times New Roman"/>
                <w:sz w:val="20"/>
                <w:szCs w:val="20"/>
              </w:rPr>
            </w:pPr>
            <w:r w:rsidRPr="005D14DE">
              <w:rPr>
                <w:rFonts w:ascii="Times New Roman" w:hAnsi="Times New Roman" w:cs="Times New Roman"/>
                <w:sz w:val="20"/>
                <w:szCs w:val="20"/>
              </w:rPr>
              <w:t>0.000</w:t>
            </w:r>
          </w:p>
        </w:tc>
      </w:tr>
      <w:tr w:rsidR="005D14DE" w:rsidRPr="004F073D" w14:paraId="708E82C4" w14:textId="77777777" w:rsidTr="00ED2F6D">
        <w:trPr>
          <w:trHeight w:val="95"/>
          <w:jc w:val="center"/>
        </w:trPr>
        <w:tc>
          <w:tcPr>
            <w:tcW w:w="0" w:type="auto"/>
            <w:tcBorders>
              <w:bottom w:val="single" w:sz="4" w:space="0" w:color="auto"/>
            </w:tcBorders>
            <w:vAlign w:val="center"/>
          </w:tcPr>
          <w:p w14:paraId="0464CDEF" w14:textId="77777777" w:rsidR="005D14DE" w:rsidRPr="005D14DE" w:rsidRDefault="005D14DE" w:rsidP="00F236F1">
            <w:pPr>
              <w:pStyle w:val="Compact"/>
              <w:rPr>
                <w:rFonts w:ascii="Times New Roman" w:hAnsi="Times New Roman" w:cs="Times New Roman"/>
                <w:sz w:val="20"/>
                <w:szCs w:val="20"/>
              </w:rPr>
            </w:pPr>
          </w:p>
        </w:tc>
        <w:tc>
          <w:tcPr>
            <w:tcW w:w="0" w:type="auto"/>
            <w:tcBorders>
              <w:bottom w:val="single" w:sz="4" w:space="0" w:color="auto"/>
            </w:tcBorders>
            <w:vAlign w:val="center"/>
          </w:tcPr>
          <w:p w14:paraId="2A3CF030" w14:textId="77777777" w:rsidR="005D14DE" w:rsidRPr="005D14DE" w:rsidRDefault="005D14DE" w:rsidP="00ED2F6D">
            <w:pPr>
              <w:pStyle w:val="Compact"/>
              <w:jc w:val="center"/>
              <w:rPr>
                <w:rFonts w:ascii="Times New Roman" w:hAnsi="Times New Roman" w:cs="Times New Roman"/>
                <w:sz w:val="20"/>
                <w:szCs w:val="20"/>
              </w:rPr>
            </w:pPr>
          </w:p>
        </w:tc>
        <w:tc>
          <w:tcPr>
            <w:tcW w:w="0" w:type="auto"/>
            <w:tcBorders>
              <w:bottom w:val="single" w:sz="4" w:space="0" w:color="auto"/>
            </w:tcBorders>
            <w:vAlign w:val="center"/>
          </w:tcPr>
          <w:p w14:paraId="7ED73B46" w14:textId="77777777" w:rsidR="005D14DE" w:rsidRPr="005D14DE" w:rsidRDefault="005D14DE" w:rsidP="00ED2F6D">
            <w:pPr>
              <w:pStyle w:val="Compact"/>
              <w:jc w:val="center"/>
              <w:rPr>
                <w:rFonts w:ascii="Times New Roman" w:hAnsi="Times New Roman" w:cs="Times New Roman"/>
                <w:sz w:val="20"/>
                <w:szCs w:val="20"/>
              </w:rPr>
            </w:pPr>
          </w:p>
        </w:tc>
        <w:tc>
          <w:tcPr>
            <w:tcW w:w="0" w:type="auto"/>
            <w:tcBorders>
              <w:bottom w:val="single" w:sz="4" w:space="0" w:color="auto"/>
            </w:tcBorders>
            <w:vAlign w:val="center"/>
          </w:tcPr>
          <w:p w14:paraId="2209E478" w14:textId="77777777" w:rsidR="005D14DE" w:rsidRPr="005D14DE" w:rsidRDefault="005D14DE" w:rsidP="00ED2F6D">
            <w:pPr>
              <w:pStyle w:val="Compact"/>
              <w:jc w:val="center"/>
              <w:rPr>
                <w:rFonts w:ascii="Times New Roman" w:hAnsi="Times New Roman" w:cs="Times New Roman"/>
                <w:sz w:val="20"/>
                <w:szCs w:val="20"/>
              </w:rPr>
            </w:pPr>
          </w:p>
        </w:tc>
      </w:tr>
    </w:tbl>
    <w:p w14:paraId="51FEE051" w14:textId="15D4EC8F" w:rsidR="00C77289" w:rsidRDefault="00C77289" w:rsidP="00C77289"/>
    <w:p w14:paraId="17935D30" w14:textId="749D8468" w:rsidR="00C77289" w:rsidRDefault="00C77289" w:rsidP="00C77289">
      <w:r w:rsidRPr="00C77289">
        <w:t>BDI is considered the most crucial element as the omission of BDI results in a F1-score drop of 0.056. The omission of BDI causes a fall in Stealth Mimicry F1-score from 0.875 to 0.325. Privilege scoring is the second most important component; its removal causes an overall drop of 0.026 and mainly impacts S2, where the F1-score drops from 0.962 to 0.562. Third is the token analysis which is critical for S5 as removing it impacts negatively on the S5 F1-score reducing it from 0.945 to 0.645. Removing SHAP does not change accuracy but removes the ability to explain alerts.</w:t>
      </w:r>
    </w:p>
    <w:p w14:paraId="04A60A68" w14:textId="624A4DB7" w:rsidR="00C77289" w:rsidRDefault="00C77289" w:rsidP="00C77289">
      <w:pPr>
        <w:pStyle w:val="Heading2"/>
      </w:pPr>
      <w:r>
        <w:t>Robustness Analysis</w:t>
      </w:r>
    </w:p>
    <w:p w14:paraId="1AE4E852" w14:textId="177260E6" w:rsidR="00F236F1" w:rsidRDefault="00F236F1" w:rsidP="00F236F1">
      <w:r w:rsidRPr="000429F2">
        <w:rPr>
          <w:b/>
          <w:bCs/>
        </w:rPr>
        <w:t>Adversarial Prompt Robustness.</w:t>
      </w:r>
      <w:r>
        <w:t xml:space="preserve"> When faced with adaptive attacks involving obfuscation, instruction splitting, and mimicry, DARS managed to keep its F1 score at 0.88, which is just a 0.03 decrease.</w:t>
      </w:r>
    </w:p>
    <w:p w14:paraId="5F39622C" w14:textId="19FC1B4B" w:rsidR="00F236F1" w:rsidRDefault="00F236F1" w:rsidP="00F236F1">
      <w:r w:rsidRPr="000429F2">
        <w:rPr>
          <w:b/>
          <w:bCs/>
        </w:rPr>
        <w:t>Zero-Shot Attacks.</w:t>
      </w:r>
      <w:r>
        <w:t xml:space="preserve"> Against unseen attack vectors, the system had an F1 score of 0.85, demonstrating that DARS is capable of identifying generalized behavioral anomalies as opposed to detecting previously known attack signatures.</w:t>
      </w:r>
    </w:p>
    <w:p w14:paraId="27542634" w14:textId="377826B9" w:rsidR="00C77289" w:rsidRDefault="00F236F1" w:rsidP="00F236F1">
      <w:r w:rsidRPr="000429F2">
        <w:rPr>
          <w:b/>
          <w:bCs/>
        </w:rPr>
        <w:t>Telemetry Noise.</w:t>
      </w:r>
      <w:r>
        <w:t xml:space="preserve"> DARS exhibited an F1 score of 0.87 under 20% noise, dropping to 0.79 when there was 30% noise.</w:t>
      </w:r>
    </w:p>
    <w:p w14:paraId="03FFAEE9" w14:textId="7633556F" w:rsidR="00F236F1" w:rsidRPr="000429F2" w:rsidRDefault="00C77289" w:rsidP="000429F2">
      <w:pPr>
        <w:pStyle w:val="Heading1"/>
        <w:rPr>
          <w:lang w:val="en-US"/>
        </w:rPr>
      </w:pPr>
      <w:r>
        <w:rPr>
          <w:lang w:val="en-US"/>
        </w:rPr>
        <w:t>Explainability and Security Analysis</w:t>
      </w:r>
    </w:p>
    <w:p w14:paraId="49A93853" w14:textId="789D5DCF" w:rsidR="00C77289" w:rsidRDefault="00C77289" w:rsidP="00C77289">
      <w:pPr>
        <w:pStyle w:val="Heading2"/>
      </w:pPr>
      <w:r>
        <w:t>SHAP-Based Explanation</w:t>
      </w:r>
    </w:p>
    <w:p w14:paraId="7B4FF495" w14:textId="00817382" w:rsidR="000429F2" w:rsidRPr="000429F2" w:rsidRDefault="00EF3837" w:rsidP="000429F2">
      <w:r w:rsidRPr="00EF3837">
        <w:t>The globally important features based on average absolute SHAP values are as follows: transition anomaly (</w:t>
      </w:r>
      <m:oMath>
        <m:r>
          <m:rPr>
            <m:sty m:val="p"/>
          </m:rPr>
          <w:rPr>
            <w:rFonts w:ascii="Cambria Math" w:hAnsi="Cambria Math"/>
          </w:rPr>
          <m:t>|</m:t>
        </m:r>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0.187</m:t>
        </m:r>
      </m:oMath>
      <w:r w:rsidRPr="00EF3837">
        <w:t xml:space="preserve">), BDI deviation (0.153), privilege escalation (0.121), sequence anomaly (0.098), and token burst (0.072). Considering the data exfiltration scenario with read_database -&gt; read_file -&gt; send_email, SHAP values for this instance are: transition anomaly </w:t>
      </w:r>
      <m:oMath>
        <m:r>
          <w:rPr>
            <w:rFonts w:ascii="Cambria Math" w:hAnsi="Cambria Math"/>
          </w:rPr>
          <m:t>ϕ</m:t>
        </m:r>
        <m:r>
          <m:rPr>
            <m:sty m:val="p"/>
          </m:rPr>
          <w:rPr>
            <w:rFonts w:ascii="Cambria Math" w:hAnsi="Cambria Math"/>
          </w:rPr>
          <m:t>=+</m:t>
        </m:r>
        <m:r>
          <w:rPr>
            <w:rFonts w:ascii="Cambria Math" w:hAnsi="Cambria Math"/>
          </w:rPr>
          <m:t>0.31</m:t>
        </m:r>
      </m:oMath>
      <w:r w:rsidRPr="00EF3837">
        <w:t xml:space="preserve">, BDI deviation </w:t>
      </w:r>
      <m:oMath>
        <m:r>
          <w:rPr>
            <w:rFonts w:ascii="Cambria Math" w:hAnsi="Cambria Math"/>
          </w:rPr>
          <m:t>ϕ</m:t>
        </m:r>
        <m:r>
          <m:rPr>
            <m:sty m:val="p"/>
          </m:rPr>
          <w:rPr>
            <w:rFonts w:ascii="Cambria Math" w:hAnsi="Cambria Math"/>
          </w:rPr>
          <m:t>=+</m:t>
        </m:r>
        <m:r>
          <w:rPr>
            <w:rFonts w:ascii="Cambria Math" w:hAnsi="Cambria Math"/>
          </w:rPr>
          <m:t>0.22</m:t>
        </m:r>
      </m:oMath>
      <w:r w:rsidRPr="00EF3837">
        <w:t>, and privilege escalation</w:t>
      </w:r>
      <w:r>
        <w:t xml:space="preserve"> </w:t>
      </w:r>
      <m:oMath>
        <m:r>
          <w:rPr>
            <w:rFonts w:ascii="Cambria Math" w:hAnsi="Cambria Math"/>
          </w:rPr>
          <m:t>ϕ</m:t>
        </m:r>
        <m:r>
          <m:rPr>
            <m:sty m:val="p"/>
          </m:rPr>
          <w:rPr>
            <w:rFonts w:ascii="Cambria Math" w:hAnsi="Cambria Math"/>
          </w:rPr>
          <m:t>=+</m:t>
        </m:r>
        <m:r>
          <w:rPr>
            <w:rFonts w:ascii="Cambria Math" w:hAnsi="Cambria Math"/>
          </w:rPr>
          <m:t>0.14</m:t>
        </m:r>
      </m:oMath>
      <w:r w:rsidRPr="00EF3837">
        <w:t>. Therefore, the model provides the following explanation: “Risk is high due to transition anomaly between reading database and sending email, combined with unusual tool diversity.”</w:t>
      </w:r>
    </w:p>
    <w:p w14:paraId="47DDC9EF" w14:textId="196C1504" w:rsidR="00C77289" w:rsidRDefault="00C77289" w:rsidP="00C77289">
      <w:pPr>
        <w:pStyle w:val="Heading2"/>
      </w:pPr>
      <w:r>
        <w:t>Behavioral Trajectory Visualization</w:t>
      </w:r>
    </w:p>
    <w:p w14:paraId="6B12AF71" w14:textId="0129C671" w:rsidR="00DA1E19" w:rsidRDefault="00DA1E19" w:rsidP="00DA1E19">
      <w:r w:rsidRPr="00DA1E19">
        <w:rPr>
          <w:b/>
          <w:bCs/>
        </w:rPr>
        <w:t>Normal workflow.</w:t>
      </w:r>
      <w:r>
        <w:t xml:space="preserve"> Transition points between tools do not change, the BDI does not exceed one standard deviation from baseline, and the risk score is lower than 0.30. The trajectory is smooth and easy to predict.</w:t>
      </w:r>
    </w:p>
    <w:p w14:paraId="4FBFBDDE" w14:textId="05A5E7B1" w:rsidR="00DA1E19" w:rsidRDefault="00DA1E19" w:rsidP="00DA1E19">
      <w:r w:rsidRPr="00DA1E19">
        <w:rPr>
          <w:b/>
          <w:bCs/>
        </w:rPr>
        <w:t>Compromised workflow.</w:t>
      </w:r>
      <w:r>
        <w:t xml:space="preserve"> A sharp discontinuity appears at the injection point: a sudden </w:t>
      </w:r>
      <w:r>
        <w:lastRenderedPageBreak/>
        <w:t xml:space="preserve">transition shift, an increased BDI value and the risk score goes from </w:t>
      </w:r>
      <m:oMath>
        <m:r>
          <w:rPr>
            <w:rFonts w:ascii="Cambria Math" w:hAnsi="Cambria Math"/>
          </w:rPr>
          <m:t>R</m:t>
        </m:r>
        <m:r>
          <m:rPr>
            <m:sty m:val="p"/>
          </m:rPr>
          <w:rPr>
            <w:rFonts w:ascii="Cambria Math" w:hAnsi="Cambria Math"/>
          </w:rPr>
          <m:t>=</m:t>
        </m:r>
        <m:r>
          <w:rPr>
            <w:rFonts w:ascii="Cambria Math" w:hAnsi="Cambria Math"/>
          </w:rPr>
          <m:t>0.15</m:t>
        </m:r>
      </m:oMath>
      <w:r>
        <w:t xml:space="preserve"> to </w:t>
      </w:r>
      <m:oMath>
        <m:r>
          <w:rPr>
            <w:rFonts w:ascii="Cambria Math" w:hAnsi="Cambria Math"/>
          </w:rPr>
          <m:t>R</m:t>
        </m:r>
        <m:r>
          <m:rPr>
            <m:sty m:val="p"/>
          </m:rPr>
          <w:rPr>
            <w:rFonts w:ascii="Cambria Math" w:hAnsi="Cambria Math"/>
          </w:rPr>
          <m:t>=</m:t>
        </m:r>
        <m:r>
          <w:rPr>
            <w:rFonts w:ascii="Cambria Math" w:hAnsi="Cambria Math"/>
          </w:rPr>
          <m:t>0.82</m:t>
        </m:r>
      </m:oMath>
      <w:r>
        <w:t xml:space="preserve"> just after two invocations. With such parameters, it is possible to define the moment of the attack precisely.</w:t>
      </w:r>
    </w:p>
    <w:p w14:paraId="78524356" w14:textId="09E3BF2D" w:rsidR="00DA1E19" w:rsidRPr="00DA1E19" w:rsidRDefault="00DA1E19" w:rsidP="00DA1E19">
      <w:r w:rsidRPr="00DA1E19">
        <w:rPr>
          <w:b/>
          <w:bCs/>
        </w:rPr>
        <w:t>Evolution of malicious chains in case of privilege escalation.</w:t>
      </w:r>
      <w:r>
        <w:t xml:space="preserve"> Here we can see a constantly rising trajectory where there is a gradual increase in privilege scores, an expanding BDI, and crossing the threshold of risk values by the middle of the sequence.</w:t>
      </w:r>
    </w:p>
    <w:p w14:paraId="006AB9F1" w14:textId="41DDC457" w:rsidR="00C77289" w:rsidRDefault="00C77289" w:rsidP="00C77289">
      <w:pPr>
        <w:pStyle w:val="Heading2"/>
      </w:pPr>
      <w:r>
        <w:t>Case Study Analysis</w:t>
      </w:r>
    </w:p>
    <w:p w14:paraId="3B67641A" w14:textId="5EA53C43" w:rsidR="00B26D91" w:rsidRDefault="00B26D91" w:rsidP="00B26D91">
      <w:r w:rsidRPr="00B26D91">
        <w:rPr>
          <w:b/>
          <w:bCs/>
        </w:rPr>
        <w:t>Case 1: Indirect Prompt Injection (Detected).</w:t>
      </w:r>
      <w:r>
        <w:t xml:space="preserve"> A user loads malicious instructions hidden within a file; later, </w:t>
      </w:r>
      <w:proofErr w:type="spellStart"/>
      <w:r>
        <w:t>read_database</w:t>
      </w:r>
      <w:proofErr w:type="spellEnd"/>
      <w:r>
        <w:t xml:space="preserve"> and </w:t>
      </w:r>
      <w:proofErr w:type="spellStart"/>
      <w:r>
        <w:t>send_email</w:t>
      </w:r>
      <w:proofErr w:type="spellEnd"/>
      <w:r>
        <w:t xml:space="preserve"> methods are executed. This case is detected at the second suspicious call, where the corresponding reference score equals </w:t>
      </w:r>
      <m:oMath>
        <m:r>
          <w:rPr>
            <w:rFonts w:ascii="Cambria Math" w:hAnsi="Cambria Math"/>
          </w:rPr>
          <m:t>R</m:t>
        </m:r>
        <m:r>
          <m:rPr>
            <m:sty m:val="p"/>
          </m:rPr>
          <w:rPr>
            <w:rFonts w:ascii="Cambria Math" w:hAnsi="Cambria Math"/>
          </w:rPr>
          <m:t>=</m:t>
        </m:r>
        <m:r>
          <w:rPr>
            <w:rFonts w:ascii="Cambria Math" w:hAnsi="Cambria Math"/>
          </w:rPr>
          <m:t>0.87</m:t>
        </m:r>
      </m:oMath>
      <w:r>
        <w:t xml:space="preserve">. The transition anomaly </w:t>
      </w:r>
      <m:oMath>
        <m:r>
          <w:rPr>
            <w:rFonts w:ascii="Cambria Math" w:hAnsi="Cambria Math"/>
          </w:rPr>
          <m:t>(ϕ</m:t>
        </m:r>
        <m:r>
          <m:rPr>
            <m:sty m:val="p"/>
          </m:rPr>
          <w:rPr>
            <w:rFonts w:ascii="Cambria Math" w:hAnsi="Cambria Math"/>
          </w:rPr>
          <m:t>=+</m:t>
        </m:r>
        <m:r>
          <w:rPr>
            <w:rFonts w:ascii="Cambria Math" w:hAnsi="Cambria Math"/>
          </w:rPr>
          <m:t>0.29)</m:t>
        </m:r>
      </m:oMath>
      <w:r>
        <w:t xml:space="preserve">, as well as BDI spike </w:t>
      </w:r>
      <w:r w:rsidRPr="004F073D">
        <w:t>(</w:t>
      </w:r>
      <m:oMath>
        <m:r>
          <w:rPr>
            <w:rFonts w:ascii="Cambria Math" w:hAnsi="Cambria Math"/>
          </w:rPr>
          <m:t>ϕ</m:t>
        </m:r>
        <m:r>
          <m:rPr>
            <m:sty m:val="p"/>
          </m:rPr>
          <w:rPr>
            <w:rFonts w:ascii="Cambria Math" w:hAnsi="Cambria Math"/>
          </w:rPr>
          <m:t>=+</m:t>
        </m:r>
        <m:r>
          <w:rPr>
            <w:rFonts w:ascii="Cambria Math" w:hAnsi="Cambria Math"/>
          </w:rPr>
          <m:t>0.24</m:t>
        </m:r>
      </m:oMath>
      <w:r w:rsidRPr="004F073D">
        <w:t>)</w:t>
      </w:r>
      <w:r>
        <w:t>, are identified by SHAP analysis as contributory factors.</w:t>
      </w:r>
    </w:p>
    <w:p w14:paraId="55204E5B" w14:textId="13A657BE" w:rsidR="00B26D91" w:rsidRDefault="00B26D91" w:rsidP="00B26D91">
      <w:r w:rsidRPr="00B26D91">
        <w:rPr>
          <w:b/>
          <w:bCs/>
        </w:rPr>
        <w:t>Case 2: Slow Privilege Escalation (Detected).</w:t>
      </w:r>
      <w:r>
        <w:t xml:space="preserve"> In this scenario, there is a growing trend in privileges during 15 executions of certain tools. The first alarm signal is generated at the 11th execution of a tool when </w:t>
      </w:r>
      <m:oMath>
        <m:r>
          <w:rPr>
            <w:rFonts w:ascii="Cambria Math" w:hAnsi="Cambria Math"/>
          </w:rPr>
          <m:t>R</m:t>
        </m:r>
        <m:r>
          <m:rPr>
            <m:sty m:val="p"/>
          </m:rPr>
          <w:rPr>
            <w:rFonts w:ascii="Cambria Math" w:hAnsi="Cambria Math"/>
          </w:rPr>
          <m:t>=</m:t>
        </m:r>
        <m:r>
          <w:rPr>
            <w:rFonts w:ascii="Cambria Math" w:hAnsi="Cambria Math"/>
          </w:rPr>
          <m:t>0.72</m:t>
        </m:r>
      </m:oMath>
      <w:r>
        <w:t xml:space="preserve">. As per SHAP analysis, privilege escalation </w:t>
      </w:r>
      <w:r w:rsidRPr="004F073D">
        <w:t>(</w:t>
      </w:r>
      <m:oMath>
        <m:r>
          <w:rPr>
            <w:rFonts w:ascii="Cambria Math" w:hAnsi="Cambria Math"/>
          </w:rPr>
          <m:t>ϕ</m:t>
        </m:r>
        <m:r>
          <m:rPr>
            <m:sty m:val="p"/>
          </m:rPr>
          <w:rPr>
            <w:rFonts w:ascii="Cambria Math" w:hAnsi="Cambria Math"/>
          </w:rPr>
          <m:t>=+</m:t>
        </m:r>
        <m:r>
          <w:rPr>
            <w:rFonts w:ascii="Cambria Math" w:hAnsi="Cambria Math"/>
          </w:rPr>
          <m:t>0.33</m:t>
        </m:r>
      </m:oMath>
      <w:r w:rsidRPr="004F073D">
        <w:t>)</w:t>
      </w:r>
      <w:r>
        <w:t xml:space="preserve"> is the main contributory factor.</w:t>
      </w:r>
    </w:p>
    <w:p w14:paraId="23700137" w14:textId="4FA9F78A" w:rsidR="00DA1E19" w:rsidRPr="00DA1E19" w:rsidRDefault="00B26D91" w:rsidP="00B26D91">
      <w:r w:rsidRPr="00B26D91">
        <w:rPr>
          <w:b/>
          <w:bCs/>
        </w:rPr>
        <w:t>Case 3:</w:t>
      </w:r>
      <w:r>
        <w:t xml:space="preserve"> </w:t>
      </w:r>
      <w:r w:rsidRPr="00B26D91">
        <w:rPr>
          <w:b/>
          <w:bCs/>
        </w:rPr>
        <w:t>Complex Workflow (Correctly Triaged)</w:t>
      </w:r>
      <w:r>
        <w:t xml:space="preserve">. An advanced user performs several tool executions to complete a data migration task. When an initial value of </w:t>
      </w:r>
      <m:oMath>
        <m:r>
          <w:rPr>
            <w:rFonts w:ascii="Cambria Math" w:hAnsi="Cambria Math"/>
          </w:rPr>
          <m:t>R</m:t>
        </m:r>
        <m:r>
          <m:rPr>
            <m:sty m:val="p"/>
          </m:rPr>
          <w:rPr>
            <w:rFonts w:ascii="Cambria Math" w:hAnsi="Cambria Math"/>
          </w:rPr>
          <m:t>=</m:t>
        </m:r>
        <m:r>
          <w:rPr>
            <w:rFonts w:ascii="Cambria Math" w:hAnsi="Cambria Math"/>
          </w:rPr>
          <m:t>0.45</m:t>
        </m:r>
      </m:oMath>
      <w:r>
        <w:t xml:space="preserve"> causes a lower priority alert, the subsequent SHAP analysis shows that BDI deviation </w:t>
      </w:r>
      <m:oMath>
        <m:r>
          <w:rPr>
            <w:rFonts w:ascii="Cambria Math" w:hAnsi="Cambria Math"/>
          </w:rPr>
          <m:t>(ϕ</m:t>
        </m:r>
        <m:r>
          <m:rPr>
            <m:sty m:val="p"/>
          </m:rPr>
          <w:rPr>
            <w:rFonts w:ascii="Cambria Math" w:hAnsi="Cambria Math"/>
          </w:rPr>
          <m:t>=+</m:t>
        </m:r>
        <m:r>
          <w:rPr>
            <w:rFonts w:ascii="Cambria Math" w:hAnsi="Cambria Math"/>
          </w:rPr>
          <m:t>0.18)</m:t>
        </m:r>
      </m:oMath>
      <w:r>
        <w:t xml:space="preserve"> is the main contributory factor. Other contributory factors like privilege </w:t>
      </w:r>
      <w:r w:rsidRPr="004F073D">
        <w:t>(</w:t>
      </w:r>
      <m:oMath>
        <m:r>
          <w:rPr>
            <w:rFonts w:ascii="Cambria Math" w:hAnsi="Cambria Math"/>
          </w:rPr>
          <m:t>ϕ</m:t>
        </m:r>
        <m:r>
          <m:rPr>
            <m:sty m:val="p"/>
          </m:rPr>
          <w:rPr>
            <w:rFonts w:ascii="Cambria Math" w:hAnsi="Cambria Math"/>
          </w:rPr>
          <m:t>=+</m:t>
        </m:r>
        <m:r>
          <w:rPr>
            <w:rFonts w:ascii="Cambria Math" w:hAnsi="Cambria Math"/>
          </w:rPr>
          <m:t>0.03</m:t>
        </m:r>
      </m:oMath>
      <w:r w:rsidRPr="004F073D">
        <w:t>)</w:t>
      </w:r>
      <w:r>
        <w:t xml:space="preserve"> and token </w:t>
      </w:r>
      <m:oMath>
        <m:r>
          <w:rPr>
            <w:rFonts w:ascii="Cambria Math" w:hAnsi="Cambria Math"/>
          </w:rPr>
          <m:t>(ϕ</m:t>
        </m:r>
        <m:r>
          <m:rPr>
            <m:sty m:val="p"/>
          </m:rPr>
          <w:rPr>
            <w:rFonts w:ascii="Cambria Math" w:hAnsi="Cambria Math"/>
          </w:rPr>
          <m:t>=+</m:t>
        </m:r>
        <m:r>
          <w:rPr>
            <w:rFonts w:ascii="Cambria Math" w:hAnsi="Cambria Math"/>
          </w:rPr>
          <m:t>0.01</m:t>
        </m:r>
      </m:oMath>
      <w:r w:rsidRPr="004F073D">
        <w:t>)</w:t>
      </w:r>
      <w:r>
        <w:t xml:space="preserve"> values have minor importance. The analyst quickly clears it as benign—showing how explainability reduces alert fatigue.</w:t>
      </w:r>
    </w:p>
    <w:p w14:paraId="195736CB" w14:textId="7B75F711" w:rsidR="00C77289" w:rsidRDefault="00C77289" w:rsidP="00C77289">
      <w:pPr>
        <w:pStyle w:val="Heading2"/>
      </w:pPr>
      <w:r>
        <w:t>Error Analysis</w:t>
      </w:r>
    </w:p>
    <w:p w14:paraId="30139CDF" w14:textId="0B7903A4" w:rsidR="00C77289" w:rsidRPr="00C77289" w:rsidRDefault="00B26D91" w:rsidP="00C77289">
      <w:r w:rsidRPr="00B26D91">
        <w:t>The false positives, which amount to 3.2% of all benign traces, result from the use of unusual but legitimate tool combinations, such as using those tools for the first time, performing valid administrative tasks, and complex multi-domain interactions. On the other hand, the false negatives, which total 4.1% of all malicious traces, result from attack patterns that are similar to the normal statistics baseline profile. Both error rates can be improved in the future with up-to-date baselines, semantic analysis of tool arguments, and adversarial training using mimicry-aware augmentation.</w:t>
      </w:r>
    </w:p>
    <w:p w14:paraId="7ED97D00" w14:textId="5EA3B09B" w:rsidR="00C77289" w:rsidRDefault="00B26D91" w:rsidP="00B26D91">
      <w:pPr>
        <w:pStyle w:val="Heading1"/>
      </w:pPr>
      <w:r>
        <w:t>Discussion</w:t>
      </w:r>
    </w:p>
    <w:p w14:paraId="094607BE" w14:textId="41EDBCA3" w:rsidR="00B26D91" w:rsidRDefault="00B26D91" w:rsidP="00B26D91">
      <w:pPr>
        <w:pStyle w:val="Heading2"/>
      </w:pPr>
      <w:r>
        <w:t>Practical Implications</w:t>
      </w:r>
    </w:p>
    <w:p w14:paraId="2B888AEB" w14:textId="77777777" w:rsidR="00BB0345" w:rsidRDefault="00BB0345" w:rsidP="00BB0345">
      <w:r w:rsidRPr="00BB0345">
        <w:rPr>
          <w:b/>
          <w:bCs/>
        </w:rPr>
        <w:t>SecOps integration.</w:t>
      </w:r>
      <w:r w:rsidRPr="00BB0345">
        <w:t xml:space="preserve"> DARS risk scores and SHAP narratives are compatible with existing SIEM and SOAR platforms. </w:t>
      </w:r>
    </w:p>
    <w:p w14:paraId="0F5599BC" w14:textId="77777777" w:rsidR="00BB0345" w:rsidRDefault="00BB0345" w:rsidP="00BB0345">
      <w:proofErr w:type="spellStart"/>
      <w:r w:rsidRPr="00BB0345">
        <w:rPr>
          <w:b/>
          <w:bCs/>
        </w:rPr>
        <w:t>MLOps</w:t>
      </w:r>
      <w:proofErr w:type="spellEnd"/>
      <w:r w:rsidRPr="00BB0345">
        <w:rPr>
          <w:b/>
          <w:bCs/>
        </w:rPr>
        <w:t xml:space="preserve"> security monitoring.</w:t>
      </w:r>
      <w:r w:rsidRPr="00BB0345">
        <w:t xml:space="preserve"> By monitoring the tool-calling interface—a natural bottleneck—DARS works without modifying the LLM or the tools. </w:t>
      </w:r>
    </w:p>
    <w:p w14:paraId="0DF1DEDF" w14:textId="30462DBE" w:rsidR="00BB0345" w:rsidRPr="00BB0345" w:rsidRDefault="00BB0345" w:rsidP="00BB0345">
      <w:r w:rsidRPr="00BB0345">
        <w:rPr>
          <w:b/>
          <w:bCs/>
        </w:rPr>
        <w:t>AI governance.</w:t>
      </w:r>
      <w:r w:rsidRPr="00BB0345">
        <w:t xml:space="preserve"> The explainability features support compliance with the EU AI Act and the NIST AI Risk Management Framework.</w:t>
      </w:r>
    </w:p>
    <w:p w14:paraId="536417B1" w14:textId="4D7C84BB" w:rsidR="00B26D91" w:rsidRDefault="00B26D91" w:rsidP="00B26D91">
      <w:pPr>
        <w:pStyle w:val="Heading2"/>
      </w:pPr>
      <w:r>
        <w:lastRenderedPageBreak/>
        <w:t>Limitations</w:t>
      </w:r>
    </w:p>
    <w:p w14:paraId="63653994" w14:textId="640CD94D" w:rsidR="00BB0345" w:rsidRPr="00BB0345" w:rsidRDefault="00BB0345" w:rsidP="00BB0345">
      <w:r w:rsidRPr="00BB0345">
        <w:rPr>
          <w:b/>
          <w:bCs/>
        </w:rPr>
        <w:t>1. Synthesized traces.</w:t>
      </w:r>
      <w:r w:rsidRPr="00BB0345">
        <w:t xml:space="preserve"> Since this experiment involves synthetic traces, future work needs to validate the results with telemetry data.</w:t>
      </w:r>
    </w:p>
    <w:p w14:paraId="7ABAA6D5" w14:textId="5BF94566" w:rsidR="00BB0345" w:rsidRPr="00BB0345" w:rsidRDefault="00BB0345" w:rsidP="00BB0345">
      <w:r w:rsidRPr="00BB0345">
        <w:rPr>
          <w:b/>
          <w:bCs/>
        </w:rPr>
        <w:t>2. Complexity of SHAP method.</w:t>
      </w:r>
      <w:r w:rsidRPr="00BB0345">
        <w:t xml:space="preserve"> Even though the </w:t>
      </w:r>
      <w:proofErr w:type="spellStart"/>
      <w:r w:rsidRPr="00BB0345">
        <w:t>TreeExplainer</w:t>
      </w:r>
      <w:proofErr w:type="spellEnd"/>
      <w:r w:rsidRPr="00BB0345">
        <w:t xml:space="preserve"> provides sufficient results with relatively small feature sets, optimization for large amounts of traces per second is required.</w:t>
      </w:r>
    </w:p>
    <w:p w14:paraId="29680FC1" w14:textId="04E83F83" w:rsidR="00BB0345" w:rsidRPr="00BB0345" w:rsidRDefault="00BB0345" w:rsidP="00BB0345">
      <w:r w:rsidRPr="00BB0345">
        <w:rPr>
          <w:b/>
          <w:bCs/>
        </w:rPr>
        <w:t>3. Quality of telemetry data.</w:t>
      </w:r>
      <w:r w:rsidRPr="00BB0345">
        <w:t xml:space="preserve"> It was observed that model performance is affected by noise or lack of telemetry data (see Section 6.5).</w:t>
      </w:r>
    </w:p>
    <w:p w14:paraId="32FE1ED7" w14:textId="5CD935D1" w:rsidR="00BB0345" w:rsidRPr="00BB0345" w:rsidRDefault="00BB0345" w:rsidP="00BB0345">
      <w:r w:rsidRPr="00BB0345">
        <w:rPr>
          <w:b/>
          <w:bCs/>
        </w:rPr>
        <w:t>4. Cold-start problem.</w:t>
      </w:r>
      <w:r w:rsidRPr="00BB0345">
        <w:t xml:space="preserve"> For baselines based on BDI to produce reliable results, sufficient data must exist.</w:t>
      </w:r>
    </w:p>
    <w:p w14:paraId="6C4D8CDA" w14:textId="59F1EE47" w:rsidR="00BB0345" w:rsidRPr="00BB0345" w:rsidRDefault="00BB0345" w:rsidP="00BB0345">
      <w:r w:rsidRPr="00BB0345">
        <w:rPr>
          <w:b/>
          <w:bCs/>
        </w:rPr>
        <w:t>5. Experiment limitations.</w:t>
      </w:r>
      <w:r w:rsidRPr="00BB0345">
        <w:t xml:space="preserve"> All experiments involve analyzing text-only systems consisting of a single agent.</w:t>
      </w:r>
    </w:p>
    <w:p w14:paraId="69F740C4" w14:textId="148D7CE1" w:rsidR="00B26D91" w:rsidRDefault="00B26D91" w:rsidP="00B26D91">
      <w:pPr>
        <w:pStyle w:val="Heading2"/>
      </w:pPr>
      <w:r>
        <w:t>Future Work</w:t>
      </w:r>
    </w:p>
    <w:p w14:paraId="5834B680" w14:textId="1FAA55F6" w:rsidR="00BB0345" w:rsidRPr="00BB0345" w:rsidRDefault="00C3047E" w:rsidP="00BB0345">
      <w:r w:rsidRPr="00C3047E">
        <w:t>Our proposal is concerned with developing online learning for updating the BDI baseline, automation of response actions such as tool blocking and session termination, and expanding BDI into multiagent and multimodal frameworks through the federation of monitoring activities.</w:t>
      </w:r>
    </w:p>
    <w:p w14:paraId="41452447" w14:textId="5DA54CBA" w:rsidR="00B26D91" w:rsidRDefault="00B26D91" w:rsidP="00B26D91">
      <w:pPr>
        <w:pStyle w:val="Heading1"/>
      </w:pPr>
      <w:r>
        <w:t>Conclusion</w:t>
      </w:r>
    </w:p>
    <w:p w14:paraId="14CB7DC9" w14:textId="19B2A2B5" w:rsidR="00B26D91" w:rsidRDefault="00C3047E" w:rsidP="00C77289">
      <w:r w:rsidRPr="00C3047E">
        <w:t xml:space="preserve">This work proposes the Diversity-Aware Risk Scoring (DARS) framework for detecting the misuse of AI tools. The DARS method uses the risk score (ECE = 0.045) instead of binary detection, while a metric called the Behavioral Diversity Index (BDI) is proposed to measure deviation from normal tool usage. Interpretable security narratives derived using the SHAP approach allow analysts to understand alert information easily. This method was validated against an </w:t>
      </w:r>
      <w:proofErr w:type="spellStart"/>
      <w:r w:rsidRPr="00C3047E">
        <w:t>AgentDojo</w:t>
      </w:r>
      <w:proofErr w:type="spellEnd"/>
      <w:r w:rsidRPr="00C3047E">
        <w:t xml:space="preserve">-inspired dataset with six different attacks, with an outstanding result of F1 = 0.936 and ROC-AUC = 0.961. In addition, results from ablation studies confirm the importance of BDI. The model's ability to interface with current security systems and its fast inference speed (0.33 </w:t>
      </w:r>
      <w:proofErr w:type="spellStart"/>
      <w:r w:rsidRPr="00C3047E">
        <w:t>ms</w:t>
      </w:r>
      <w:proofErr w:type="spellEnd"/>
      <w:r w:rsidRPr="00C3047E">
        <w:t>) make DARS deployable in practice as AI agents take up increasingly complex tasks.</w:t>
      </w:r>
    </w:p>
    <w:p w14:paraId="7BB34DD8" w14:textId="571645C4" w:rsidR="00CA5C30" w:rsidRDefault="00CA5C30" w:rsidP="00CA5C30">
      <w:pPr>
        <w:pStyle w:val="Heading1"/>
        <w:numPr>
          <w:ilvl w:val="0"/>
          <w:numId w:val="0"/>
        </w:numPr>
        <w:ind w:left="1282" w:hanging="432"/>
        <w:rPr>
          <w:lang w:val="en-US"/>
        </w:rPr>
      </w:pPr>
      <w:r>
        <w:t>References</w:t>
      </w:r>
    </w:p>
    <w:p w14:paraId="561748D0" w14:textId="77777777" w:rsidR="00CA5C30" w:rsidRDefault="00CA5C30" w:rsidP="00CA5C30">
      <w:r>
        <w:t>1.</w:t>
      </w:r>
      <w:r>
        <w:tab/>
        <w:t xml:space="preserve">Wang, L., Ma, C., Feng, X., et al.: A survey on large language model based autonomous agents. Front. </w:t>
      </w:r>
      <w:proofErr w:type="spellStart"/>
      <w:r>
        <w:t>Comput</w:t>
      </w:r>
      <w:proofErr w:type="spellEnd"/>
      <w:r>
        <w:t>. Sci. 18(6), 186345 (2024)</w:t>
      </w:r>
    </w:p>
    <w:p w14:paraId="56512768" w14:textId="77777777" w:rsidR="00CA5C30" w:rsidRDefault="00CA5C30" w:rsidP="00CA5C30">
      <w:r>
        <w:t>2.</w:t>
      </w:r>
      <w:r>
        <w:tab/>
      </w:r>
      <w:proofErr w:type="spellStart"/>
      <w:r>
        <w:t>Sumers</w:t>
      </w:r>
      <w:proofErr w:type="spellEnd"/>
      <w:r>
        <w:t>, T.R., Yao, S., Narasimhan, K., Griffiths, T.L.: Cognitive architectures for language agents. Trans. Mach. Learn. Res. (2024)</w:t>
      </w:r>
    </w:p>
    <w:p w14:paraId="0261A471" w14:textId="77777777" w:rsidR="00CA5C30" w:rsidRDefault="00CA5C30" w:rsidP="00CA5C30">
      <w:r>
        <w:t>3.</w:t>
      </w:r>
      <w:r>
        <w:tab/>
        <w:t xml:space="preserve">Yao, S., Zhao, J., Yu, D., et al.: </w:t>
      </w:r>
      <w:proofErr w:type="spellStart"/>
      <w:r>
        <w:t>ReAct</w:t>
      </w:r>
      <w:proofErr w:type="spellEnd"/>
      <w:r>
        <w:t>: Synergizing reasoning and acting in language models. In: ICLR (2023)</w:t>
      </w:r>
    </w:p>
    <w:p w14:paraId="76EE267D" w14:textId="77777777" w:rsidR="00CA5C30" w:rsidRDefault="00CA5C30" w:rsidP="00CA5C30">
      <w:r>
        <w:t>4.</w:t>
      </w:r>
      <w:r>
        <w:tab/>
        <w:t xml:space="preserve">Wu, Q., Bansal, G., Zhang, J., et al.: </w:t>
      </w:r>
      <w:proofErr w:type="spellStart"/>
      <w:r>
        <w:t>AutoGen</w:t>
      </w:r>
      <w:proofErr w:type="spellEnd"/>
      <w:r>
        <w:t>: Enabling next-gen LLM applications via multi-agent conversation. In: ICML (2024)</w:t>
      </w:r>
    </w:p>
    <w:p w14:paraId="29478665" w14:textId="77777777" w:rsidR="00CA5C30" w:rsidRDefault="00CA5C30" w:rsidP="00CA5C30">
      <w:r>
        <w:t>5.</w:t>
      </w:r>
      <w:r>
        <w:tab/>
      </w:r>
      <w:proofErr w:type="spellStart"/>
      <w:r>
        <w:t>CrewAI</w:t>
      </w:r>
      <w:proofErr w:type="spellEnd"/>
      <w:r>
        <w:t xml:space="preserve">: Framework for orchestrating role-playing autonomous AI agents. </w:t>
      </w:r>
      <w:r>
        <w:lastRenderedPageBreak/>
        <w:t>https://www.crewai.com (2024)</w:t>
      </w:r>
    </w:p>
    <w:p w14:paraId="37FB9A59" w14:textId="77777777" w:rsidR="00CA5C30" w:rsidRDefault="00CA5C30" w:rsidP="00CA5C30">
      <w:r>
        <w:t>6.</w:t>
      </w:r>
      <w:r>
        <w:tab/>
        <w:t xml:space="preserve">Schick, T., Dwivedi-Yu, J., </w:t>
      </w:r>
      <w:proofErr w:type="spellStart"/>
      <w:r>
        <w:t>Dessì</w:t>
      </w:r>
      <w:proofErr w:type="spellEnd"/>
      <w:r>
        <w:t xml:space="preserve">, R., et al.: </w:t>
      </w:r>
      <w:proofErr w:type="spellStart"/>
      <w:r>
        <w:t>Toolformer</w:t>
      </w:r>
      <w:proofErr w:type="spellEnd"/>
      <w:r>
        <w:t xml:space="preserve">: Language models can teach themselves to use tools. In: </w:t>
      </w:r>
      <w:proofErr w:type="spellStart"/>
      <w:r>
        <w:t>NeurIPS</w:t>
      </w:r>
      <w:proofErr w:type="spellEnd"/>
      <w:r>
        <w:t>, vol. 36 (2023)</w:t>
      </w:r>
    </w:p>
    <w:p w14:paraId="4A5D1103" w14:textId="77777777" w:rsidR="00CA5C30" w:rsidRDefault="00CA5C30" w:rsidP="00CA5C30">
      <w:r>
        <w:t>7.</w:t>
      </w:r>
      <w:r>
        <w:tab/>
        <w:t>Lopez-Lira, A., Tang, Y.: Can ChatGPT forecast stock price movements? J. Finance (2023)</w:t>
      </w:r>
    </w:p>
    <w:p w14:paraId="6F628145" w14:textId="77777777" w:rsidR="00CA5C30" w:rsidRDefault="00CA5C30" w:rsidP="00CA5C30">
      <w:r>
        <w:t>8.</w:t>
      </w:r>
      <w:r>
        <w:tab/>
        <w:t>Singhal, K., Azizi, S., Tu, T., et al.: Large language models encode clinical knowledge. Nature 620(7972), 172–180 (2023)</w:t>
      </w:r>
    </w:p>
    <w:p w14:paraId="31062476" w14:textId="77777777" w:rsidR="00CA5C30" w:rsidRDefault="00CA5C30" w:rsidP="00CA5C30">
      <w:r>
        <w:t>9.</w:t>
      </w:r>
      <w:r>
        <w:tab/>
        <w:t xml:space="preserve">Xi, Z., Chen, W., Guo, X., et al.: The rise and potential of large language </w:t>
      </w:r>
      <w:proofErr w:type="gramStart"/>
      <w:r>
        <w:t>model based</w:t>
      </w:r>
      <w:proofErr w:type="gramEnd"/>
      <w:r>
        <w:t xml:space="preserve"> agents: a survey. arXiv:2309.07864 (2023)</w:t>
      </w:r>
    </w:p>
    <w:p w14:paraId="53B18806" w14:textId="77777777" w:rsidR="00CA5C30" w:rsidRDefault="00CA5C30" w:rsidP="00CA5C30">
      <w:r>
        <w:t>10.</w:t>
      </w:r>
      <w:r>
        <w:tab/>
        <w:t xml:space="preserve">Perez, F., Ribeiro, I.: Ignore previous prompt: Attack techniques for language models. In: </w:t>
      </w:r>
      <w:proofErr w:type="spellStart"/>
      <w:r>
        <w:t>NeurIPS</w:t>
      </w:r>
      <w:proofErr w:type="spellEnd"/>
      <w:r>
        <w:t xml:space="preserve"> ML Safety Workshop (2022)</w:t>
      </w:r>
    </w:p>
    <w:p w14:paraId="5CBC411E" w14:textId="77777777" w:rsidR="00CA5C30" w:rsidRDefault="00CA5C30" w:rsidP="00CA5C30">
      <w:r>
        <w:t>11.</w:t>
      </w:r>
      <w:r>
        <w:tab/>
      </w:r>
      <w:proofErr w:type="spellStart"/>
      <w:r>
        <w:t>Greshake</w:t>
      </w:r>
      <w:proofErr w:type="spellEnd"/>
      <w:r>
        <w:t xml:space="preserve">, K., </w:t>
      </w:r>
      <w:proofErr w:type="spellStart"/>
      <w:r>
        <w:t>Abdelnabi</w:t>
      </w:r>
      <w:proofErr w:type="spellEnd"/>
      <w:r>
        <w:t xml:space="preserve">, S., Mishra, S., et al.: Not what you’ve signed up for: Compromising real-world LLM-integrated applications with indirect prompt injection. In: ACM </w:t>
      </w:r>
      <w:proofErr w:type="spellStart"/>
      <w:r>
        <w:t>AISec</w:t>
      </w:r>
      <w:proofErr w:type="spellEnd"/>
      <w:r>
        <w:t xml:space="preserve"> Workshop (2023)</w:t>
      </w:r>
    </w:p>
    <w:p w14:paraId="3D1B0E2A" w14:textId="77777777" w:rsidR="00CA5C30" w:rsidRDefault="00CA5C30" w:rsidP="00CA5C30">
      <w:r>
        <w:t>12.</w:t>
      </w:r>
      <w:r>
        <w:tab/>
        <w:t xml:space="preserve">Zhan, Q., Liang, Z., Ying, Z., Kang, D.: </w:t>
      </w:r>
      <w:proofErr w:type="spellStart"/>
      <w:r>
        <w:t>InjecAgent</w:t>
      </w:r>
      <w:proofErr w:type="spellEnd"/>
      <w:r>
        <w:t>: Benchmarking indirect prompt injections in tool-integrated LLM agents. In: Findings of ACL (2024)</w:t>
      </w:r>
    </w:p>
    <w:p w14:paraId="51FB3B2C" w14:textId="77777777" w:rsidR="00CA5C30" w:rsidRDefault="00CA5C30" w:rsidP="00CA5C30">
      <w:r>
        <w:t>13.</w:t>
      </w:r>
      <w:r>
        <w:tab/>
        <w:t>Ruan, Y., Dong, H., Wang, A., et al.: Identifying the risks of LM agents with an LM-emulated sandbox. In: ICLR (2024)</w:t>
      </w:r>
    </w:p>
    <w:p w14:paraId="2E19DFA0" w14:textId="77777777" w:rsidR="00CA5C30" w:rsidRDefault="00CA5C30" w:rsidP="00CA5C30">
      <w:r>
        <w:t>14.</w:t>
      </w:r>
      <w:r>
        <w:tab/>
      </w:r>
      <w:proofErr w:type="spellStart"/>
      <w:r>
        <w:t>Saltzer</w:t>
      </w:r>
      <w:proofErr w:type="spellEnd"/>
      <w:r>
        <w:t>, J.H., Schroeder, M.D.: The protection of information in computer systems. Proc. IEEE 63(9), 1278–1308 (1975)</w:t>
      </w:r>
    </w:p>
    <w:p w14:paraId="31A4D265" w14:textId="77777777" w:rsidR="00CA5C30" w:rsidRDefault="00CA5C30" w:rsidP="00CA5C30">
      <w:r>
        <w:t>15.</w:t>
      </w:r>
      <w:r>
        <w:tab/>
        <w:t xml:space="preserve">Nasr, M., </w:t>
      </w:r>
      <w:proofErr w:type="spellStart"/>
      <w:r>
        <w:t>Carlini</w:t>
      </w:r>
      <w:proofErr w:type="spellEnd"/>
      <w:r>
        <w:t xml:space="preserve">, N., </w:t>
      </w:r>
      <w:proofErr w:type="spellStart"/>
      <w:r>
        <w:t>Hayase</w:t>
      </w:r>
      <w:proofErr w:type="spellEnd"/>
      <w:r>
        <w:t>, J., et al.: Scalable extraction of training data from (production) language models. arXiv:2311.17035 (2023)</w:t>
      </w:r>
    </w:p>
    <w:p w14:paraId="1B283B4B" w14:textId="77777777" w:rsidR="00CA5C30" w:rsidRDefault="00CA5C30" w:rsidP="00CA5C30">
      <w:r>
        <w:t>16.</w:t>
      </w:r>
      <w:r>
        <w:tab/>
        <w:t>OWASP: OWASP Top 10 for Agentic Applications. https://owasp.org/www-project-top-10-for-large-language-model-applications/ (2025)</w:t>
      </w:r>
    </w:p>
    <w:p w14:paraId="71777479" w14:textId="77777777" w:rsidR="00CA5C30" w:rsidRDefault="00CA5C30" w:rsidP="00CA5C30">
      <w:r>
        <w:t>17.</w:t>
      </w:r>
      <w:r>
        <w:tab/>
      </w:r>
      <w:proofErr w:type="spellStart"/>
      <w:r>
        <w:t>Inan</w:t>
      </w:r>
      <w:proofErr w:type="spellEnd"/>
      <w:r>
        <w:t xml:space="preserve">, H.A., </w:t>
      </w:r>
      <w:proofErr w:type="spellStart"/>
      <w:r>
        <w:t>Upasani</w:t>
      </w:r>
      <w:proofErr w:type="spellEnd"/>
      <w:r>
        <w:t>, K., Chi, J., et al.: Llama Guard: LLM-based input-output safeguard for human-AI conversations. arXiv:2312.06674 (2023)</w:t>
      </w:r>
    </w:p>
    <w:p w14:paraId="0EBC4A0F" w14:textId="77777777" w:rsidR="00CA5C30" w:rsidRDefault="00CA5C30" w:rsidP="00CA5C30">
      <w:r>
        <w:t>18.</w:t>
      </w:r>
      <w:r>
        <w:tab/>
        <w:t xml:space="preserve">Chandola, V., Banerjee, A., Kumar, V.: Anomaly detection: a survey. ACM </w:t>
      </w:r>
      <w:proofErr w:type="spellStart"/>
      <w:r>
        <w:t>Comput</w:t>
      </w:r>
      <w:proofErr w:type="spellEnd"/>
      <w:r>
        <w:t xml:space="preserve">. </w:t>
      </w:r>
      <w:proofErr w:type="spellStart"/>
      <w:r>
        <w:t>Surv</w:t>
      </w:r>
      <w:proofErr w:type="spellEnd"/>
      <w:r>
        <w:t>. 41(3), 1–58 (2009)</w:t>
      </w:r>
    </w:p>
    <w:p w14:paraId="6871DDEA" w14:textId="77777777" w:rsidR="00CA5C30" w:rsidRDefault="00CA5C30" w:rsidP="00CA5C30">
      <w:r>
        <w:t>19.</w:t>
      </w:r>
      <w:r>
        <w:tab/>
        <w:t xml:space="preserve">Du, M., Li, F., Zheng, G., Srikumar, V.: </w:t>
      </w:r>
      <w:proofErr w:type="spellStart"/>
      <w:r>
        <w:t>DeepLog</w:t>
      </w:r>
      <w:proofErr w:type="spellEnd"/>
      <w:r>
        <w:t>: anomaly detection and diagnosis from system logs through deep learning. In: ACM CCS (2017)</w:t>
      </w:r>
    </w:p>
    <w:p w14:paraId="735B4A3F" w14:textId="77777777" w:rsidR="00CA5C30" w:rsidRDefault="00CA5C30" w:rsidP="00CA5C30">
      <w:r>
        <w:t>20.</w:t>
      </w:r>
      <w:r>
        <w:tab/>
        <w:t>Arrieta, A.B., Díaz-Rodríguez, N., Del Ser, J., et al.: Explainable artificial intelligence (XAI): concepts, taxonomies, opportunities and challenges. Inf. Fusion 58, 82–115 (2020)</w:t>
      </w:r>
    </w:p>
    <w:p w14:paraId="103C56D7" w14:textId="77777777" w:rsidR="00CA5C30" w:rsidRDefault="00CA5C30" w:rsidP="00CA5C30">
      <w:r>
        <w:t>21.</w:t>
      </w:r>
      <w:r>
        <w:tab/>
      </w:r>
      <w:proofErr w:type="spellStart"/>
      <w:r>
        <w:t>Manès</w:t>
      </w:r>
      <w:proofErr w:type="spellEnd"/>
      <w:r>
        <w:t>, V.J.M., Han, H.S., Han, C., et al.: The art, science, and engineering of fuzzing: a survey. IEEE TSE 47(11), 2312–2331 (2021)</w:t>
      </w:r>
    </w:p>
    <w:p w14:paraId="75DC24A2" w14:textId="77777777" w:rsidR="00CA5C30" w:rsidRDefault="00CA5C30" w:rsidP="00CA5C30">
      <w:r>
        <w:t>22.</w:t>
      </w:r>
      <w:r>
        <w:tab/>
        <w:t xml:space="preserve">Lundberg, S.M., Lee, S.I.: A unified approach to interpreting model predictions. In: </w:t>
      </w:r>
      <w:proofErr w:type="spellStart"/>
      <w:r>
        <w:t>NeurIPS</w:t>
      </w:r>
      <w:proofErr w:type="spellEnd"/>
      <w:r>
        <w:t>, vol. 30 (2017)</w:t>
      </w:r>
    </w:p>
    <w:p w14:paraId="19765357" w14:textId="77777777" w:rsidR="00CA5C30" w:rsidRDefault="00CA5C30" w:rsidP="00CA5C30">
      <w:r>
        <w:lastRenderedPageBreak/>
        <w:t>23.</w:t>
      </w:r>
      <w:r>
        <w:tab/>
      </w:r>
      <w:proofErr w:type="spellStart"/>
      <w:r>
        <w:t>Debenedetti</w:t>
      </w:r>
      <w:proofErr w:type="spellEnd"/>
      <w:r>
        <w:t xml:space="preserve">, E., Sehwag, V., </w:t>
      </w:r>
      <w:proofErr w:type="spellStart"/>
      <w:r>
        <w:t>Renduchintala</w:t>
      </w:r>
      <w:proofErr w:type="spellEnd"/>
      <w:r>
        <w:t xml:space="preserve">, A., </w:t>
      </w:r>
      <w:proofErr w:type="spellStart"/>
      <w:r>
        <w:t>Pautov</w:t>
      </w:r>
      <w:proofErr w:type="spellEnd"/>
      <w:r>
        <w:t xml:space="preserve">, M., </w:t>
      </w:r>
      <w:proofErr w:type="spellStart"/>
      <w:r>
        <w:t>Tramer</w:t>
      </w:r>
      <w:proofErr w:type="spellEnd"/>
      <w:r>
        <w:t xml:space="preserve">, F.: </w:t>
      </w:r>
      <w:proofErr w:type="spellStart"/>
      <w:r>
        <w:t>AgentDojo</w:t>
      </w:r>
      <w:proofErr w:type="spellEnd"/>
      <w:r>
        <w:t xml:space="preserve">: A dynamic environment to evaluate prompt injection attacks and defenses for LLM agents. In: </w:t>
      </w:r>
      <w:proofErr w:type="spellStart"/>
      <w:r>
        <w:t>NeurIPS</w:t>
      </w:r>
      <w:proofErr w:type="spellEnd"/>
      <w:r>
        <w:t xml:space="preserve"> Datasets and Benchmarks Track (2024)</w:t>
      </w:r>
    </w:p>
    <w:p w14:paraId="6B67E713" w14:textId="77777777" w:rsidR="00CA5C30" w:rsidRDefault="00CA5C30" w:rsidP="00CA5C30">
      <w:r>
        <w:t>24.</w:t>
      </w:r>
      <w:r>
        <w:tab/>
        <w:t>Willison, S.: Prompt injection explained. https://simonwillison.net/2023/May/2/prompt-injection-explained/ (2023)</w:t>
      </w:r>
    </w:p>
    <w:p w14:paraId="0C18C622" w14:textId="77777777" w:rsidR="00CA5C30" w:rsidRDefault="00CA5C30" w:rsidP="00CA5C30">
      <w:r>
        <w:t>25.</w:t>
      </w:r>
      <w:r>
        <w:tab/>
        <w:t>Suo, W., Wang, J., Zhang, Z., et al.: Signed-prompt: A new approach to prevent prompt injection attacks against LLM-integrated applications. In: AAAI (2024)</w:t>
      </w:r>
    </w:p>
    <w:p w14:paraId="2D75AE24" w14:textId="77777777" w:rsidR="00CA5C30" w:rsidRDefault="00CA5C30" w:rsidP="00CA5C30">
      <w:r>
        <w:t>26.</w:t>
      </w:r>
      <w:r>
        <w:tab/>
        <w:t>Gunning, D., Aha, D.: DARPA’s explainable artificial intelligence (XAI) program. AI Mag. 40(2), 44–58 (2019)</w:t>
      </w:r>
    </w:p>
    <w:p w14:paraId="16A65FDD" w14:textId="77777777" w:rsidR="00CA5C30" w:rsidRDefault="00CA5C30" w:rsidP="00CA5C30">
      <w:r>
        <w:t>27.</w:t>
      </w:r>
      <w:r>
        <w:tab/>
        <w:t xml:space="preserve">García-Teodoro, P., Díaz-Verdejo, J., </w:t>
      </w:r>
      <w:proofErr w:type="spellStart"/>
      <w:r>
        <w:t>Maciá</w:t>
      </w:r>
      <w:proofErr w:type="spellEnd"/>
      <w:r>
        <w:t xml:space="preserve">-Fernández, G., Vázquez, E.: Anomaly-based network intrusion detection. </w:t>
      </w:r>
      <w:proofErr w:type="spellStart"/>
      <w:r>
        <w:t>Comput</w:t>
      </w:r>
      <w:proofErr w:type="spellEnd"/>
      <w:r>
        <w:t xml:space="preserve">. </w:t>
      </w:r>
      <w:proofErr w:type="spellStart"/>
      <w:r>
        <w:t>Secur</w:t>
      </w:r>
      <w:proofErr w:type="spellEnd"/>
      <w:r>
        <w:t>. 28(1–2), 18–28 (2009)</w:t>
      </w:r>
    </w:p>
    <w:p w14:paraId="42D57F3D" w14:textId="330ABFC6" w:rsidR="00560740" w:rsidRPr="00246AE7" w:rsidRDefault="00CA5C30" w:rsidP="00CA5C30">
      <w:r>
        <w:t>28.</w:t>
      </w:r>
      <w:r>
        <w:tab/>
        <w:t>Denning, D.E.: An intrusion-detection model. IEEE TSE SE-13(2), 222–232 (1987)</w:t>
      </w:r>
    </w:p>
    <w:sectPr w:rsidR="00560740" w:rsidRPr="00246AE7" w:rsidSect="008055D5">
      <w:pgSz w:w="11907" w:h="16840"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FEA32" w14:textId="77777777" w:rsidR="00995639" w:rsidRDefault="00995639" w:rsidP="008055D5">
      <w:pPr>
        <w:spacing w:before="0" w:after="0" w:line="240" w:lineRule="auto"/>
      </w:pPr>
      <w:r>
        <w:separator/>
      </w:r>
    </w:p>
  </w:endnote>
  <w:endnote w:type="continuationSeparator" w:id="0">
    <w:p w14:paraId="4DA89A59" w14:textId="77777777" w:rsidR="00995639" w:rsidRDefault="00995639" w:rsidP="008055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DFE4A" w14:textId="77777777" w:rsidR="00995639" w:rsidRDefault="00995639" w:rsidP="008055D5">
      <w:pPr>
        <w:spacing w:before="0" w:after="0" w:line="240" w:lineRule="auto"/>
      </w:pPr>
      <w:r>
        <w:separator/>
      </w:r>
    </w:p>
  </w:footnote>
  <w:footnote w:type="continuationSeparator" w:id="0">
    <w:p w14:paraId="75E94198" w14:textId="77777777" w:rsidR="00995639" w:rsidRDefault="00995639" w:rsidP="008055D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0E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35284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C003EA4"/>
    <w:multiLevelType w:val="hybridMultilevel"/>
    <w:tmpl w:val="EC9CBE04"/>
    <w:lvl w:ilvl="0" w:tplc="1A7A354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2DFB3F97"/>
    <w:multiLevelType w:val="hybridMultilevel"/>
    <w:tmpl w:val="3684E08A"/>
    <w:lvl w:ilvl="0" w:tplc="F4085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E7143"/>
    <w:multiLevelType w:val="multilevel"/>
    <w:tmpl w:val="B2B4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AE3CCC"/>
    <w:multiLevelType w:val="multilevel"/>
    <w:tmpl w:val="8542DB82"/>
    <w:lvl w:ilvl="0">
      <w:start w:val="1"/>
      <w:numFmt w:val="decimal"/>
      <w:pStyle w:val="Heading1"/>
      <w:lvlText w:val="%1"/>
      <w:lvlJc w:val="left"/>
      <w:pPr>
        <w:ind w:left="2160" w:hanging="432"/>
      </w:pPr>
      <w:rPr>
        <w:rFonts w:ascii="Times New Roman" w:eastAsia="Times New Roman" w:hAnsi="Times New Roman" w:cs="Times New Roman"/>
      </w:rPr>
    </w:lvl>
    <w:lvl w:ilvl="1">
      <w:start w:val="1"/>
      <w:numFmt w:val="decimal"/>
      <w:pStyle w:val="Heading2"/>
      <w:lvlText w:val="%1.%2"/>
      <w:lvlJc w:val="left"/>
      <w:pPr>
        <w:ind w:left="2304" w:hanging="576"/>
      </w:pPr>
    </w:lvl>
    <w:lvl w:ilvl="2">
      <w:start w:val="1"/>
      <w:numFmt w:val="decimal"/>
      <w:pStyle w:val="Heading3"/>
      <w:lvlText w:val="%1.%2.%3"/>
      <w:lvlJc w:val="left"/>
      <w:pPr>
        <w:ind w:left="3272" w:hanging="720"/>
      </w:pPr>
    </w:lvl>
    <w:lvl w:ilvl="3">
      <w:start w:val="1"/>
      <w:numFmt w:val="decimal"/>
      <w:pStyle w:val="Heading4"/>
      <w:lvlText w:val="%1.%2.%3.%4"/>
      <w:lvlJc w:val="left"/>
      <w:pPr>
        <w:ind w:left="2592" w:hanging="864"/>
      </w:pPr>
    </w:lvl>
    <w:lvl w:ilvl="4">
      <w:start w:val="1"/>
      <w:numFmt w:val="decimal"/>
      <w:pStyle w:val="Heading5"/>
      <w:lvlText w:val="%1.%2.%3.%4.%5"/>
      <w:lvlJc w:val="left"/>
      <w:pPr>
        <w:ind w:left="2736" w:hanging="1008"/>
      </w:pPr>
    </w:lvl>
    <w:lvl w:ilvl="5">
      <w:start w:val="1"/>
      <w:numFmt w:val="decimal"/>
      <w:pStyle w:val="Heading6"/>
      <w:lvlText w:val="%1.%2.%3.%4.%5.%6"/>
      <w:lvlJc w:val="left"/>
      <w:pPr>
        <w:ind w:left="2880" w:hanging="1152"/>
      </w:pPr>
    </w:lvl>
    <w:lvl w:ilvl="6">
      <w:start w:val="1"/>
      <w:numFmt w:val="decimal"/>
      <w:pStyle w:val="Heading7"/>
      <w:lvlText w:val="%1.%2.%3.%4.%5.%6.%7"/>
      <w:lvlJc w:val="left"/>
      <w:pPr>
        <w:ind w:left="3024" w:hanging="1296"/>
      </w:pPr>
    </w:lvl>
    <w:lvl w:ilvl="7">
      <w:start w:val="1"/>
      <w:numFmt w:val="decimal"/>
      <w:pStyle w:val="Heading8"/>
      <w:lvlText w:val="%1.%2.%3.%4.%5.%6.%7.%8"/>
      <w:lvlJc w:val="left"/>
      <w:pPr>
        <w:ind w:left="3168" w:hanging="1440"/>
      </w:pPr>
    </w:lvl>
    <w:lvl w:ilvl="8">
      <w:start w:val="1"/>
      <w:numFmt w:val="decimal"/>
      <w:pStyle w:val="Heading9"/>
      <w:lvlText w:val="%1.%2.%3.%4.%5.%6.%7.%8.%9"/>
      <w:lvlJc w:val="left"/>
      <w:pPr>
        <w:ind w:left="3312" w:hanging="1584"/>
      </w:pPr>
    </w:lvl>
  </w:abstractNum>
  <w:abstractNum w:abstractNumId="6" w15:restartNumberingAfterBreak="0">
    <w:nsid w:val="788557DC"/>
    <w:multiLevelType w:val="multilevel"/>
    <w:tmpl w:val="A77E3AE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04095913">
    <w:abstractNumId w:val="0"/>
  </w:num>
  <w:num w:numId="2" w16cid:durableId="1248999143">
    <w:abstractNumId w:val="3"/>
  </w:num>
  <w:num w:numId="3" w16cid:durableId="2032028853">
    <w:abstractNumId w:val="6"/>
  </w:num>
  <w:num w:numId="4" w16cid:durableId="565259809">
    <w:abstractNumId w:val="5"/>
  </w:num>
  <w:num w:numId="5" w16cid:durableId="241598366">
    <w:abstractNumId w:val="1"/>
  </w:num>
  <w:num w:numId="6" w16cid:durableId="2076705593">
    <w:abstractNumId w:val="4"/>
  </w:num>
  <w:num w:numId="7" w16cid:durableId="630598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0C"/>
    <w:rsid w:val="000429F2"/>
    <w:rsid w:val="000439EF"/>
    <w:rsid w:val="000B7604"/>
    <w:rsid w:val="000E3EB4"/>
    <w:rsid w:val="00106A7E"/>
    <w:rsid w:val="001507F6"/>
    <w:rsid w:val="0016528D"/>
    <w:rsid w:val="001B4432"/>
    <w:rsid w:val="001E6757"/>
    <w:rsid w:val="002223E3"/>
    <w:rsid w:val="00246AE7"/>
    <w:rsid w:val="002728DD"/>
    <w:rsid w:val="002D3382"/>
    <w:rsid w:val="002E0D27"/>
    <w:rsid w:val="002E2493"/>
    <w:rsid w:val="002F7ABE"/>
    <w:rsid w:val="00301B92"/>
    <w:rsid w:val="003635E1"/>
    <w:rsid w:val="00392E94"/>
    <w:rsid w:val="003A1F70"/>
    <w:rsid w:val="003D2E49"/>
    <w:rsid w:val="003F36DD"/>
    <w:rsid w:val="00405C7B"/>
    <w:rsid w:val="00457E54"/>
    <w:rsid w:val="004649CB"/>
    <w:rsid w:val="00467713"/>
    <w:rsid w:val="00493540"/>
    <w:rsid w:val="00493EDD"/>
    <w:rsid w:val="004D4E0B"/>
    <w:rsid w:val="004E14CA"/>
    <w:rsid w:val="004F2D40"/>
    <w:rsid w:val="00540CD5"/>
    <w:rsid w:val="00546359"/>
    <w:rsid w:val="00560740"/>
    <w:rsid w:val="005874ED"/>
    <w:rsid w:val="005B5A2E"/>
    <w:rsid w:val="005C3CE5"/>
    <w:rsid w:val="005D14DE"/>
    <w:rsid w:val="00613B91"/>
    <w:rsid w:val="006703A2"/>
    <w:rsid w:val="006735CE"/>
    <w:rsid w:val="00690939"/>
    <w:rsid w:val="0069403E"/>
    <w:rsid w:val="006C373F"/>
    <w:rsid w:val="006D097B"/>
    <w:rsid w:val="006D31F7"/>
    <w:rsid w:val="00784527"/>
    <w:rsid w:val="00790205"/>
    <w:rsid w:val="0079240F"/>
    <w:rsid w:val="007E150C"/>
    <w:rsid w:val="007F03BB"/>
    <w:rsid w:val="007F1ADF"/>
    <w:rsid w:val="00801814"/>
    <w:rsid w:val="008055D5"/>
    <w:rsid w:val="00810223"/>
    <w:rsid w:val="00887D4A"/>
    <w:rsid w:val="008B2CB4"/>
    <w:rsid w:val="008D7B6A"/>
    <w:rsid w:val="008E7108"/>
    <w:rsid w:val="00995639"/>
    <w:rsid w:val="009A7013"/>
    <w:rsid w:val="009A79C2"/>
    <w:rsid w:val="009B7D48"/>
    <w:rsid w:val="009C6C46"/>
    <w:rsid w:val="00A30A22"/>
    <w:rsid w:val="00A570E3"/>
    <w:rsid w:val="00A67478"/>
    <w:rsid w:val="00A714CA"/>
    <w:rsid w:val="00A73F66"/>
    <w:rsid w:val="00A75221"/>
    <w:rsid w:val="00A7610F"/>
    <w:rsid w:val="00A823EA"/>
    <w:rsid w:val="00A842AE"/>
    <w:rsid w:val="00AC1E5D"/>
    <w:rsid w:val="00B10A15"/>
    <w:rsid w:val="00B26D91"/>
    <w:rsid w:val="00B9547F"/>
    <w:rsid w:val="00BB0345"/>
    <w:rsid w:val="00C3047E"/>
    <w:rsid w:val="00C374BE"/>
    <w:rsid w:val="00C77289"/>
    <w:rsid w:val="00C81225"/>
    <w:rsid w:val="00CA5C30"/>
    <w:rsid w:val="00CD36EA"/>
    <w:rsid w:val="00D15E78"/>
    <w:rsid w:val="00D177E6"/>
    <w:rsid w:val="00D203CB"/>
    <w:rsid w:val="00D5621D"/>
    <w:rsid w:val="00D97517"/>
    <w:rsid w:val="00DA1E19"/>
    <w:rsid w:val="00DC05CD"/>
    <w:rsid w:val="00DC41E0"/>
    <w:rsid w:val="00DD4B87"/>
    <w:rsid w:val="00E65B0D"/>
    <w:rsid w:val="00E850C3"/>
    <w:rsid w:val="00E85D9D"/>
    <w:rsid w:val="00ED2F6D"/>
    <w:rsid w:val="00EF3837"/>
    <w:rsid w:val="00F16707"/>
    <w:rsid w:val="00F236F1"/>
    <w:rsid w:val="00F540CF"/>
    <w:rsid w:val="00F57656"/>
    <w:rsid w:val="00F83D8E"/>
    <w:rsid w:val="00FC129F"/>
    <w:rsid w:val="00FC4CD7"/>
    <w:rsid w:val="00FE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287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AE7"/>
    <w:pPr>
      <w:widowControl w:val="0"/>
      <w:spacing w:before="240" w:after="240" w:line="276" w:lineRule="auto"/>
      <w:ind w:left="851" w:right="851"/>
      <w:jc w:val="both"/>
    </w:pPr>
    <w:rPr>
      <w:rFonts w:eastAsia="Times New Roman" w:cs="Times New Roman"/>
      <w:sz w:val="20"/>
      <w:szCs w:val="20"/>
    </w:rPr>
  </w:style>
  <w:style w:type="paragraph" w:styleId="Heading1">
    <w:name w:val="heading 1"/>
    <w:basedOn w:val="Normal"/>
    <w:next w:val="Normal"/>
    <w:link w:val="Heading1Char"/>
    <w:uiPriority w:val="9"/>
    <w:qFormat/>
    <w:rsid w:val="00246AE7"/>
    <w:pPr>
      <w:keepNext/>
      <w:keepLines/>
      <w:numPr>
        <w:numId w:val="4"/>
      </w:numPr>
      <w:ind w:left="1282" w:right="850"/>
      <w:outlineLvl w:val="0"/>
    </w:pPr>
    <w:rPr>
      <w:b/>
      <w:bCs/>
      <w:color w:val="000000" w:themeColor="text1"/>
      <w:sz w:val="24"/>
      <w:szCs w:val="24"/>
      <w:lang w:val="vi-VN"/>
    </w:rPr>
  </w:style>
  <w:style w:type="paragraph" w:styleId="Heading2">
    <w:name w:val="heading 2"/>
    <w:basedOn w:val="Normal"/>
    <w:next w:val="Normal"/>
    <w:link w:val="Heading2Char"/>
    <w:uiPriority w:val="9"/>
    <w:unhideWhenUsed/>
    <w:qFormat/>
    <w:rsid w:val="00246AE7"/>
    <w:pPr>
      <w:keepNext/>
      <w:keepLines/>
      <w:numPr>
        <w:ilvl w:val="1"/>
        <w:numId w:val="4"/>
      </w:numPr>
      <w:ind w:left="1426"/>
      <w:outlineLvl w:val="1"/>
    </w:pPr>
    <w:rPr>
      <w:b/>
      <w:bCs/>
      <w:color w:val="000000" w:themeColor="text1"/>
    </w:rPr>
  </w:style>
  <w:style w:type="paragraph" w:styleId="Heading3">
    <w:name w:val="heading 3"/>
    <w:basedOn w:val="Normal"/>
    <w:next w:val="Normal"/>
    <w:link w:val="Heading3Char"/>
    <w:uiPriority w:val="9"/>
    <w:unhideWhenUsed/>
    <w:qFormat/>
    <w:rsid w:val="008E7108"/>
    <w:pPr>
      <w:keepNext/>
      <w:keepLines/>
      <w:numPr>
        <w:ilvl w:val="2"/>
        <w:numId w:val="4"/>
      </w:numPr>
      <w:spacing w:before="160" w:after="80"/>
      <w:ind w:left="157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7E150C"/>
    <w:pPr>
      <w:keepNext/>
      <w:keepLines/>
      <w:numPr>
        <w:ilvl w:val="3"/>
        <w:numId w:val="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150C"/>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150C"/>
    <w:pPr>
      <w:keepNext/>
      <w:keepLines/>
      <w:numPr>
        <w:ilvl w:val="5"/>
        <w:numId w:val="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150C"/>
    <w:pPr>
      <w:keepNext/>
      <w:keepLines/>
      <w:numPr>
        <w:ilvl w:val="6"/>
        <w:numId w:val="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150C"/>
    <w:pPr>
      <w:keepNext/>
      <w:keepLines/>
      <w:numPr>
        <w:ilvl w:val="7"/>
        <w:numId w:val="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150C"/>
    <w:pPr>
      <w:keepNext/>
      <w:keepLines/>
      <w:numPr>
        <w:ilvl w:val="8"/>
        <w:numId w:val="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E7"/>
    <w:rPr>
      <w:rFonts w:eastAsia="Times New Roman" w:cs="Times New Roman"/>
      <w:b/>
      <w:bCs/>
      <w:color w:val="000000" w:themeColor="text1"/>
      <w:lang w:val="vi-VN"/>
    </w:rPr>
  </w:style>
  <w:style w:type="character" w:customStyle="1" w:styleId="Heading2Char">
    <w:name w:val="Heading 2 Char"/>
    <w:basedOn w:val="DefaultParagraphFont"/>
    <w:link w:val="Heading2"/>
    <w:uiPriority w:val="9"/>
    <w:rsid w:val="00246AE7"/>
    <w:rPr>
      <w:rFonts w:eastAsia="Times New Roman" w:cs="Times New Roman"/>
      <w:b/>
      <w:bCs/>
      <w:color w:val="000000" w:themeColor="text1"/>
      <w:sz w:val="20"/>
      <w:szCs w:val="20"/>
    </w:rPr>
  </w:style>
  <w:style w:type="character" w:customStyle="1" w:styleId="Heading3Char">
    <w:name w:val="Heading 3 Char"/>
    <w:basedOn w:val="DefaultParagraphFont"/>
    <w:link w:val="Heading3"/>
    <w:uiPriority w:val="9"/>
    <w:rsid w:val="008E7108"/>
    <w:rPr>
      <w:rFonts w:eastAsiaTheme="majorEastAsia" w:cs="Times New Roman"/>
      <w:b/>
      <w:bCs/>
      <w:color w:val="000000" w:themeColor="text1"/>
      <w:sz w:val="20"/>
      <w:szCs w:val="20"/>
    </w:rPr>
  </w:style>
  <w:style w:type="character" w:customStyle="1" w:styleId="Heading4Char">
    <w:name w:val="Heading 4 Char"/>
    <w:basedOn w:val="DefaultParagraphFont"/>
    <w:link w:val="Heading4"/>
    <w:uiPriority w:val="9"/>
    <w:semiHidden/>
    <w:rsid w:val="007E15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15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15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15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15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15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1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50C"/>
    <w:pPr>
      <w:numPr>
        <w:ilvl w:val="1"/>
      </w:numPr>
      <w:ind w:left="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5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150C"/>
    <w:pPr>
      <w:spacing w:before="160"/>
      <w:jc w:val="center"/>
    </w:pPr>
    <w:rPr>
      <w:i/>
      <w:iCs/>
      <w:color w:val="404040" w:themeColor="text1" w:themeTint="BF"/>
    </w:rPr>
  </w:style>
  <w:style w:type="character" w:customStyle="1" w:styleId="QuoteChar">
    <w:name w:val="Quote Char"/>
    <w:basedOn w:val="DefaultParagraphFont"/>
    <w:link w:val="Quote"/>
    <w:uiPriority w:val="29"/>
    <w:rsid w:val="007E150C"/>
    <w:rPr>
      <w:i/>
      <w:iCs/>
      <w:color w:val="404040" w:themeColor="text1" w:themeTint="BF"/>
    </w:rPr>
  </w:style>
  <w:style w:type="paragraph" w:styleId="ListParagraph">
    <w:name w:val="List Paragraph"/>
    <w:basedOn w:val="Normal"/>
    <w:uiPriority w:val="34"/>
    <w:qFormat/>
    <w:rsid w:val="007E150C"/>
    <w:pPr>
      <w:ind w:left="720"/>
      <w:contextualSpacing/>
    </w:pPr>
  </w:style>
  <w:style w:type="character" w:styleId="IntenseEmphasis">
    <w:name w:val="Intense Emphasis"/>
    <w:basedOn w:val="DefaultParagraphFont"/>
    <w:uiPriority w:val="21"/>
    <w:qFormat/>
    <w:rsid w:val="007E150C"/>
    <w:rPr>
      <w:i/>
      <w:iCs/>
      <w:color w:val="0F4761" w:themeColor="accent1" w:themeShade="BF"/>
    </w:rPr>
  </w:style>
  <w:style w:type="paragraph" w:styleId="IntenseQuote">
    <w:name w:val="Intense Quote"/>
    <w:basedOn w:val="Normal"/>
    <w:next w:val="Normal"/>
    <w:link w:val="IntenseQuoteChar"/>
    <w:uiPriority w:val="30"/>
    <w:qFormat/>
    <w:rsid w:val="007E1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50C"/>
    <w:rPr>
      <w:i/>
      <w:iCs/>
      <w:color w:val="0F4761" w:themeColor="accent1" w:themeShade="BF"/>
    </w:rPr>
  </w:style>
  <w:style w:type="character" w:styleId="IntenseReference">
    <w:name w:val="Intense Reference"/>
    <w:basedOn w:val="DefaultParagraphFont"/>
    <w:uiPriority w:val="32"/>
    <w:qFormat/>
    <w:rsid w:val="007E150C"/>
    <w:rPr>
      <w:b/>
      <w:bCs/>
      <w:smallCaps/>
      <w:color w:val="0F4761" w:themeColor="accent1" w:themeShade="BF"/>
      <w:spacing w:val="5"/>
    </w:rPr>
  </w:style>
  <w:style w:type="character" w:styleId="Hyperlink">
    <w:name w:val="Hyperlink"/>
    <w:basedOn w:val="DefaultParagraphFont"/>
    <w:uiPriority w:val="99"/>
    <w:unhideWhenUsed/>
    <w:rsid w:val="001E6757"/>
    <w:rPr>
      <w:color w:val="467886" w:themeColor="hyperlink"/>
      <w:u w:val="single"/>
    </w:rPr>
  </w:style>
  <w:style w:type="character" w:styleId="UnresolvedMention">
    <w:name w:val="Unresolved Mention"/>
    <w:basedOn w:val="DefaultParagraphFont"/>
    <w:uiPriority w:val="99"/>
    <w:semiHidden/>
    <w:unhideWhenUsed/>
    <w:rsid w:val="001E6757"/>
    <w:rPr>
      <w:color w:val="605E5C"/>
      <w:shd w:val="clear" w:color="auto" w:fill="E1DFDD"/>
    </w:rPr>
  </w:style>
  <w:style w:type="table" w:styleId="TableGrid">
    <w:name w:val="Table Grid"/>
    <w:basedOn w:val="TableNormal"/>
    <w:uiPriority w:val="39"/>
    <w:rsid w:val="00457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4E0B"/>
    <w:pPr>
      <w:widowControl/>
      <w:spacing w:before="100" w:beforeAutospacing="1" w:after="100" w:afterAutospacing="1" w:line="240" w:lineRule="auto"/>
      <w:ind w:left="0" w:right="0"/>
      <w:jc w:val="left"/>
    </w:pPr>
    <w:rPr>
      <w:kern w:val="0"/>
      <w:sz w:val="24"/>
      <w:szCs w:val="24"/>
      <w14:ligatures w14:val="none"/>
    </w:rPr>
  </w:style>
  <w:style w:type="paragraph" w:styleId="Header">
    <w:name w:val="header"/>
    <w:basedOn w:val="Normal"/>
    <w:link w:val="HeaderChar"/>
    <w:uiPriority w:val="99"/>
    <w:unhideWhenUsed/>
    <w:rsid w:val="008055D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055D5"/>
    <w:rPr>
      <w:rFonts w:eastAsia="Times New Roman" w:cs="Times New Roman"/>
      <w:sz w:val="20"/>
      <w:szCs w:val="20"/>
    </w:rPr>
  </w:style>
  <w:style w:type="paragraph" w:styleId="Footer">
    <w:name w:val="footer"/>
    <w:basedOn w:val="Normal"/>
    <w:link w:val="FooterChar"/>
    <w:uiPriority w:val="99"/>
    <w:unhideWhenUsed/>
    <w:rsid w:val="008055D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055D5"/>
    <w:rPr>
      <w:rFonts w:eastAsia="Times New Roman" w:cs="Times New Roman"/>
      <w:sz w:val="20"/>
      <w:szCs w:val="20"/>
    </w:rPr>
  </w:style>
  <w:style w:type="character" w:styleId="PageNumber">
    <w:name w:val="page number"/>
    <w:basedOn w:val="DefaultParagraphFont"/>
    <w:uiPriority w:val="99"/>
    <w:semiHidden/>
    <w:unhideWhenUsed/>
    <w:rsid w:val="008055D5"/>
  </w:style>
  <w:style w:type="paragraph" w:customStyle="1" w:styleId="Compact">
    <w:name w:val="Compact"/>
    <w:basedOn w:val="BodyText"/>
    <w:qFormat/>
    <w:rsid w:val="00E85D9D"/>
    <w:pPr>
      <w:widowControl/>
      <w:spacing w:before="36" w:after="36" w:line="240" w:lineRule="auto"/>
      <w:ind w:left="0" w:right="0"/>
      <w:jc w:val="left"/>
    </w:pPr>
    <w:rPr>
      <w:rFonts w:asciiTheme="minorHAnsi" w:eastAsiaTheme="minorEastAsia" w:hAnsiTheme="minorHAnsi" w:cstheme="minorBidi"/>
      <w:kern w:val="0"/>
      <w:sz w:val="24"/>
      <w:szCs w:val="24"/>
      <w:lang w:eastAsia="zh-CN"/>
      <w14:ligatures w14:val="none"/>
    </w:rPr>
  </w:style>
  <w:style w:type="table" w:customStyle="1" w:styleId="Table">
    <w:name w:val="Table"/>
    <w:semiHidden/>
    <w:unhideWhenUsed/>
    <w:qFormat/>
    <w:rsid w:val="00E85D9D"/>
    <w:pPr>
      <w:spacing w:after="200" w:line="240" w:lineRule="auto"/>
    </w:pPr>
    <w:rPr>
      <w:rFonts w:asciiTheme="minorHAnsi" w:eastAsiaTheme="minorEastAsia" w:hAnsiTheme="minorHAnsi"/>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unhideWhenUsed/>
    <w:rsid w:val="00E85D9D"/>
    <w:pPr>
      <w:spacing w:after="120"/>
    </w:pPr>
  </w:style>
  <w:style w:type="character" w:customStyle="1" w:styleId="BodyTextChar">
    <w:name w:val="Body Text Char"/>
    <w:basedOn w:val="DefaultParagraphFont"/>
    <w:link w:val="BodyText"/>
    <w:uiPriority w:val="99"/>
    <w:rsid w:val="00E85D9D"/>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9324">
      <w:bodyDiv w:val="1"/>
      <w:marLeft w:val="0"/>
      <w:marRight w:val="0"/>
      <w:marTop w:val="0"/>
      <w:marBottom w:val="0"/>
      <w:divBdr>
        <w:top w:val="none" w:sz="0" w:space="0" w:color="auto"/>
        <w:left w:val="none" w:sz="0" w:space="0" w:color="auto"/>
        <w:bottom w:val="none" w:sz="0" w:space="0" w:color="auto"/>
        <w:right w:val="none" w:sz="0" w:space="0" w:color="auto"/>
      </w:divBdr>
    </w:div>
    <w:div w:id="71706722">
      <w:bodyDiv w:val="1"/>
      <w:marLeft w:val="0"/>
      <w:marRight w:val="0"/>
      <w:marTop w:val="0"/>
      <w:marBottom w:val="0"/>
      <w:divBdr>
        <w:top w:val="none" w:sz="0" w:space="0" w:color="auto"/>
        <w:left w:val="none" w:sz="0" w:space="0" w:color="auto"/>
        <w:bottom w:val="none" w:sz="0" w:space="0" w:color="auto"/>
        <w:right w:val="none" w:sz="0" w:space="0" w:color="auto"/>
      </w:divBdr>
    </w:div>
    <w:div w:id="91703601">
      <w:bodyDiv w:val="1"/>
      <w:marLeft w:val="0"/>
      <w:marRight w:val="0"/>
      <w:marTop w:val="0"/>
      <w:marBottom w:val="0"/>
      <w:divBdr>
        <w:top w:val="none" w:sz="0" w:space="0" w:color="auto"/>
        <w:left w:val="none" w:sz="0" w:space="0" w:color="auto"/>
        <w:bottom w:val="none" w:sz="0" w:space="0" w:color="auto"/>
        <w:right w:val="none" w:sz="0" w:space="0" w:color="auto"/>
      </w:divBdr>
      <w:divsChild>
        <w:div w:id="436950529">
          <w:marLeft w:val="0"/>
          <w:marRight w:val="0"/>
          <w:marTop w:val="0"/>
          <w:marBottom w:val="0"/>
          <w:divBdr>
            <w:top w:val="none" w:sz="0" w:space="0" w:color="auto"/>
            <w:left w:val="none" w:sz="0" w:space="0" w:color="auto"/>
            <w:bottom w:val="none" w:sz="0" w:space="0" w:color="auto"/>
            <w:right w:val="none" w:sz="0" w:space="0" w:color="auto"/>
          </w:divBdr>
          <w:divsChild>
            <w:div w:id="1024668716">
              <w:marLeft w:val="0"/>
              <w:marRight w:val="0"/>
              <w:marTop w:val="0"/>
              <w:marBottom w:val="0"/>
              <w:divBdr>
                <w:top w:val="none" w:sz="0" w:space="0" w:color="auto"/>
                <w:left w:val="none" w:sz="0" w:space="0" w:color="auto"/>
                <w:bottom w:val="none" w:sz="0" w:space="0" w:color="auto"/>
                <w:right w:val="none" w:sz="0" w:space="0" w:color="auto"/>
              </w:divBdr>
              <w:divsChild>
                <w:div w:id="611209026">
                  <w:marLeft w:val="0"/>
                  <w:marRight w:val="0"/>
                  <w:marTop w:val="0"/>
                  <w:marBottom w:val="0"/>
                  <w:divBdr>
                    <w:top w:val="none" w:sz="0" w:space="0" w:color="auto"/>
                    <w:left w:val="none" w:sz="0" w:space="0" w:color="auto"/>
                    <w:bottom w:val="none" w:sz="0" w:space="0" w:color="auto"/>
                    <w:right w:val="none" w:sz="0" w:space="0" w:color="auto"/>
                  </w:divBdr>
                  <w:divsChild>
                    <w:div w:id="695541670">
                      <w:marLeft w:val="0"/>
                      <w:marRight w:val="0"/>
                      <w:marTop w:val="0"/>
                      <w:marBottom w:val="0"/>
                      <w:divBdr>
                        <w:top w:val="none" w:sz="0" w:space="0" w:color="auto"/>
                        <w:left w:val="none" w:sz="0" w:space="0" w:color="auto"/>
                        <w:bottom w:val="none" w:sz="0" w:space="0" w:color="auto"/>
                        <w:right w:val="none" w:sz="0" w:space="0" w:color="auto"/>
                      </w:divBdr>
                      <w:divsChild>
                        <w:div w:id="1480923359">
                          <w:marLeft w:val="0"/>
                          <w:marRight w:val="0"/>
                          <w:marTop w:val="0"/>
                          <w:marBottom w:val="0"/>
                          <w:divBdr>
                            <w:top w:val="none" w:sz="0" w:space="0" w:color="auto"/>
                            <w:left w:val="none" w:sz="0" w:space="0" w:color="auto"/>
                            <w:bottom w:val="none" w:sz="0" w:space="0" w:color="auto"/>
                            <w:right w:val="none" w:sz="0" w:space="0" w:color="auto"/>
                          </w:divBdr>
                          <w:divsChild>
                            <w:div w:id="691688408">
                              <w:marLeft w:val="0"/>
                              <w:marRight w:val="0"/>
                              <w:marTop w:val="0"/>
                              <w:marBottom w:val="0"/>
                              <w:divBdr>
                                <w:top w:val="none" w:sz="0" w:space="0" w:color="auto"/>
                                <w:left w:val="none" w:sz="0" w:space="0" w:color="auto"/>
                                <w:bottom w:val="none" w:sz="0" w:space="0" w:color="auto"/>
                                <w:right w:val="none" w:sz="0" w:space="0" w:color="auto"/>
                              </w:divBdr>
                              <w:divsChild>
                                <w:div w:id="1023483547">
                                  <w:marLeft w:val="0"/>
                                  <w:marRight w:val="0"/>
                                  <w:marTop w:val="0"/>
                                  <w:marBottom w:val="0"/>
                                  <w:divBdr>
                                    <w:top w:val="none" w:sz="0" w:space="0" w:color="auto"/>
                                    <w:left w:val="none" w:sz="0" w:space="0" w:color="auto"/>
                                    <w:bottom w:val="none" w:sz="0" w:space="0" w:color="auto"/>
                                    <w:right w:val="none" w:sz="0" w:space="0" w:color="auto"/>
                                  </w:divBdr>
                                  <w:divsChild>
                                    <w:div w:id="1836021783">
                                      <w:marLeft w:val="0"/>
                                      <w:marRight w:val="0"/>
                                      <w:marTop w:val="0"/>
                                      <w:marBottom w:val="0"/>
                                      <w:divBdr>
                                        <w:top w:val="none" w:sz="0" w:space="0" w:color="auto"/>
                                        <w:left w:val="none" w:sz="0" w:space="0" w:color="auto"/>
                                        <w:bottom w:val="none" w:sz="0" w:space="0" w:color="auto"/>
                                        <w:right w:val="none" w:sz="0" w:space="0" w:color="auto"/>
                                      </w:divBdr>
                                      <w:divsChild>
                                        <w:div w:id="688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28204">
                              <w:marLeft w:val="0"/>
                              <w:marRight w:val="0"/>
                              <w:marTop w:val="0"/>
                              <w:marBottom w:val="0"/>
                              <w:divBdr>
                                <w:top w:val="none" w:sz="0" w:space="0" w:color="auto"/>
                                <w:left w:val="none" w:sz="0" w:space="0" w:color="auto"/>
                                <w:bottom w:val="none" w:sz="0" w:space="0" w:color="auto"/>
                                <w:right w:val="none" w:sz="0" w:space="0" w:color="auto"/>
                              </w:divBdr>
                              <w:divsChild>
                                <w:div w:id="287931485">
                                  <w:marLeft w:val="0"/>
                                  <w:marRight w:val="0"/>
                                  <w:marTop w:val="0"/>
                                  <w:marBottom w:val="0"/>
                                  <w:divBdr>
                                    <w:top w:val="none" w:sz="0" w:space="0" w:color="auto"/>
                                    <w:left w:val="none" w:sz="0" w:space="0" w:color="auto"/>
                                    <w:bottom w:val="none" w:sz="0" w:space="0" w:color="auto"/>
                                    <w:right w:val="none" w:sz="0" w:space="0" w:color="auto"/>
                                  </w:divBdr>
                                  <w:divsChild>
                                    <w:div w:id="918833478">
                                      <w:marLeft w:val="0"/>
                                      <w:marRight w:val="0"/>
                                      <w:marTop w:val="0"/>
                                      <w:marBottom w:val="0"/>
                                      <w:divBdr>
                                        <w:top w:val="none" w:sz="0" w:space="0" w:color="auto"/>
                                        <w:left w:val="none" w:sz="0" w:space="0" w:color="auto"/>
                                        <w:bottom w:val="none" w:sz="0" w:space="0" w:color="auto"/>
                                        <w:right w:val="none" w:sz="0" w:space="0" w:color="auto"/>
                                      </w:divBdr>
                                      <w:divsChild>
                                        <w:div w:id="7037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345062">
          <w:marLeft w:val="0"/>
          <w:marRight w:val="0"/>
          <w:marTop w:val="0"/>
          <w:marBottom w:val="0"/>
          <w:divBdr>
            <w:top w:val="none" w:sz="0" w:space="0" w:color="auto"/>
            <w:left w:val="none" w:sz="0" w:space="0" w:color="auto"/>
            <w:bottom w:val="none" w:sz="0" w:space="0" w:color="auto"/>
            <w:right w:val="none" w:sz="0" w:space="0" w:color="auto"/>
          </w:divBdr>
          <w:divsChild>
            <w:div w:id="2467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7128">
      <w:bodyDiv w:val="1"/>
      <w:marLeft w:val="0"/>
      <w:marRight w:val="0"/>
      <w:marTop w:val="0"/>
      <w:marBottom w:val="0"/>
      <w:divBdr>
        <w:top w:val="none" w:sz="0" w:space="0" w:color="auto"/>
        <w:left w:val="none" w:sz="0" w:space="0" w:color="auto"/>
        <w:bottom w:val="none" w:sz="0" w:space="0" w:color="auto"/>
        <w:right w:val="none" w:sz="0" w:space="0" w:color="auto"/>
      </w:divBdr>
    </w:div>
    <w:div w:id="150101485">
      <w:bodyDiv w:val="1"/>
      <w:marLeft w:val="0"/>
      <w:marRight w:val="0"/>
      <w:marTop w:val="0"/>
      <w:marBottom w:val="0"/>
      <w:divBdr>
        <w:top w:val="none" w:sz="0" w:space="0" w:color="auto"/>
        <w:left w:val="none" w:sz="0" w:space="0" w:color="auto"/>
        <w:bottom w:val="none" w:sz="0" w:space="0" w:color="auto"/>
        <w:right w:val="none" w:sz="0" w:space="0" w:color="auto"/>
      </w:divBdr>
    </w:div>
    <w:div w:id="179323811">
      <w:bodyDiv w:val="1"/>
      <w:marLeft w:val="0"/>
      <w:marRight w:val="0"/>
      <w:marTop w:val="0"/>
      <w:marBottom w:val="0"/>
      <w:divBdr>
        <w:top w:val="none" w:sz="0" w:space="0" w:color="auto"/>
        <w:left w:val="none" w:sz="0" w:space="0" w:color="auto"/>
        <w:bottom w:val="none" w:sz="0" w:space="0" w:color="auto"/>
        <w:right w:val="none" w:sz="0" w:space="0" w:color="auto"/>
      </w:divBdr>
    </w:div>
    <w:div w:id="345446694">
      <w:bodyDiv w:val="1"/>
      <w:marLeft w:val="0"/>
      <w:marRight w:val="0"/>
      <w:marTop w:val="0"/>
      <w:marBottom w:val="0"/>
      <w:divBdr>
        <w:top w:val="none" w:sz="0" w:space="0" w:color="auto"/>
        <w:left w:val="none" w:sz="0" w:space="0" w:color="auto"/>
        <w:bottom w:val="none" w:sz="0" w:space="0" w:color="auto"/>
        <w:right w:val="none" w:sz="0" w:space="0" w:color="auto"/>
      </w:divBdr>
    </w:div>
    <w:div w:id="424111556">
      <w:bodyDiv w:val="1"/>
      <w:marLeft w:val="0"/>
      <w:marRight w:val="0"/>
      <w:marTop w:val="0"/>
      <w:marBottom w:val="0"/>
      <w:divBdr>
        <w:top w:val="none" w:sz="0" w:space="0" w:color="auto"/>
        <w:left w:val="none" w:sz="0" w:space="0" w:color="auto"/>
        <w:bottom w:val="none" w:sz="0" w:space="0" w:color="auto"/>
        <w:right w:val="none" w:sz="0" w:space="0" w:color="auto"/>
      </w:divBdr>
    </w:div>
    <w:div w:id="456995237">
      <w:bodyDiv w:val="1"/>
      <w:marLeft w:val="0"/>
      <w:marRight w:val="0"/>
      <w:marTop w:val="0"/>
      <w:marBottom w:val="0"/>
      <w:divBdr>
        <w:top w:val="none" w:sz="0" w:space="0" w:color="auto"/>
        <w:left w:val="none" w:sz="0" w:space="0" w:color="auto"/>
        <w:bottom w:val="none" w:sz="0" w:space="0" w:color="auto"/>
        <w:right w:val="none" w:sz="0" w:space="0" w:color="auto"/>
      </w:divBdr>
    </w:div>
    <w:div w:id="460536443">
      <w:bodyDiv w:val="1"/>
      <w:marLeft w:val="0"/>
      <w:marRight w:val="0"/>
      <w:marTop w:val="0"/>
      <w:marBottom w:val="0"/>
      <w:divBdr>
        <w:top w:val="none" w:sz="0" w:space="0" w:color="auto"/>
        <w:left w:val="none" w:sz="0" w:space="0" w:color="auto"/>
        <w:bottom w:val="none" w:sz="0" w:space="0" w:color="auto"/>
        <w:right w:val="none" w:sz="0" w:space="0" w:color="auto"/>
      </w:divBdr>
    </w:div>
    <w:div w:id="500975589">
      <w:bodyDiv w:val="1"/>
      <w:marLeft w:val="0"/>
      <w:marRight w:val="0"/>
      <w:marTop w:val="0"/>
      <w:marBottom w:val="0"/>
      <w:divBdr>
        <w:top w:val="none" w:sz="0" w:space="0" w:color="auto"/>
        <w:left w:val="none" w:sz="0" w:space="0" w:color="auto"/>
        <w:bottom w:val="none" w:sz="0" w:space="0" w:color="auto"/>
        <w:right w:val="none" w:sz="0" w:space="0" w:color="auto"/>
      </w:divBdr>
    </w:div>
    <w:div w:id="518354713">
      <w:bodyDiv w:val="1"/>
      <w:marLeft w:val="0"/>
      <w:marRight w:val="0"/>
      <w:marTop w:val="0"/>
      <w:marBottom w:val="0"/>
      <w:divBdr>
        <w:top w:val="none" w:sz="0" w:space="0" w:color="auto"/>
        <w:left w:val="none" w:sz="0" w:space="0" w:color="auto"/>
        <w:bottom w:val="none" w:sz="0" w:space="0" w:color="auto"/>
        <w:right w:val="none" w:sz="0" w:space="0" w:color="auto"/>
      </w:divBdr>
    </w:div>
    <w:div w:id="651175483">
      <w:bodyDiv w:val="1"/>
      <w:marLeft w:val="0"/>
      <w:marRight w:val="0"/>
      <w:marTop w:val="0"/>
      <w:marBottom w:val="0"/>
      <w:divBdr>
        <w:top w:val="none" w:sz="0" w:space="0" w:color="auto"/>
        <w:left w:val="none" w:sz="0" w:space="0" w:color="auto"/>
        <w:bottom w:val="none" w:sz="0" w:space="0" w:color="auto"/>
        <w:right w:val="none" w:sz="0" w:space="0" w:color="auto"/>
      </w:divBdr>
    </w:div>
    <w:div w:id="717515327">
      <w:bodyDiv w:val="1"/>
      <w:marLeft w:val="0"/>
      <w:marRight w:val="0"/>
      <w:marTop w:val="0"/>
      <w:marBottom w:val="0"/>
      <w:divBdr>
        <w:top w:val="none" w:sz="0" w:space="0" w:color="auto"/>
        <w:left w:val="none" w:sz="0" w:space="0" w:color="auto"/>
        <w:bottom w:val="none" w:sz="0" w:space="0" w:color="auto"/>
        <w:right w:val="none" w:sz="0" w:space="0" w:color="auto"/>
      </w:divBdr>
    </w:div>
    <w:div w:id="970667450">
      <w:bodyDiv w:val="1"/>
      <w:marLeft w:val="0"/>
      <w:marRight w:val="0"/>
      <w:marTop w:val="0"/>
      <w:marBottom w:val="0"/>
      <w:divBdr>
        <w:top w:val="none" w:sz="0" w:space="0" w:color="auto"/>
        <w:left w:val="none" w:sz="0" w:space="0" w:color="auto"/>
        <w:bottom w:val="none" w:sz="0" w:space="0" w:color="auto"/>
        <w:right w:val="none" w:sz="0" w:space="0" w:color="auto"/>
      </w:divBdr>
    </w:div>
    <w:div w:id="977492857">
      <w:bodyDiv w:val="1"/>
      <w:marLeft w:val="0"/>
      <w:marRight w:val="0"/>
      <w:marTop w:val="0"/>
      <w:marBottom w:val="0"/>
      <w:divBdr>
        <w:top w:val="none" w:sz="0" w:space="0" w:color="auto"/>
        <w:left w:val="none" w:sz="0" w:space="0" w:color="auto"/>
        <w:bottom w:val="none" w:sz="0" w:space="0" w:color="auto"/>
        <w:right w:val="none" w:sz="0" w:space="0" w:color="auto"/>
      </w:divBdr>
    </w:div>
    <w:div w:id="1008210574">
      <w:bodyDiv w:val="1"/>
      <w:marLeft w:val="0"/>
      <w:marRight w:val="0"/>
      <w:marTop w:val="0"/>
      <w:marBottom w:val="0"/>
      <w:divBdr>
        <w:top w:val="none" w:sz="0" w:space="0" w:color="auto"/>
        <w:left w:val="none" w:sz="0" w:space="0" w:color="auto"/>
        <w:bottom w:val="none" w:sz="0" w:space="0" w:color="auto"/>
        <w:right w:val="none" w:sz="0" w:space="0" w:color="auto"/>
      </w:divBdr>
    </w:div>
    <w:div w:id="1017973724">
      <w:bodyDiv w:val="1"/>
      <w:marLeft w:val="0"/>
      <w:marRight w:val="0"/>
      <w:marTop w:val="0"/>
      <w:marBottom w:val="0"/>
      <w:divBdr>
        <w:top w:val="none" w:sz="0" w:space="0" w:color="auto"/>
        <w:left w:val="none" w:sz="0" w:space="0" w:color="auto"/>
        <w:bottom w:val="none" w:sz="0" w:space="0" w:color="auto"/>
        <w:right w:val="none" w:sz="0" w:space="0" w:color="auto"/>
      </w:divBdr>
    </w:div>
    <w:div w:id="1051224686">
      <w:bodyDiv w:val="1"/>
      <w:marLeft w:val="0"/>
      <w:marRight w:val="0"/>
      <w:marTop w:val="0"/>
      <w:marBottom w:val="0"/>
      <w:divBdr>
        <w:top w:val="none" w:sz="0" w:space="0" w:color="auto"/>
        <w:left w:val="none" w:sz="0" w:space="0" w:color="auto"/>
        <w:bottom w:val="none" w:sz="0" w:space="0" w:color="auto"/>
        <w:right w:val="none" w:sz="0" w:space="0" w:color="auto"/>
      </w:divBdr>
    </w:div>
    <w:div w:id="1056586924">
      <w:bodyDiv w:val="1"/>
      <w:marLeft w:val="0"/>
      <w:marRight w:val="0"/>
      <w:marTop w:val="0"/>
      <w:marBottom w:val="0"/>
      <w:divBdr>
        <w:top w:val="none" w:sz="0" w:space="0" w:color="auto"/>
        <w:left w:val="none" w:sz="0" w:space="0" w:color="auto"/>
        <w:bottom w:val="none" w:sz="0" w:space="0" w:color="auto"/>
        <w:right w:val="none" w:sz="0" w:space="0" w:color="auto"/>
      </w:divBdr>
    </w:div>
    <w:div w:id="1062025494">
      <w:bodyDiv w:val="1"/>
      <w:marLeft w:val="0"/>
      <w:marRight w:val="0"/>
      <w:marTop w:val="0"/>
      <w:marBottom w:val="0"/>
      <w:divBdr>
        <w:top w:val="none" w:sz="0" w:space="0" w:color="auto"/>
        <w:left w:val="none" w:sz="0" w:space="0" w:color="auto"/>
        <w:bottom w:val="none" w:sz="0" w:space="0" w:color="auto"/>
        <w:right w:val="none" w:sz="0" w:space="0" w:color="auto"/>
      </w:divBdr>
    </w:div>
    <w:div w:id="1117673556">
      <w:bodyDiv w:val="1"/>
      <w:marLeft w:val="0"/>
      <w:marRight w:val="0"/>
      <w:marTop w:val="0"/>
      <w:marBottom w:val="0"/>
      <w:divBdr>
        <w:top w:val="none" w:sz="0" w:space="0" w:color="auto"/>
        <w:left w:val="none" w:sz="0" w:space="0" w:color="auto"/>
        <w:bottom w:val="none" w:sz="0" w:space="0" w:color="auto"/>
        <w:right w:val="none" w:sz="0" w:space="0" w:color="auto"/>
      </w:divBdr>
    </w:div>
    <w:div w:id="1220899258">
      <w:bodyDiv w:val="1"/>
      <w:marLeft w:val="0"/>
      <w:marRight w:val="0"/>
      <w:marTop w:val="0"/>
      <w:marBottom w:val="0"/>
      <w:divBdr>
        <w:top w:val="none" w:sz="0" w:space="0" w:color="auto"/>
        <w:left w:val="none" w:sz="0" w:space="0" w:color="auto"/>
        <w:bottom w:val="none" w:sz="0" w:space="0" w:color="auto"/>
        <w:right w:val="none" w:sz="0" w:space="0" w:color="auto"/>
      </w:divBdr>
    </w:div>
    <w:div w:id="1289509176">
      <w:bodyDiv w:val="1"/>
      <w:marLeft w:val="0"/>
      <w:marRight w:val="0"/>
      <w:marTop w:val="0"/>
      <w:marBottom w:val="0"/>
      <w:divBdr>
        <w:top w:val="none" w:sz="0" w:space="0" w:color="auto"/>
        <w:left w:val="none" w:sz="0" w:space="0" w:color="auto"/>
        <w:bottom w:val="none" w:sz="0" w:space="0" w:color="auto"/>
        <w:right w:val="none" w:sz="0" w:space="0" w:color="auto"/>
      </w:divBdr>
    </w:div>
    <w:div w:id="1337272243">
      <w:bodyDiv w:val="1"/>
      <w:marLeft w:val="0"/>
      <w:marRight w:val="0"/>
      <w:marTop w:val="0"/>
      <w:marBottom w:val="0"/>
      <w:divBdr>
        <w:top w:val="none" w:sz="0" w:space="0" w:color="auto"/>
        <w:left w:val="none" w:sz="0" w:space="0" w:color="auto"/>
        <w:bottom w:val="none" w:sz="0" w:space="0" w:color="auto"/>
        <w:right w:val="none" w:sz="0" w:space="0" w:color="auto"/>
      </w:divBdr>
    </w:div>
    <w:div w:id="1381630581">
      <w:bodyDiv w:val="1"/>
      <w:marLeft w:val="0"/>
      <w:marRight w:val="0"/>
      <w:marTop w:val="0"/>
      <w:marBottom w:val="0"/>
      <w:divBdr>
        <w:top w:val="none" w:sz="0" w:space="0" w:color="auto"/>
        <w:left w:val="none" w:sz="0" w:space="0" w:color="auto"/>
        <w:bottom w:val="none" w:sz="0" w:space="0" w:color="auto"/>
        <w:right w:val="none" w:sz="0" w:space="0" w:color="auto"/>
      </w:divBdr>
    </w:div>
    <w:div w:id="1383745817">
      <w:bodyDiv w:val="1"/>
      <w:marLeft w:val="0"/>
      <w:marRight w:val="0"/>
      <w:marTop w:val="0"/>
      <w:marBottom w:val="0"/>
      <w:divBdr>
        <w:top w:val="none" w:sz="0" w:space="0" w:color="auto"/>
        <w:left w:val="none" w:sz="0" w:space="0" w:color="auto"/>
        <w:bottom w:val="none" w:sz="0" w:space="0" w:color="auto"/>
        <w:right w:val="none" w:sz="0" w:space="0" w:color="auto"/>
      </w:divBdr>
    </w:div>
    <w:div w:id="1398279734">
      <w:bodyDiv w:val="1"/>
      <w:marLeft w:val="0"/>
      <w:marRight w:val="0"/>
      <w:marTop w:val="0"/>
      <w:marBottom w:val="0"/>
      <w:divBdr>
        <w:top w:val="none" w:sz="0" w:space="0" w:color="auto"/>
        <w:left w:val="none" w:sz="0" w:space="0" w:color="auto"/>
        <w:bottom w:val="none" w:sz="0" w:space="0" w:color="auto"/>
        <w:right w:val="none" w:sz="0" w:space="0" w:color="auto"/>
      </w:divBdr>
    </w:div>
    <w:div w:id="1475444218">
      <w:bodyDiv w:val="1"/>
      <w:marLeft w:val="0"/>
      <w:marRight w:val="0"/>
      <w:marTop w:val="0"/>
      <w:marBottom w:val="0"/>
      <w:divBdr>
        <w:top w:val="none" w:sz="0" w:space="0" w:color="auto"/>
        <w:left w:val="none" w:sz="0" w:space="0" w:color="auto"/>
        <w:bottom w:val="none" w:sz="0" w:space="0" w:color="auto"/>
        <w:right w:val="none" w:sz="0" w:space="0" w:color="auto"/>
      </w:divBdr>
    </w:div>
    <w:div w:id="1521971032">
      <w:bodyDiv w:val="1"/>
      <w:marLeft w:val="0"/>
      <w:marRight w:val="0"/>
      <w:marTop w:val="0"/>
      <w:marBottom w:val="0"/>
      <w:divBdr>
        <w:top w:val="none" w:sz="0" w:space="0" w:color="auto"/>
        <w:left w:val="none" w:sz="0" w:space="0" w:color="auto"/>
        <w:bottom w:val="none" w:sz="0" w:space="0" w:color="auto"/>
        <w:right w:val="none" w:sz="0" w:space="0" w:color="auto"/>
      </w:divBdr>
    </w:div>
    <w:div w:id="1773472629">
      <w:bodyDiv w:val="1"/>
      <w:marLeft w:val="0"/>
      <w:marRight w:val="0"/>
      <w:marTop w:val="0"/>
      <w:marBottom w:val="0"/>
      <w:divBdr>
        <w:top w:val="none" w:sz="0" w:space="0" w:color="auto"/>
        <w:left w:val="none" w:sz="0" w:space="0" w:color="auto"/>
        <w:bottom w:val="none" w:sz="0" w:space="0" w:color="auto"/>
        <w:right w:val="none" w:sz="0" w:space="0" w:color="auto"/>
      </w:divBdr>
    </w:div>
    <w:div w:id="1828326483">
      <w:bodyDiv w:val="1"/>
      <w:marLeft w:val="0"/>
      <w:marRight w:val="0"/>
      <w:marTop w:val="0"/>
      <w:marBottom w:val="0"/>
      <w:divBdr>
        <w:top w:val="none" w:sz="0" w:space="0" w:color="auto"/>
        <w:left w:val="none" w:sz="0" w:space="0" w:color="auto"/>
        <w:bottom w:val="none" w:sz="0" w:space="0" w:color="auto"/>
        <w:right w:val="none" w:sz="0" w:space="0" w:color="auto"/>
      </w:divBdr>
    </w:div>
    <w:div w:id="2002392998">
      <w:bodyDiv w:val="1"/>
      <w:marLeft w:val="0"/>
      <w:marRight w:val="0"/>
      <w:marTop w:val="0"/>
      <w:marBottom w:val="0"/>
      <w:divBdr>
        <w:top w:val="none" w:sz="0" w:space="0" w:color="auto"/>
        <w:left w:val="none" w:sz="0" w:space="0" w:color="auto"/>
        <w:bottom w:val="none" w:sz="0" w:space="0" w:color="auto"/>
        <w:right w:val="none" w:sz="0" w:space="0" w:color="auto"/>
      </w:divBdr>
    </w:div>
    <w:div w:id="2069914935">
      <w:bodyDiv w:val="1"/>
      <w:marLeft w:val="0"/>
      <w:marRight w:val="0"/>
      <w:marTop w:val="0"/>
      <w:marBottom w:val="0"/>
      <w:divBdr>
        <w:top w:val="none" w:sz="0" w:space="0" w:color="auto"/>
        <w:left w:val="none" w:sz="0" w:space="0" w:color="auto"/>
        <w:bottom w:val="none" w:sz="0" w:space="0" w:color="auto"/>
        <w:right w:val="none" w:sz="0" w:space="0" w:color="auto"/>
      </w:divBdr>
    </w:div>
    <w:div w:id="2112048786">
      <w:bodyDiv w:val="1"/>
      <w:marLeft w:val="0"/>
      <w:marRight w:val="0"/>
      <w:marTop w:val="0"/>
      <w:marBottom w:val="0"/>
      <w:divBdr>
        <w:top w:val="none" w:sz="0" w:space="0" w:color="auto"/>
        <w:left w:val="none" w:sz="0" w:space="0" w:color="auto"/>
        <w:bottom w:val="none" w:sz="0" w:space="0" w:color="auto"/>
        <w:right w:val="none" w:sz="0" w:space="0" w:color="auto"/>
      </w:divBdr>
      <w:divsChild>
        <w:div w:id="139688722">
          <w:marLeft w:val="0"/>
          <w:marRight w:val="0"/>
          <w:marTop w:val="0"/>
          <w:marBottom w:val="0"/>
          <w:divBdr>
            <w:top w:val="none" w:sz="0" w:space="0" w:color="auto"/>
            <w:left w:val="none" w:sz="0" w:space="0" w:color="auto"/>
            <w:bottom w:val="none" w:sz="0" w:space="0" w:color="auto"/>
            <w:right w:val="none" w:sz="0" w:space="0" w:color="auto"/>
          </w:divBdr>
          <w:divsChild>
            <w:div w:id="1150947716">
              <w:marLeft w:val="0"/>
              <w:marRight w:val="0"/>
              <w:marTop w:val="0"/>
              <w:marBottom w:val="0"/>
              <w:divBdr>
                <w:top w:val="none" w:sz="0" w:space="0" w:color="auto"/>
                <w:left w:val="none" w:sz="0" w:space="0" w:color="auto"/>
                <w:bottom w:val="none" w:sz="0" w:space="0" w:color="auto"/>
                <w:right w:val="none" w:sz="0" w:space="0" w:color="auto"/>
              </w:divBdr>
              <w:divsChild>
                <w:div w:id="1011640676">
                  <w:marLeft w:val="0"/>
                  <w:marRight w:val="0"/>
                  <w:marTop w:val="0"/>
                  <w:marBottom w:val="0"/>
                  <w:divBdr>
                    <w:top w:val="none" w:sz="0" w:space="0" w:color="auto"/>
                    <w:left w:val="none" w:sz="0" w:space="0" w:color="auto"/>
                    <w:bottom w:val="none" w:sz="0" w:space="0" w:color="auto"/>
                    <w:right w:val="none" w:sz="0" w:space="0" w:color="auto"/>
                  </w:divBdr>
                  <w:divsChild>
                    <w:div w:id="1785344815">
                      <w:marLeft w:val="0"/>
                      <w:marRight w:val="0"/>
                      <w:marTop w:val="0"/>
                      <w:marBottom w:val="0"/>
                      <w:divBdr>
                        <w:top w:val="none" w:sz="0" w:space="0" w:color="auto"/>
                        <w:left w:val="none" w:sz="0" w:space="0" w:color="auto"/>
                        <w:bottom w:val="none" w:sz="0" w:space="0" w:color="auto"/>
                        <w:right w:val="none" w:sz="0" w:space="0" w:color="auto"/>
                      </w:divBdr>
                      <w:divsChild>
                        <w:div w:id="1700013275">
                          <w:marLeft w:val="0"/>
                          <w:marRight w:val="0"/>
                          <w:marTop w:val="0"/>
                          <w:marBottom w:val="0"/>
                          <w:divBdr>
                            <w:top w:val="none" w:sz="0" w:space="0" w:color="auto"/>
                            <w:left w:val="none" w:sz="0" w:space="0" w:color="auto"/>
                            <w:bottom w:val="none" w:sz="0" w:space="0" w:color="auto"/>
                            <w:right w:val="none" w:sz="0" w:space="0" w:color="auto"/>
                          </w:divBdr>
                          <w:divsChild>
                            <w:div w:id="1492529519">
                              <w:marLeft w:val="0"/>
                              <w:marRight w:val="0"/>
                              <w:marTop w:val="0"/>
                              <w:marBottom w:val="0"/>
                              <w:divBdr>
                                <w:top w:val="none" w:sz="0" w:space="0" w:color="auto"/>
                                <w:left w:val="none" w:sz="0" w:space="0" w:color="auto"/>
                                <w:bottom w:val="none" w:sz="0" w:space="0" w:color="auto"/>
                                <w:right w:val="none" w:sz="0" w:space="0" w:color="auto"/>
                              </w:divBdr>
                              <w:divsChild>
                                <w:div w:id="274754236">
                                  <w:marLeft w:val="0"/>
                                  <w:marRight w:val="0"/>
                                  <w:marTop w:val="0"/>
                                  <w:marBottom w:val="0"/>
                                  <w:divBdr>
                                    <w:top w:val="none" w:sz="0" w:space="0" w:color="auto"/>
                                    <w:left w:val="none" w:sz="0" w:space="0" w:color="auto"/>
                                    <w:bottom w:val="none" w:sz="0" w:space="0" w:color="auto"/>
                                    <w:right w:val="none" w:sz="0" w:space="0" w:color="auto"/>
                                  </w:divBdr>
                                  <w:divsChild>
                                    <w:div w:id="635262445">
                                      <w:marLeft w:val="0"/>
                                      <w:marRight w:val="0"/>
                                      <w:marTop w:val="0"/>
                                      <w:marBottom w:val="0"/>
                                      <w:divBdr>
                                        <w:top w:val="none" w:sz="0" w:space="0" w:color="auto"/>
                                        <w:left w:val="none" w:sz="0" w:space="0" w:color="auto"/>
                                        <w:bottom w:val="none" w:sz="0" w:space="0" w:color="auto"/>
                                        <w:right w:val="none" w:sz="0" w:space="0" w:color="auto"/>
                                      </w:divBdr>
                                      <w:divsChild>
                                        <w:div w:id="5080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455002">
                              <w:marLeft w:val="0"/>
                              <w:marRight w:val="0"/>
                              <w:marTop w:val="0"/>
                              <w:marBottom w:val="0"/>
                              <w:divBdr>
                                <w:top w:val="none" w:sz="0" w:space="0" w:color="auto"/>
                                <w:left w:val="none" w:sz="0" w:space="0" w:color="auto"/>
                                <w:bottom w:val="none" w:sz="0" w:space="0" w:color="auto"/>
                                <w:right w:val="none" w:sz="0" w:space="0" w:color="auto"/>
                              </w:divBdr>
                              <w:divsChild>
                                <w:div w:id="610091057">
                                  <w:marLeft w:val="0"/>
                                  <w:marRight w:val="0"/>
                                  <w:marTop w:val="0"/>
                                  <w:marBottom w:val="0"/>
                                  <w:divBdr>
                                    <w:top w:val="none" w:sz="0" w:space="0" w:color="auto"/>
                                    <w:left w:val="none" w:sz="0" w:space="0" w:color="auto"/>
                                    <w:bottom w:val="none" w:sz="0" w:space="0" w:color="auto"/>
                                    <w:right w:val="none" w:sz="0" w:space="0" w:color="auto"/>
                                  </w:divBdr>
                                  <w:divsChild>
                                    <w:div w:id="1011101877">
                                      <w:marLeft w:val="0"/>
                                      <w:marRight w:val="0"/>
                                      <w:marTop w:val="0"/>
                                      <w:marBottom w:val="0"/>
                                      <w:divBdr>
                                        <w:top w:val="none" w:sz="0" w:space="0" w:color="auto"/>
                                        <w:left w:val="none" w:sz="0" w:space="0" w:color="auto"/>
                                        <w:bottom w:val="none" w:sz="0" w:space="0" w:color="auto"/>
                                        <w:right w:val="none" w:sz="0" w:space="0" w:color="auto"/>
                                      </w:divBdr>
                                      <w:divsChild>
                                        <w:div w:id="20058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675225">
          <w:marLeft w:val="0"/>
          <w:marRight w:val="0"/>
          <w:marTop w:val="0"/>
          <w:marBottom w:val="0"/>
          <w:divBdr>
            <w:top w:val="none" w:sz="0" w:space="0" w:color="auto"/>
            <w:left w:val="none" w:sz="0" w:space="0" w:color="auto"/>
            <w:bottom w:val="none" w:sz="0" w:space="0" w:color="auto"/>
            <w:right w:val="none" w:sz="0" w:space="0" w:color="auto"/>
          </w:divBdr>
          <w:divsChild>
            <w:div w:id="4676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ungngq@ueh.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4480</Words>
  <Characters>25541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2026-05-30T10:56:00Z</dcterms:created>
  <dcterms:modified xsi:type="dcterms:W3CDTF">2026-05-30T13:33:00Z</dcterms:modified>
</cp:coreProperties>
</file>