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Credit Spread Risk in the Banking Book (CSRBB)</w:t>
      </w:r>
      <w:r>
        <w:br/>
      </w:r>
      <w:r>
        <w:t xml:space="preserve">Framework Summary: Swedish Bond vs German Bund (EUR)</w:t>
      </w:r>
      <w:r>
        <w:t xml:space="preserve"> </w:t>
      </w:r>
    </w:p>
    <w:p>
      <w:pPr>
        <w:pStyle w:val="Author"/>
      </w:pPr>
      <w:r>
        <w:t xml:space="preserve">Trade Republic — Risk Modelling</w:t>
      </w:r>
    </w:p>
    <w:p>
      <w:pPr>
        <w:pStyle w:val="Date"/>
      </w:pPr>
      <w:r>
        <w:t xml:space="preserve">February 2026</w:t>
      </w:r>
    </w:p>
    <w:bookmarkStart w:id="12" w:name="rationale-of-the-approach"/>
    <w:p>
      <w:pPr>
        <w:pStyle w:val="Heading1"/>
      </w:pPr>
      <w:r>
        <w:t xml:space="preserve">Rationale of the Approach</w:t>
      </w:r>
    </w:p>
    <w:bookmarkStart w:id="9" w:name="regulatory-context"/>
    <w:p>
      <w:pPr>
        <w:pStyle w:val="Heading2"/>
      </w:pPr>
      <w:r>
        <w:t xml:space="preserve">Regulatory Context</w:t>
      </w:r>
    </w:p>
    <w:p>
      <w:pPr>
        <w:pStyle w:val="FirstParagraph"/>
      </w:pPr>
      <w:r>
        <w:t xml:space="preserve">The European Banking Authority (EBA) updated its guidelines on Interest Rate Risk and Credit Spread Risk in the Banking Book via</w:t>
      </w:r>
      <w:r>
        <w:t xml:space="preserve"> </w:t>
      </w:r>
      <w:r>
        <w:rPr>
          <w:b/>
          <w:bCs/>
        </w:rPr>
        <w:t xml:space="preserve">EBA/GL/2022/14</w:t>
      </w:r>
      <w:r>
        <w:t xml:space="preserve">, effective 31 December 2023. The framework elevates CSRBB to a</w:t>
      </w:r>
      <w:r>
        <w:t xml:space="preserve"> </w:t>
      </w:r>
      <w:r>
        <w:rPr>
          <w:i/>
          <w:iCs/>
        </w:rPr>
        <w:t xml:space="preserve">standalone</w:t>
      </w:r>
      <w:r>
        <w:t xml:space="preserve"> </w:t>
      </w:r>
      <w:r>
        <w:t xml:space="preserve">risk category, distinct from IRRBB, and mandates:</w:t>
      </w:r>
    </w:p>
    <w:p>
      <w:pPr>
        <w:numPr>
          <w:ilvl w:val="0"/>
          <w:numId w:val="1001"/>
        </w:numPr>
      </w:pPr>
      <w:r>
        <w:t xml:space="preserve">Assessment of CSRBB across all credit-spread-sensitive instruments (assets, liabilities, off-balance-sheet);</w:t>
      </w:r>
    </w:p>
    <w:p>
      <w:pPr>
        <w:numPr>
          <w:ilvl w:val="0"/>
          <w:numId w:val="1001"/>
        </w:numPr>
      </w:pPr>
      <w:r>
        <w:t xml:space="preserve">Inclusion of all fair-valued assets at a minimum;</w:t>
      </w:r>
    </w:p>
    <w:p>
      <w:pPr>
        <w:numPr>
          <w:ilvl w:val="0"/>
          <w:numId w:val="1001"/>
        </w:numPr>
      </w:pPr>
      <w:r>
        <w:t xml:space="preserve">Measurement in terms of both</w:t>
      </w:r>
      <w:r>
        <w:t xml:space="preserve"> </w:t>
      </w:r>
      <w:r>
        <w:rPr>
          <w:b/>
          <w:bCs/>
        </w:rPr>
        <w:t xml:space="preserve">EVE</w:t>
      </w:r>
      <w:r>
        <w:t xml:space="preserve"> </w:t>
      </w:r>
      <w:r>
        <w:t xml:space="preserve">(Economic Value of Equity) and</w:t>
      </w:r>
      <w:r>
        <w:t xml:space="preserve"> </w:t>
      </w:r>
      <w:r>
        <w:rPr>
          <w:b/>
          <w:bCs/>
        </w:rPr>
        <w:t xml:space="preserve">NII</w:t>
      </w:r>
      <w:r>
        <w:t xml:space="preserve"> </w:t>
      </w:r>
      <w:r>
        <w:t xml:space="preserve">(Net Interest Income);</w:t>
      </w:r>
    </w:p>
    <w:p>
      <w:pPr>
        <w:numPr>
          <w:ilvl w:val="0"/>
          <w:numId w:val="1001"/>
        </w:numPr>
      </w:pPr>
      <w:r>
        <w:t xml:space="preserve">Justified exclusion of any instrument from scope.</w:t>
      </w:r>
    </w:p>
    <w:p>
      <w:pPr>
        <w:pStyle w:val="FirstParagraph"/>
      </w:pPr>
      <w:r>
        <w:t xml:space="preserve">In Sweden, Finansinspektionen (FI) additionally recommends a VaR-based internal model using a</w:t>
      </w:r>
      <w:r>
        <w:t xml:space="preserve"> </w:t>
      </w:r>
      <w:r>
        <w:rPr>
          <w:b/>
          <w:bCs/>
        </w:rPr>
        <w:t xml:space="preserve">90-day holding period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99% confidence level</w:t>
      </w:r>
      <w:r>
        <w:t xml:space="preserve">.</w:t>
      </w:r>
    </w:p>
    <w:bookmarkEnd w:id="9"/>
    <w:bookmarkStart w:id="10" w:name="X95637d80da7f5d2a44e6afcf98c132b1f3e39a9"/>
    <w:p>
      <w:pPr>
        <w:pStyle w:val="Heading2"/>
      </w:pPr>
      <w:r>
        <w:t xml:space="preserve">Instrument Pair: Swedish Bond vs German Bund</w:t>
      </w:r>
    </w:p>
    <w:p>
      <w:pPr>
        <w:pStyle w:val="FirstParagraph"/>
      </w:pPr>
      <w:r>
        <w:t xml:space="preserve">The credit spread is defined as the yield differential between a risky instrument and a risk-free benchmark of the same maturity: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risky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the EUR context adopted 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Risk-free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Bund (Bundesanleihe)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Risky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Swedish EUR-denominated bond (covered / bank / sovereign)</w:t>
            </w:r>
          </w:p>
        </w:tc>
      </w:tr>
    </w:tbl>
    <w:p>
      <w:pPr>
        <w:pStyle w:val="BodyText"/>
      </w:pPr>
      <w:r>
        <w:t xml:space="preserve">The spread embeds two components per EBA (2022):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Market credit spread</w:t>
      </w:r>
      <w:r>
        <w:t xml:space="preserve">: compensation for counterparty default risk at a given credit quality;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Market liquidity spread</w:t>
      </w:r>
      <w:r>
        <w:t xml:space="preserve">: compensation for the lower liquidity of the Swedish instrument relative to the Bund.</w:t>
      </w:r>
    </w:p>
    <w:bookmarkEnd w:id="10"/>
    <w:bookmarkStart w:id="11" w:name="choice-of-risk-free-curve"/>
    <w:p>
      <w:pPr>
        <w:pStyle w:val="Heading2"/>
      </w:pPr>
      <w:r>
        <w:t xml:space="preserve">Choice of Risk-Free Curve</w:t>
      </w:r>
    </w:p>
    <w:p>
      <w:pPr>
        <w:pStyle w:val="FirstParagraph"/>
      </w:pPr>
      <w:r>
        <w:t xml:space="preserve">The ECB publishes AAA-rated EUR sovereign yield curves daily, which serve as the Bund-equivalent risk-free reference. This avoids the issue encountered when using OIS curves for portfolios with significant floating-rate exposure: the credit spread would collapse to zero at short maturities if Stibor/EURIBOR were used both as the benchmark and the underlying floating rate.</w:t>
      </w:r>
    </w:p>
    <w:bookmarkEnd w:id="11"/>
    <w:bookmarkEnd w:id="12"/>
    <w:bookmarkStart w:id="22" w:name="mathematical-theory"/>
    <w:p>
      <w:pPr>
        <w:pStyle w:val="Heading1"/>
      </w:pPr>
      <w:r>
        <w:t xml:space="preserve">Mathematical Theory</w:t>
      </w:r>
    </w:p>
    <w:bookmarkStart w:id="13" w:name="zero-coupon-bond-and-spot-rate"/>
    <w:p>
      <w:pPr>
        <w:pStyle w:val="Heading2"/>
      </w:pPr>
      <w:r>
        <w:t xml:space="preserve">Zero Coupon Bond and Spot Rate</w:t>
      </w:r>
    </w:p>
    <w:p>
      <w:pPr>
        <w:pStyle w:val="FirstParagraph"/>
      </w:pPr>
      <w:r>
        <w:t xml:space="preserve">A Zero Coupon Bond (ZCB) with maturity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priced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continuously compounded spot rate.</w:t>
      </w:r>
    </w:p>
    <w:bookmarkEnd w:id="13"/>
    <w:bookmarkStart w:id="14" w:name="forward-rate"/>
    <w:p>
      <w:pPr>
        <w:pStyle w:val="Heading2"/>
      </w:pPr>
      <w:r>
        <w:t xml:space="preserve">Forward Rate</w:t>
      </w:r>
    </w:p>
    <w:p>
      <w:pPr>
        <w:pStyle w:val="FirstParagraph"/>
      </w:pPr>
      <w:r>
        <w:t xml:space="preserve">The forward rate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agreed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for the period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For adjacent time bucket midpoints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the effective forward rate at time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;</m:t>
          </m:r>
          <m:r>
            <m:t> 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bookmarkEnd w:id="14"/>
    <w:bookmarkStart w:id="15" w:name="nelson-siegel-svensson-nss-yield-curve"/>
    <w:p>
      <w:pPr>
        <w:pStyle w:val="Heading2"/>
      </w:pPr>
      <w:r>
        <w:t xml:space="preserve">Nelson-Siegel-Svensson (NSS) Yield Curve</w:t>
      </w:r>
    </w:p>
    <w:p>
      <w:pPr>
        <w:pStyle w:val="FirstParagraph"/>
      </w:pPr>
      <w:r>
        <w:t xml:space="preserve">Since market data is discrete and often incomplete for longer maturities, the NSS model fits a smooth yield curve. The instantaneous forward rate 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The zero yield curve 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p>
            </m:e>
          </m:d>
        </m:oMath>
      </m:oMathPara>
    </w:p>
    <w:p>
      <w:pPr>
        <w:pStyle w:val="FirstParagraph"/>
      </w:pPr>
      <w:r>
        <w:t xml:space="preserve">Parameters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are calibrated daily via non-linear least squares: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λ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β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r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M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t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model estimate and</w:t>
      </w:r>
      <w:r>
        <w:t xml:space="preserve"> </w:t>
      </w:r>
      <m:oMath>
        <m:sSup>
          <m:e>
            <m: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observed market rate.</w:t>
      </w:r>
    </w:p>
    <w:bookmarkEnd w:id="15"/>
    <w:bookmarkStart w:id="16" w:name="credit-spread"/>
    <w:p>
      <w:pPr>
        <w:pStyle w:val="Heading2"/>
      </w:pPr>
      <w:r>
        <w:t xml:space="preserve">Credit Spread</w:t>
      </w:r>
    </w:p>
    <w:p>
      <w:pPr>
        <w:pStyle w:val="FirstParagraph"/>
      </w:pPr>
      <w:r>
        <w:t xml:space="preserve">After constructing the daily NSS yield curves for both the risky and risk-free instruments, the historical credit spread for each day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maturity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risky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rf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</m:oMath>
      </m:oMathPara>
    </w:p>
    <w:bookmarkEnd w:id="16"/>
    <w:bookmarkStart w:id="17" w:name="value-at-risk"/>
    <w:p>
      <w:pPr>
        <w:pStyle w:val="Heading2"/>
      </w:pPr>
      <w:r>
        <w:t xml:space="preserve">Value at Risk</w:t>
      </w:r>
    </w:p>
    <w:p>
      <w:pPr>
        <w:pStyle w:val="FirstParagraph"/>
      </w:pPr>
      <w:r>
        <w:t xml:space="preserve">For a portfolio with future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time 1 and discounted loss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the VaR at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-quantile 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Historical Simulation VaR sorts all historical 90-day changes in descending order and takes the 99th percentile as the capital requirement.</w:t>
      </w:r>
    </w:p>
    <w:bookmarkEnd w:id="17"/>
    <w:bookmarkStart w:id="18" w:name="expected-shortfall"/>
    <w:p>
      <w:pPr>
        <w:pStyle w:val="Heading2"/>
      </w:pPr>
      <w:r>
        <w:t xml:space="preserve">Expected Shortfall</w:t>
      </w:r>
    </w:p>
    <w:p>
      <w:pPr>
        <w:pStyle w:val="FirstParagraph"/>
      </w:pPr>
      <w:r>
        <w:t xml:space="preserve">Expected Shortfall (ES) is a coherent risk measure that averages losses beyond the VaR cutoff: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p</m:t>
              </m:r>
            </m:sup>
            <m:e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u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ES satisfies subadditivity (portfolio diversification reduces risk), which VaR does not.</w:t>
      </w:r>
    </w:p>
    <w:bookmarkEnd w:id="18"/>
    <w:bookmarkStart w:id="19" w:name="economic-value-of-equity-eve"/>
    <w:p>
      <w:pPr>
        <w:pStyle w:val="Heading2"/>
      </w:pPr>
      <w:r>
        <w:t xml:space="preserve">Economic Value of Equity (EVE)</w:t>
      </w:r>
    </w:p>
    <w:p>
      <w:pPr>
        <w:pStyle w:val="FirstParagraph"/>
      </w:pPr>
      <w:r>
        <w:t xml:space="preserve">The discount factor for currency</w:t>
      </w:r>
      <w:r>
        <w:t xml:space="preserve"> </w:t>
      </w:r>
      <m:oMath>
        <m:r>
          <m:t>c</m:t>
        </m:r>
      </m:oMath>
      <w:r>
        <w:t xml:space="preserve">, time bucket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maturity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The EVE under the stressed scenario (risky yield as discount rate) 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V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stressed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19</m:t>
              </m:r>
            </m:sup>
            <m:e>
              <m:r>
                <m:t>C</m:t>
              </m:r>
            </m:e>
          </m:nary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r>
            <m:t>D</m:t>
          </m:r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The change in EVE due to credit spread risk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t>V</m:t>
          </m:r>
          <m:sSub>
            <m:e>
              <m:r>
                <m:t>E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t>V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stressed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t>V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base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 the base uses the German Bund yield curve as the discount rate. Aggregating across currencies (converted to a common base):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t>V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E</m:t>
          </m:r>
          <m:r>
            <m:t>V</m:t>
          </m:r>
          <m:sSub>
            <m:e>
              <m:r>
                <m:t>E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The 90-day rolling CSRBB capital requirement: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0.99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r>
                <m:t>E</m:t>
              </m:r>
              <m:r>
                <m:t>V</m:t>
              </m:r>
              <m:sSup>
                <m:e>
                  <m:r>
                    <m:t>E</m:t>
                  </m:r>
                </m:e>
                <m:sup>
                  <m:r>
                    <m:t>90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m</m:t>
              </m:r>
              <m:r>
                <m:rPr>
                  <m:sty m:val="p"/>
                </m:rPr>
                <m:t>:</m:t>
              </m:r>
              <m: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E</m:t>
                  </m:r>
                  <m:r>
                    <m:t>V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90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≤</m:t>
              </m:r>
              <m:r>
                <m:t>0.01</m:t>
              </m:r>
            </m:e>
          </m:d>
        </m:oMath>
      </m:oMathPara>
    </w:p>
    <w:bookmarkEnd w:id="19"/>
    <w:bookmarkStart w:id="20" w:name="net-interest-income-nii"/>
    <w:p>
      <w:pPr>
        <w:pStyle w:val="Heading2"/>
      </w:pPr>
      <w:r>
        <w:t xml:space="preserve">Net Interest Income (NII)</w:t>
      </w:r>
    </w:p>
    <w:p>
      <w:pPr>
        <w:pStyle w:val="FirstParagraph"/>
      </w:pPr>
      <w:r>
        <w:t xml:space="preserve">The change in NII for currency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, driven by credit spread movements between time bucket midpoints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N</m:t>
          </m:r>
          <m:r>
            <m:t>I</m:t>
          </m:r>
          <m:sSub>
            <m:e>
              <m: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19</m:t>
              </m:r>
            </m:sup>
            <m:e>
              <m:r>
                <m:t>C</m:t>
              </m:r>
            </m:e>
          </m:nary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C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Aggregating across currencies: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N</m:t>
          </m:r>
          <m:r>
            <m:t>I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r>
            <m:t>N</m:t>
          </m:r>
          <m:r>
            <m:t>I</m:t>
          </m:r>
          <m:sSub>
            <m:e>
              <m: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The 90-day rolling NII capital requirement: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0.99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r>
                <m:t>N</m:t>
              </m:r>
              <m:r>
                <m:t>I</m:t>
              </m:r>
              <m:sSup>
                <m:e>
                  <m:r>
                    <m:t>I</m:t>
                  </m:r>
                </m:e>
                <m:sup>
                  <m:r>
                    <m:t>90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m</m:t>
              </m:r>
              <m:r>
                <m:rPr>
                  <m:sty m:val="p"/>
                </m:rPr>
                <m:t>:</m:t>
              </m:r>
              <m: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N</m:t>
                  </m:r>
                  <m:r>
                    <m:t>I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t>90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≤</m:t>
              </m:r>
              <m:r>
                <m:t>0.01</m:t>
              </m:r>
            </m:e>
          </m:d>
        </m:oMath>
      </m:oMathPara>
    </w:p>
    <w:bookmarkEnd w:id="20"/>
    <w:bookmarkStart w:id="21" w:name="capital-requirement"/>
    <w:p>
      <w:pPr>
        <w:pStyle w:val="Heading2"/>
      </w:pPr>
      <w:r>
        <w:t xml:space="preserve">Capital Requirement</w:t>
      </w:r>
    </w:p>
    <w:p>
      <w:pPr>
        <w:pStyle w:val="FirstParagraph"/>
      </w:pPr>
      <w:r>
        <w:t xml:space="preserve">EVE and NII respond to credit spread movements in opposite directions: EVE is sensitive to</w:t>
      </w:r>
      <w:r>
        <w:t xml:space="preserve"> </w:t>
      </w:r>
      <w:r>
        <w:rPr>
          <w:i/>
          <w:iCs/>
        </w:rPr>
        <w:t xml:space="preserve">widening</w:t>
      </w:r>
      <w:r>
        <w:t xml:space="preserve"> </w:t>
      </w:r>
      <w:r>
        <w:t xml:space="preserve">spreads; NII (for an asset-heavy book) is sensitive to</w:t>
      </w:r>
      <w:r>
        <w:t xml:space="preserve"> </w:t>
      </w:r>
      <w:r>
        <w:rPr>
          <w:i/>
          <w:iCs/>
        </w:rPr>
        <w:t xml:space="preserve">tightening</w:t>
      </w:r>
      <w:r>
        <w:t xml:space="preserve"> </w:t>
      </w:r>
      <w:r>
        <w:t xml:space="preserve">spreads. The capital requirement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0.99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E</m:t>
              </m:r>
              <m:r>
                <m:t>V</m:t>
              </m:r>
              <m:sSup>
                <m:e>
                  <m:r>
                    <m:t>E</m:t>
                  </m:r>
                </m:e>
                <m:sup>
                  <m:r>
                    <m:t>90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0.99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N</m:t>
              </m:r>
              <m:r>
                <m:t>I</m:t>
              </m:r>
              <m:sSup>
                <m:e>
                  <m:r>
                    <m:t>I</m:t>
                  </m:r>
                </m:e>
                <m:sup>
                  <m:r>
                    <m:t>90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bookmarkEnd w:id="21"/>
    <w:bookmarkEnd w:id="22"/>
    <w:bookmarkStart w:id="26" w:name="implementation-guidelines"/>
    <w:p>
      <w:pPr>
        <w:pStyle w:val="Heading1"/>
      </w:pPr>
      <w:r>
        <w:t xml:space="preserve">Implementation Guidelines</w:t>
      </w:r>
    </w:p>
    <w:bookmarkStart w:id="23" w:name="step-by-step-procedure"/>
    <w:p>
      <w:pPr>
        <w:pStyle w:val="Heading2"/>
      </w:pPr>
      <w:r>
        <w:t xml:space="preserve">Step-by-Step Procedure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Scope identification</w:t>
      </w:r>
      <w:r>
        <w:t xml:space="preserve">: identify all credit-spread-sensitive instruments on the banking book (assets, liabilities, off-balance-sheet). For EUR-denominated Swedish bonds, include fixed-coupon, zero-coupon, and floating-rate instruments linked to EURIBOR.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Cash flow bucketing</w:t>
      </w:r>
      <w:r>
        <w:t xml:space="preserve">: slot all net notional repricing cash flows</w:t>
      </w:r>
      <w:r>
        <w:t xml:space="preserve"> </w:t>
      </w:r>
      <m:oMath>
        <m:r>
          <m:t>C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into the 19 BCBS time buckets. Floating-rate instruments are treated as fixed until the next repricing date.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sourcing</w:t>
      </w:r>
      <w:r>
        <w:t xml:space="preserve">: retrieve at least</w:t>
      </w:r>
      <w:r>
        <w:t xml:space="preserve"> </w:t>
      </w:r>
      <w:r>
        <w:rPr>
          <w:b/>
          <w:bCs/>
        </w:rPr>
        <w:t xml:space="preserve">10 years</w:t>
      </w:r>
      <w:r>
        <w:t xml:space="preserve"> </w:t>
      </w:r>
      <w:r>
        <w:t xml:space="preserve">of daily yield data to ensure coverage of multiple stress periods (e.g., Eurozone debt crisis 2012, COVID-19 2020, Ukraine shock 2022). Use ECB AAA sovereign yield curves for the German Bund risk-free curve.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Yield curve fitting</w:t>
      </w:r>
      <w:r>
        <w:t xml:space="preserve">: apply the NSS model daily to both the Swedish bond and German Bund yield data. Validate the resulting curves visually to ensure stability up to 25-year maturities.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Credit spread time series</w:t>
      </w:r>
      <w:r>
        <w:t xml:space="preserve">: compute daily</w:t>
      </w:r>
      <w:r>
        <w:t xml:space="preserve"> </w:t>
      </w:r>
      <m:oMath>
        <m:r>
          <m:t>C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time bucket maturity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 and NII calculation</w:t>
      </w:r>
      <w:r>
        <w:t xml:space="preserve">: compute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t>V</m:t>
        </m:r>
        <m:sSub>
          <m:e>
            <m:r>
              <m:t>E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t>I</m:t>
        </m:r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for each currency and day. Convert to a common currency and aggregate.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90-day rolling differences</w:t>
      </w:r>
      <w:r>
        <w:t xml:space="preserve">: compute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t>V</m:t>
        </m:r>
        <m:sSup>
          <m:e>
            <m:r>
              <m:t>E</m:t>
            </m:r>
          </m:e>
          <m:sup>
            <m:r>
              <m:t>90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t>I</m:t>
        </m:r>
        <m:sSup>
          <m:e>
            <m:r>
              <m:t>I</m:t>
            </m:r>
          </m:e>
          <m:sup>
            <m:r>
              <m:t>90</m:t>
            </m:r>
          </m:sup>
        </m:sSup>
      </m:oMath>
      <w:r>
        <w:t xml:space="preserve"> </w:t>
      </w:r>
      <w:r>
        <w:t xml:space="preserve">as rolling 90-day differences over the full historical series.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Risk metrics</w:t>
      </w:r>
      <w:r>
        <w:t xml:space="preserve">: sort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t>V</m:t>
        </m:r>
        <m:sSup>
          <m:e>
            <m:r>
              <m:t>E</m:t>
            </m:r>
          </m:e>
          <m:sup>
            <m:r>
              <m:t>90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t>I</m:t>
        </m:r>
        <m:sSup>
          <m:e>
            <m:r>
              <m:t>I</m:t>
            </m:r>
          </m:e>
          <m:sup>
            <m:r>
              <m:t>90</m:t>
            </m:r>
          </m:sup>
        </m:sSup>
      </m:oMath>
      <w:r>
        <w:t xml:space="preserve"> </w:t>
      </w:r>
      <w:r>
        <w:t xml:space="preserve">in descending order and extract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0.99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0.99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Capital requirement</w:t>
      </w:r>
      <w:r>
        <w:t xml:space="preserve">: take the maximum of the two VaR measures as the CSRBB capital requirement.</w:t>
      </w:r>
    </w:p>
    <w:bookmarkEnd w:id="23"/>
    <w:bookmarkStart w:id="24" w:name="key-modelling-decisions"/>
    <w:p>
      <w:pPr>
        <w:pStyle w:val="Heading2"/>
      </w:pPr>
      <w:r>
        <w:t xml:space="preserve">Key Modelling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Risk-free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ECB AAA EUR sovereign (Bund-equivalent); avoid EURIBOR OIS for EURIBOR-linked floating 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Portfolio-level HSVaR (vs instrument-level): more realistic, avoids combining independent stress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Liabilities in 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unless callable / re-emittable; include floating-rate liabilities in NII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Mirroring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significantly increases conservatism — use as a sensitivity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10 years; extend to 15+ for greater stress coverage</w:t>
            </w:r>
          </w:p>
        </w:tc>
      </w:tr>
    </w:tbl>
    <w:bookmarkEnd w:id="24"/>
    <w:bookmarkStart w:id="25" w:name="conservative-adjustments"/>
    <w:p>
      <w:pPr>
        <w:pStyle w:val="Heading2"/>
      </w:pPr>
      <w:r>
        <w:t xml:space="preserve">Conservative Adjustments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Instrument-level VaR</w:t>
      </w:r>
      <w:r>
        <w:t xml:space="preserve">: compute VaR separately per instrument, then sum — allows independent stress scenarios across instruments.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Mirroring</w:t>
      </w:r>
      <w:r>
        <w:t xml:space="preserve">: for each observed CS movement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t>S</m:t>
        </m:r>
      </m:oMath>
      <w:r>
        <w:t xml:space="preserve">, include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r>
          <m:t>C</m:t>
        </m:r>
        <m:r>
          <m:t>S</m:t>
        </m:r>
      </m:oMath>
      <w:r>
        <w:t xml:space="preserve"> </w:t>
      </w:r>
      <w:r>
        <w:t xml:space="preserve">in the dataset, doubling the sample and forcing symmetry.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Extended data window</w:t>
      </w:r>
      <w:r>
        <w:t xml:space="preserve">: include pre-2013 GFC data to capture the 2008–2009 sovereign spread crisis.</w:t>
      </w:r>
    </w:p>
    <w:bookmarkEnd w:id="25"/>
    <w:bookmarkEnd w:id="26"/>
    <w:bookmarkStart w:id="32" w:name="backtesting-guidelines"/>
    <w:p>
      <w:pPr>
        <w:pStyle w:val="Heading1"/>
      </w:pPr>
      <w:r>
        <w:t xml:space="preserve">Backtesting Guidelines</w:t>
      </w:r>
    </w:p>
    <w:bookmarkStart w:id="27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Backtesting verifies that the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0.99</m:t>
            </m:r>
          </m:sub>
        </m:sSub>
      </m:oMath>
      <w:r>
        <w:t xml:space="preserve"> </w:t>
      </w:r>
      <w:r>
        <w:t xml:space="preserve">model is correctly calibrated: the actual 90-day loss should exceed the predicted VaR in no more than 1% of observations.</w:t>
      </w:r>
    </w:p>
    <w:bookmarkEnd w:id="27"/>
    <w:bookmarkStart w:id="28" w:name="procedure"/>
    <w:p>
      <w:pPr>
        <w:pStyle w:val="Heading2"/>
      </w:pPr>
      <w:r>
        <w:t xml:space="preserve">Procedure</w:t>
      </w:r>
    </w:p>
    <w:p>
      <w:pPr>
        <w:numPr>
          <w:ilvl w:val="0"/>
          <w:numId w:val="1005"/>
        </w:numPr>
      </w:pPr>
      <w:r>
        <w:t xml:space="preserve">For each trading day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the backtesting window (full calendar year recommended), compute the VaR and ES using data up to day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Record the actual realised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t>V</m:t>
        </m:r>
        <m:sSubSup>
          <m:e>
            <m:r>
              <m:t>E</m:t>
            </m:r>
          </m:e>
          <m:sub>
            <m:r>
              <m:t>t</m:t>
            </m:r>
          </m:sub>
          <m:sup>
            <m:r>
              <m:t>90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t>I</m:t>
        </m:r>
        <m:sSubSup>
          <m:e>
            <m:r>
              <m:t>I</m:t>
            </m:r>
          </m:e>
          <m:sub>
            <m:r>
              <m:t>t</m:t>
            </m:r>
          </m:sub>
          <m:sup>
            <m:r>
              <m:t>90</m:t>
            </m:r>
          </m:sup>
        </m:sSub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Flag an</w:t>
      </w:r>
      <w:r>
        <w:t xml:space="preserve"> </w:t>
      </w:r>
      <w:r>
        <w:rPr>
          <w:b/>
          <w:bCs/>
        </w:rPr>
        <w:t xml:space="preserve">outlier</w:t>
      </w:r>
      <w:r>
        <w:t xml:space="preserve"> </w:t>
      </w:r>
      <w:r>
        <w:t xml:space="preserve">(exception) whenever the realised value exceeds the predicted VaR.</w:t>
      </w:r>
    </w:p>
    <w:p>
      <w:pPr>
        <w:numPr>
          <w:ilvl w:val="0"/>
          <w:numId w:val="1005"/>
        </w:numPr>
      </w:pPr>
      <w:r>
        <w:t xml:space="preserve">Count the total number of outliers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28"/>
    <w:bookmarkStart w:id="29" w:name="statistical-assessment-binomial-test"/>
    <w:p>
      <w:pPr>
        <w:pStyle w:val="Heading2"/>
      </w:pPr>
      <w:r>
        <w:t xml:space="preserve">Statistical Assessment — Binomial Test</w:t>
      </w:r>
    </w:p>
    <w:p>
      <w:pPr>
        <w:pStyle w:val="FirstParagraph"/>
      </w:pPr>
      <w:r>
        <w:t xml:space="preserve">The probability of observing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outliers out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days, under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, follows a binomial distribution: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bSup>
            <m:e>
              <m:r>
                <m:t>p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The cumulative probability of observing at most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outliers: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x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bSup>
            <m:e>
              <m:r>
                <m:t>p</m:t>
              </m:r>
            </m:e>
            <m:sub>
              <m:r>
                <m:t>0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bookmarkEnd w:id="29"/>
    <w:bookmarkStart w:id="30" w:name="basel-traffic-light-framework"/>
    <w:p>
      <w:pPr>
        <w:pStyle w:val="Heading2"/>
      </w:pPr>
      <w:r>
        <w:t xml:space="preserve">Basel Traffic-Light Framework</w:t>
      </w:r>
    </w:p>
    <w:p>
      <w:pPr>
        <w:pStyle w:val="FirstParagraph"/>
      </w:pPr>
      <w:r>
        <w:t xml:space="preserve">The Basel II Annex 10a</w:t>
      </w:r>
      <w:r>
        <w:t xml:space="preserve"> </w:t>
      </w:r>
      <w:r>
        <w:t xml:space="preserve">“three-zone”</w:t>
      </w:r>
      <w:r>
        <w:t xml:space="preserve"> </w:t>
      </w:r>
      <w:r>
        <w:t xml:space="preserve">approach classifies backtesting results as follows (for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2600</m:t>
        </m:r>
      </m:oMath>
      <w:r>
        <w:t xml:space="preserve"> </w:t>
      </w:r>
      <w:r>
        <w:t xml:space="preserve">days,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Outlier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Model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29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Model under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39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Model likely rejected</w:t>
            </w:r>
          </w:p>
        </w:tc>
      </w:tr>
    </w:tbl>
    <w:p>
      <w:pPr>
        <w:pStyle w:val="BodyText"/>
      </w:pPr>
      <w:r>
        <w:t xml:space="preserve">For a 1-year backtesting window (</w:t>
      </w:r>
      <m:oMath>
        <m:r>
          <m:t>N</m:t>
        </m:r>
        <m:r>
          <m:rPr>
            <m:sty m:val="p"/>
          </m:rPr>
          <m:t>≈</m:t>
        </m:r>
        <m:r>
          <m:t>250</m:t>
        </m:r>
      </m:oMath>
      <w:r>
        <w:t xml:space="preserve"> </w:t>
      </w:r>
      <w:r>
        <w:t xml:space="preserve">trading days):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Expected outliers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=</m:t>
          </m:r>
          <m:r>
            <m:t>2.5</m:t>
          </m:r>
        </m:oMath>
      </m:oMathPara>
    </w:p>
    <w:bookmarkEnd w:id="30"/>
    <w:bookmarkStart w:id="31" w:name="validation-frequency"/>
    <w:p>
      <w:pPr>
        <w:pStyle w:val="Heading2"/>
      </w:pPr>
      <w:r>
        <w:t xml:space="preserve">Validation Frequency</w:t>
      </w:r>
    </w:p>
    <w:p>
      <w:pPr>
        <w:numPr>
          <w:ilvl w:val="0"/>
          <w:numId w:val="1006"/>
        </w:numPr>
      </w:pPr>
      <w:r>
        <w:t xml:space="preserve">Backtest against the</w:t>
      </w:r>
      <w:r>
        <w:t xml:space="preserve"> </w:t>
      </w:r>
      <w:r>
        <w:rPr>
          <w:b/>
          <w:bCs/>
        </w:rPr>
        <w:t xml:space="preserve">full previous year</w:t>
      </w:r>
      <w:r>
        <w:t xml:space="preserve"> </w:t>
      </w:r>
      <w:r>
        <w:t xml:space="preserve">at each annual model review.</w:t>
      </w:r>
    </w:p>
    <w:p>
      <w:pPr>
        <w:numPr>
          <w:ilvl w:val="0"/>
          <w:numId w:val="1006"/>
        </w:numPr>
      </w:pPr>
      <w:r>
        <w:t xml:space="preserve">Monitor rolling outlier counts quarterly to detect model drift.</w:t>
      </w:r>
    </w:p>
    <w:p>
      <w:pPr>
        <w:numPr>
          <w:ilvl w:val="0"/>
          <w:numId w:val="1006"/>
        </w:numPr>
      </w:pPr>
      <w:r>
        <w:t xml:space="preserve">Re-calibrate NSS parameters and data windows whenever the model enters the Yellow zone.</w:t>
      </w:r>
    </w:p>
    <w:p>
      <w:pPr>
        <w:numPr>
          <w:ilvl w:val="0"/>
          <w:numId w:val="1006"/>
        </w:numPr>
      </w:pPr>
      <w:r>
        <w:t xml:space="preserve">Document all modelling choices and deviations from EBA guidelines</w:t>
      </w:r>
      <w:r>
        <w:br/>
      </w:r>
      <w:r>
        <w:t xml:space="preserve">in line with EBA/GL/2022/14.</w:t>
      </w:r>
    </w:p>
    <w:bookmarkEnd w:id="31"/>
    <w:bookmarkEnd w:id="32"/>
    <w:bookmarkStart w:id="33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7"/>
        </w:numPr>
      </w:pPr>
      <w:r>
        <w:t xml:space="preserve">EBA/GL/2022/14 —</w:t>
      </w:r>
      <w:r>
        <w:t xml:space="preserve"> </w:t>
      </w:r>
      <w:r>
        <w:rPr>
          <w:i/>
          <w:iCs/>
        </w:rPr>
        <w:t xml:space="preserve">Guidelines on the management of interest rate risk and credit spread risk arising from non-trading book activities</w:t>
      </w:r>
      <w:r>
        <w:t xml:space="preserve">, EBA, October 2022.</w:t>
      </w:r>
    </w:p>
    <w:p>
      <w:pPr>
        <w:numPr>
          <w:ilvl w:val="0"/>
          <w:numId w:val="1007"/>
        </w:numPr>
      </w:pPr>
      <w:r>
        <w:t xml:space="preserve">Pahne, E. &amp; Åkerlund, L. —</w:t>
      </w:r>
      <w:r>
        <w:t xml:space="preserve"> </w:t>
      </w:r>
      <w:r>
        <w:rPr>
          <w:i/>
          <w:iCs/>
        </w:rPr>
        <w:t xml:space="preserve">Modelling Credit Spread Risk in the Banking Book (CSRBB)</w:t>
      </w:r>
      <w:r>
        <w:t xml:space="preserve">, KTH Stockholm, 2023.</w:t>
      </w:r>
    </w:p>
    <w:p>
      <w:pPr>
        <w:numPr>
          <w:ilvl w:val="0"/>
          <w:numId w:val="1007"/>
        </w:numPr>
      </w:pPr>
      <w:r>
        <w:t xml:space="preserve">Nelson, C.R. &amp; Siegel, A.F. —</w:t>
      </w:r>
      <w:r>
        <w:t xml:space="preserve"> </w:t>
      </w:r>
      <w:r>
        <w:rPr>
          <w:i/>
          <w:iCs/>
        </w:rPr>
        <w:t xml:space="preserve">Parsimonious Modeling of Yield Curves</w:t>
      </w:r>
      <w:r>
        <w:t xml:space="preserve">, Journal of Business, 1987.</w:t>
      </w:r>
    </w:p>
    <w:p>
      <w:pPr>
        <w:numPr>
          <w:ilvl w:val="0"/>
          <w:numId w:val="1007"/>
        </w:numPr>
      </w:pPr>
      <w:r>
        <w:t xml:space="preserve">Svensson, L.E.O. —</w:t>
      </w:r>
      <w:r>
        <w:t xml:space="preserve"> </w:t>
      </w:r>
      <w:r>
        <w:rPr>
          <w:i/>
          <w:iCs/>
        </w:rPr>
        <w:t xml:space="preserve">Estimating and Interpreting Forward Interest Rates</w:t>
      </w:r>
      <w:r>
        <w:t xml:space="preserve">, NBER Working Paper, 1994.</w:t>
      </w:r>
    </w:p>
    <w:p>
      <w:pPr>
        <w:numPr>
          <w:ilvl w:val="0"/>
          <w:numId w:val="1007"/>
        </w:numPr>
      </w:pPr>
      <w:r>
        <w:t xml:space="preserve">Basel Committee on Banking Supervision —</w:t>
      </w:r>
      <w:r>
        <w:t xml:space="preserve"> </w:t>
      </w:r>
      <w:r>
        <w:rPr>
          <w:i/>
          <w:iCs/>
        </w:rPr>
        <w:t xml:space="preserve">Supervisory Framework for the Use of Backtesting</w:t>
      </w:r>
      <w:r>
        <w:t xml:space="preserve">, Basel II Annex 10a, 2006.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Credit Spread Risk in the Banking Book (CSRBB) Framework Summary: Swedish Bond vs German Bund (EUR) </dc:title>
  <dc:creator>Trade Republic — Risk Modelling</dc:creator>
  <cp:keywords/>
  <dcterms:created xsi:type="dcterms:W3CDTF">2026-02-19T21:30:33Z</dcterms:created>
  <dcterms:modified xsi:type="dcterms:W3CDTF">2026-02-19T21:30:33Z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</Properties>
</file>