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document establishes the two-layer margin requirement framework</w:t>
      </w:r>
      <w:r>
        <w:t xml:space="preserve"> </w:t>
      </w:r>
      <w:r>
        <w:t xml:space="preserve">underpinning the margin trading product. The framework is structured as</w:t>
      </w:r>
      <w:r>
        <w:t xml:space="preserve"> </w:t>
      </w:r>
      <w:r>
        <w:t xml:space="preserve">a bottom-up hierarchy: a</w:t>
      </w:r>
      <w:r>
        <w:t xml:space="preserve"> </w:t>
      </w:r>
      <w:r>
        <w:rPr>
          <w:i/>
          <w:iCs/>
        </w:rPr>
        <w:t xml:space="preserve">Layer 1</w:t>
      </w:r>
      <w:r>
        <w:t xml:space="preserve"> </w:t>
      </w:r>
      <w:r>
        <w:t xml:space="preserve">instrument-by-instrument floor</w:t>
      </w:r>
      <w:r>
        <w:t xml:space="preserve"> </w:t>
      </w:r>
      <w:r>
        <w:t xml:space="preserve">grounded in the FINRA/Regulation T paradigm, and a</w:t>
      </w:r>
      <w:r>
        <w:t xml:space="preserve"> </w:t>
      </w:r>
      <w:r>
        <w:rPr>
          <w:i/>
          <w:iCs/>
        </w:rPr>
        <w:t xml:space="preserve">Layer 2</w:t>
      </w:r>
      <w:r>
        <w:t xml:space="preserve"> </w:t>
      </w:r>
      <w:r>
        <w:t xml:space="preserve">portfolio-level overlay that accounts for cross-asset correlations,</w:t>
      </w:r>
      <w:r>
        <w:t xml:space="preserve"> </w:t>
      </w:r>
      <w:r>
        <w:t xml:space="preserve">diversification effects, concentration risk, and dynamic regime adjustment.</w:t>
      </w:r>
      <w:r>
        <w:t xml:space="preserve"> </w:t>
      </w:r>
      <w:r>
        <w:t xml:space="preserve">The instrument floor provides an unconditional, rule-based minimum that</w:t>
      </w:r>
      <w:r>
        <w:t xml:space="preserve"> </w:t>
      </w:r>
      <w:r>
        <w:t xml:space="preserve">is always enforced; the portfolio overlay may only tighten margin</w:t>
      </w:r>
      <w:r>
        <w:t xml:space="preserve"> </w:t>
      </w:r>
      <w:r>
        <w:t xml:space="preserve">requirements relative to that floor, never relax them below it.</w:t>
      </w:r>
      <w:r>
        <w:t xml:space="preserve"> </w:t>
      </w:r>
      <w:r>
        <w:t xml:space="preserve">This document serves as the methodological foundation for the</w:t>
      </w:r>
      <w:r>
        <w:t xml:space="preserve"> </w:t>
      </w:r>
      <w:r>
        <w:t xml:space="preserve">Loan-to-Value (LTV) Methodology (</w:t>
      </w:r>
      <w:r>
        <w:rPr>
          <w:i/>
          <w:iCs/>
        </w:rPr>
        <w:t xml:space="preserve">see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),</w:t>
      </w:r>
      <w:r>
        <w:t xml:space="preserve"> </w:t>
      </w:r>
      <w:r>
        <w:t xml:space="preserve">which translates the margin requirement framework into operational LTV</w:t>
      </w:r>
      <w:r>
        <w:t xml:space="preserve"> </w:t>
      </w:r>
      <w:r>
        <w:t xml:space="preserve">thresholds, haircut schedules, and liquidation triggers.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 </w:t>
      </w:r>
      <w:r>
        <w:rPr>
          <w:b/>
          <w:bCs/>
        </w:rPr>
        <w:t xml:space="preserve">Margin Requirement Methodology</w:t>
      </w:r>
      <w:r>
        <w:br/>
      </w:r>
      <w:r>
        <w:rPr>
          <w:b/>
          <w:bCs/>
        </w:rPr>
        <w:t xml:space="preserve">for Margin Trading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Risk Management / Quantitative Risk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2026-03-20</w:t>
      </w:r>
      <w:r>
        <w:br/>
      </w:r>
    </w:p>
    <w:p>
      <w:pPr>
        <w:pStyle w:val="BodyText"/>
      </w:pPr>
      <w:r>
        <w:t xml:space="preserve"> </w:t>
      </w:r>
      <w:r>
        <w:t xml:space="preserve">This document is confidential and intended solely for use</w:t>
      </w:r>
      <w:r>
        <w:t xml:space="preserve"> </w:t>
      </w:r>
      <w:r>
        <w:t xml:space="preserve">by authorised personnel of the Platform and the Lender. Reproduction or</w:t>
      </w:r>
      <w:r>
        <w:t xml:space="preserve"> </w:t>
      </w:r>
      <w:r>
        <w:t xml:space="preserve">distribution without written consent is prohibited.</w:t>
      </w:r>
    </w:p>
    <w:bookmarkStart w:id="12" w:name="sec:scope"/>
    <w:p>
      <w:pPr>
        <w:pStyle w:val="Heading1"/>
      </w:pPr>
      <w:r>
        <w:t xml:space="preserve">Purpose and Scope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establishes the quantitative framework for determining margin</w:t>
      </w:r>
      <w:r>
        <w:t xml:space="preserve"> </w:t>
      </w:r>
      <w:r>
        <w:t xml:space="preserve">requirements across the margin trading product. It defines the methodology</w:t>
      </w:r>
      <w:r>
        <w:t xml:space="preserve"> </w:t>
      </w:r>
      <w:r>
        <w:t xml:space="preserve">for both the instrument-level and portfolio-level treatment of margin,</w:t>
      </w:r>
      <w:r>
        <w:t xml:space="preserve"> </w:t>
      </w:r>
      <w:r>
        <w:t xml:space="preserve">providing a single authoritative reference for:</w:t>
      </w:r>
    </w:p>
    <w:p>
      <w:pPr>
        <w:numPr>
          <w:ilvl w:val="0"/>
          <w:numId w:val="1001"/>
        </w:numPr>
      </w:pPr>
      <w:r>
        <w:t xml:space="preserve">the regulatory and conceptual basis for instrument-by-instrument</w:t>
      </w:r>
      <w:r>
        <w:t xml:space="preserve"> </w:t>
      </w:r>
      <w:r>
        <w:t xml:space="preserve">margin requirements (Layer 1);</w:t>
      </w:r>
    </w:p>
    <w:p>
      <w:pPr>
        <w:numPr>
          <w:ilvl w:val="0"/>
          <w:numId w:val="1001"/>
        </w:numPr>
      </w:pPr>
      <w:r>
        <w:t xml:space="preserve">the derivation of portfolio-level margin adjustments incorporating</w:t>
      </w:r>
      <w:r>
        <w:t xml:space="preserve"> </w:t>
      </w:r>
      <w:r>
        <w:t xml:space="preserve">correlation, diversification, and concentration effects (Layer 2);</w:t>
      </w:r>
    </w:p>
    <w:p>
      <w:pPr>
        <w:numPr>
          <w:ilvl w:val="0"/>
          <w:numId w:val="1001"/>
        </w:numPr>
      </w:pPr>
      <w:r>
        <w:t xml:space="preserve">the interaction rule between the two layers, ensuring the</w:t>
      </w:r>
      <w:r>
        <w:t xml:space="preserve"> </w:t>
      </w:r>
      <w:r>
        <w:t xml:space="preserve">portfolio overlay can only tighten the instrument floor;</w:t>
      </w:r>
    </w:p>
    <w:p>
      <w:pPr>
        <w:numPr>
          <w:ilvl w:val="0"/>
          <w:numId w:val="1001"/>
        </w:numPr>
      </w:pPr>
      <w:r>
        <w:t xml:space="preserve">the governance, recalibration, and validation requirements for</w:t>
      </w:r>
      <w:r>
        <w:t xml:space="preserve"> </w:t>
      </w:r>
      <w:r>
        <w:t xml:space="preserve">each layer.</w:t>
      </w:r>
    </w:p>
    <w:p>
      <w:pPr>
        <w:pStyle w:val="FirstParagraph"/>
      </w:pPr>
      <w:r>
        <w:t xml:space="preserve">The LTV Methodology document (</w:t>
      </w:r>
      <w:r>
        <w:rPr>
          <w:rStyle w:val="VerbatimChar"/>
        </w:rPr>
        <w:t xml:space="preserve">trb_method.tex</w:t>
      </w:r>
      <w:r>
        <w:t xml:space="preserve">) references</w:t>
      </w:r>
      <w:r>
        <w:t xml:space="preserve"> </w:t>
      </w:r>
      <w:r>
        <w:t xml:space="preserve">this framework directly and translates its outputs into operational LTV</w:t>
      </w:r>
      <w:r>
        <w:t xml:space="preserve"> </w:t>
      </w:r>
      <w:r>
        <w:t xml:space="preserve">thresholds, haircut schedules, dynamic regime adjustments, and liquidation</w:t>
      </w:r>
      <w:r>
        <w:t xml:space="preserve"> </w:t>
      </w:r>
      <w:r>
        <w:t xml:space="preserve">triggers.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methodology applies to all margined positions held as collateral in</w:t>
      </w:r>
      <w:r>
        <w:t xml:space="preserve"> </w:t>
      </w:r>
      <w:r>
        <w:t xml:space="preserve">segregated custody accounts for retail and professional clients. It covers</w:t>
      </w:r>
      <w:r>
        <w:t xml:space="preserve"> </w:t>
      </w:r>
      <w:r>
        <w:t xml:space="preserve">equities, broad-market ETFs, and fixed income instruments that meet</w:t>
      </w:r>
      <w:r>
        <w:t xml:space="preserve"> </w:t>
      </w:r>
      <w:r>
        <w:t xml:space="preserve">collateral eligibility criteria.</w:t>
      </w:r>
    </w:p>
    <w:p>
      <w:pPr>
        <w:pStyle w:val="BodyText"/>
      </w:pPr>
      <w:r>
        <w:t xml:space="preserve">The following are</w:t>
      </w:r>
      <w:r>
        <w:t xml:space="preserve"> </w:t>
      </w:r>
      <w:r>
        <w:rPr>
          <w:i/>
          <w:iCs/>
        </w:rPr>
        <w:t xml:space="preserve">explicitly out of scope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Derivatives margining</w:t>
      </w:r>
      <w:r>
        <w:t xml:space="preserve"> </w:t>
      </w:r>
      <w:r>
        <w:t xml:space="preserve">– futures, options, swaps, and any</w:t>
      </w:r>
      <w:r>
        <w:t xml:space="preserve"> </w:t>
      </w:r>
      <w:r>
        <w:t xml:space="preserve">other exchange-traded or OTC derivative instruments. Clients are restricted</w:t>
      </w:r>
      <w:r>
        <w:t xml:space="preserve"> </w:t>
      </w:r>
      <w:r>
        <w:t xml:space="preserve">to non-derivative instruments only; accordingly, concepts specific to</w:t>
      </w:r>
      <w:r>
        <w:t xml:space="preserve"> </w:t>
      </w:r>
      <w:r>
        <w:t xml:space="preserve">derivatives margining (variation margin in the EMIR sense, premium margin,</w:t>
      </w:r>
      <w:r>
        <w:t xml:space="preserve"> </w:t>
      </w:r>
      <w:r>
        <w:t xml:space="preserve">futures mark-to-market settlement) do not apply and are not addressed.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Premium margin</w:t>
      </w:r>
      <w:r>
        <w:t xml:space="preserve"> </w:t>
      </w:r>
      <w:r>
        <w:t xml:space="preserve">– the margin component covering the current</w:t>
      </w:r>
      <w:r>
        <w:t xml:space="preserve"> </w:t>
      </w:r>
      <w:r>
        <w:t xml:space="preserve">market value of short option positions. Entirely irrelevant given the</w:t>
      </w:r>
      <w:r>
        <w:t xml:space="preserve"> </w:t>
      </w:r>
      <w:r>
        <w:t xml:space="preserve">non-derivative client universe.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Short-selling margin requirements.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Unsecured lending.</w:t>
      </w:r>
    </w:p>
    <w:bookmarkEnd w:id="10"/>
    <w:bookmarkStart w:id="11" w:name="regulatory-context"/>
    <w:p>
      <w:pPr>
        <w:pStyle w:val="Heading2"/>
      </w:pPr>
      <w:r>
        <w:t xml:space="preserve">Regulatory Context</w:t>
      </w:r>
    </w:p>
    <w:p>
      <w:pPr>
        <w:pStyle w:val="FirstParagraph"/>
      </w:pPr>
      <w:r>
        <w:t xml:space="preserve">The framework draws on the following regulatory standards: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Regulation T (Reg T)</w:t>
      </w:r>
      <w:r>
        <w:t xml:space="preserve"> </w:t>
      </w:r>
      <w:r>
        <w:t xml:space="preserve">– Federal Reserve regulation</w:t>
      </w:r>
      <w:r>
        <w:t xml:space="preserve"> </w:t>
      </w:r>
      <w:r>
        <w:t xml:space="preserve">governing the extension of credit by brokers and dealers; establishes</w:t>
      </w:r>
      <w:r>
        <w:t xml:space="preserve"> </w:t>
      </w:r>
      <w:r>
        <w:t xml:space="preserve">a 50% initial margin requirement for most equity securities and forms</w:t>
      </w:r>
      <w:r>
        <w:t xml:space="preserve"> </w:t>
      </w:r>
      <w:r>
        <w:t xml:space="preserve">the basis of the instrument-level floor in Layer 1.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FINRA Rule 4210</w:t>
      </w:r>
      <w:r>
        <w:t xml:space="preserve"> </w:t>
      </w:r>
      <w:r>
        <w:t xml:space="preserve">– FINRA maintenance margin requirements</w:t>
      </w:r>
      <w:r>
        <w:t xml:space="preserve"> </w:t>
      </w:r>
      <w:r>
        <w:t xml:space="preserve">(minimum 25% equity for long positions); provides the maintenance</w:t>
      </w:r>
      <w:r>
        <w:t xml:space="preserve"> </w:t>
      </w:r>
      <w:r>
        <w:t xml:space="preserve">floor parameters for Layer 1.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MiFID II / MiFIR</w:t>
      </w:r>
      <w:r>
        <w:t xml:space="preserve"> </w:t>
      </w:r>
      <w:r>
        <w:t xml:space="preserve">– suitability and leverage requirements</w:t>
      </w:r>
      <w:r>
        <w:t xml:space="preserve"> </w:t>
      </w:r>
      <w:r>
        <w:t xml:space="preserve">for retail and professional clients in the EU.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CRR II / Basel III</w:t>
      </w:r>
      <w:r>
        <w:t xml:space="preserve"> </w:t>
      </w:r>
      <w:r>
        <w:t xml:space="preserve">– Financial Collateral Comprehensive</w:t>
      </w:r>
      <w:r>
        <w:t xml:space="preserve"> </w:t>
      </w:r>
      <w:r>
        <w:t xml:space="preserve">Method (FCCM) for regulatory haircut floors, referenced in Layer 1</w:t>
      </w:r>
      <w:r>
        <w:t xml:space="preserve"> </w:t>
      </w:r>
      <w:r>
        <w:t xml:space="preserve">haircut calibration.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ESMA Guidelines on Leverage</w:t>
      </w:r>
      <w:r>
        <w:t xml:space="preserve"> </w:t>
      </w:r>
      <w:r>
        <w:t xml:space="preserve">– retail client leverage</w:t>
      </w:r>
      <w:r>
        <w:t xml:space="preserve"> </w:t>
      </w:r>
      <w:r>
        <w:t xml:space="preserve">caps by asset class, acting as binding ceilings on both layers.</w:t>
      </w:r>
    </w:p>
    <w:bookmarkEnd w:id="11"/>
    <w:bookmarkEnd w:id="12"/>
    <w:bookmarkStart w:id="13" w:name="sec:definitions"/>
    <w:p>
      <w:pPr>
        <w:pStyle w:val="Heading1"/>
      </w:pPr>
      <w:r>
        <w:t xml:space="preserve">Key Definitions and Margin Concepts</w:t>
      </w:r>
    </w:p>
    <w:p>
      <w:pPr>
        <w:pStyle w:val="FirstParagraph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(Current Liquidating Margin).</w:t>
      </w:r>
      <w:r>
        <w:t xml:space="preserve"> 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current liquidating margin</w:t>
      </w:r>
      <w:r>
        <w:rPr>
          <w:i/>
          <w:iCs/>
        </w:rPr>
        <w:t xml:space="preserve"> </w:t>
      </w:r>
      <w:r>
        <w:rPr>
          <w:i/>
          <w:iCs/>
        </w:rPr>
        <w:t xml:space="preserve">(CLM) is the net equity value of a</w:t>
      </w:r>
      <w:r>
        <w:rPr>
          <w:i/>
          <w:iCs/>
        </w:rPr>
        <w:t xml:space="preserve"> </w:t>
      </w:r>
      <w:r>
        <w:rPr>
          <w:i/>
          <w:iCs/>
        </w:rPr>
        <w:t xml:space="preserve">client account if all open positions were closed at current market prices.</w:t>
      </w:r>
      <w:r>
        <w:rPr>
          <w:i/>
          <w:iCs/>
        </w:rPr>
        <w:t xml:space="preserve"> </w:t>
      </w:r>
      <w:r>
        <w:rPr>
          <w:i/>
          <w:iCs/>
        </w:rPr>
        <w:t xml:space="preserve">It is defined as: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j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Sup>
          <m:e>
            <m:r>
              <m:t>V</m:t>
            </m:r>
          </m:e>
          <m:sub>
            <m:r>
              <m:t>t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the adjusted collateral value and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the outstanding loan balance including accrued interest. CLM is the primary</w:t>
      </w:r>
      <w:r>
        <w:rPr>
          <w:i/>
          <w:iCs/>
        </w:rPr>
        <w:t xml:space="preserve"> </w:t>
      </w:r>
      <w:r>
        <w:rPr>
          <w:i/>
          <w:iCs/>
        </w:rPr>
        <w:t xml:space="preserve">measure of a client’s cushion against a margin call and is monitored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continuously. It is the non-derivative equivalent of the equity balance</w:t>
      </w:r>
      <w:r>
        <w:rPr>
          <w:i/>
          <w:iCs/>
        </w:rPr>
        <w:t xml:space="preserve"> </w:t>
      </w:r>
      <w:r>
        <w:rPr>
          <w:i/>
          <w:iCs/>
        </w:rPr>
        <w:t xml:space="preserve">concept in exchange-margined accounts.</w:t>
      </w:r>
    </w:p>
    <w:p>
      <w:pPr>
        <w:pStyle w:val="FirstParagraph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(Mark-to-Market Collateral Revaluation).</w:t>
      </w:r>
      <w:r>
        <w:t xml:space="preserve"> </w:t>
      </w:r>
      <w:r>
        <w:t xml:space="preserve"> </w:t>
      </w:r>
      <w:r>
        <w:rPr>
          <w:i/>
          <w:iCs/>
        </w:rPr>
        <w:t xml:space="preserve">The daily (and intraday) revaluation of collateral positions at current</w:t>
      </w:r>
      <w:r>
        <w:rPr>
          <w:i/>
          <w:iCs/>
        </w:rPr>
        <w:t xml:space="preserve"> </w:t>
      </w:r>
      <w:r>
        <w:rPr>
          <w:i/>
          <w:iCs/>
        </w:rPr>
        <w:t xml:space="preserve">market prices. Changes in</w:t>
      </w:r>
      <w:r>
        <w:rPr>
          <w:i/>
          <w:iCs/>
        </w:rPr>
        <w:t xml:space="preserve"> </w:t>
      </w:r>
      <m:oMath>
        <m:sSubSup>
          <m:e>
            <m:r>
              <m:t>V</m:t>
            </m:r>
          </m:e>
          <m:sub>
            <m:r>
              <m:t>t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directly affect CLM and</w:t>
      </w:r>
      <w:r>
        <w:rPr>
          <w:i/>
          <w:iCs/>
        </w:rPr>
        <w:t xml:space="preserve"> </w:t>
      </w:r>
      <w:r>
        <w:rPr>
          <w:i/>
          <w:iCs/>
        </w:rPr>
        <w:t xml:space="preserve">may trigger margin calls when CLM falls below the maintenance margin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requirement. This is the functional analogue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variation margin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used in derivatives markets (EMIR), adapted to the non-derivative collateral</w:t>
      </w:r>
      <w:r>
        <w:rPr>
          <w:i/>
          <w:iCs/>
        </w:rPr>
        <w:t xml:space="preserve"> </w:t>
      </w:r>
      <w:r>
        <w:rPr>
          <w:i/>
          <w:iCs/>
        </w:rPr>
        <w:t xml:space="preserve">context. In this framework it is governed by the LTV calculation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defined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trb_method.tex</w:t>
      </w:r>
      <w:r>
        <w:rPr>
          <w:i/>
          <w:iCs/>
        </w:rPr>
        <w:t xml:space="preserve"> </w:t>
      </w:r>
      <w:r>
        <w:rPr>
          <w:i/>
          <w:iCs/>
        </w:rPr>
        <w:t xml:space="preserve">Section 4.3, which specifies real-time,</w:t>
      </w:r>
      <w:r>
        <w:rPr>
          <w:i/>
          <w:iCs/>
        </w:rPr>
        <w:t xml:space="preserve"> </w:t>
      </w:r>
      <w:r>
        <w:rPr>
          <w:i/>
          <w:iCs/>
        </w:rPr>
        <w:t xml:space="preserve">intraday, and end-of-day revaluation frequencies and price source hierarchies.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Variation margin in the EMIR/futures sense – daily cash settlement of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mark-to-market P&amp;L on derivative positions – does not apply here, as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clients trade non-derivative instruments only.</w:t>
      </w:r>
    </w:p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(Initial Margin).</w:t>
      </w:r>
      <w:r>
        <w:t xml:space="preserve"> </w:t>
      </w:r>
      <w:r>
        <w:t xml:space="preserve"> </w:t>
      </w:r>
      <w:r>
        <w:rPr>
          <w:i/>
          <w:iCs/>
        </w:rPr>
        <w:t xml:space="preserve">The minimum equity a client must deposit at the time of loan origination,</w:t>
      </w:r>
      <w:r>
        <w:rPr>
          <w:i/>
          <w:iCs/>
        </w:rPr>
        <w:t xml:space="preserve"> </w:t>
      </w:r>
      <w:r>
        <w:rPr>
          <w:i/>
          <w:iCs/>
        </w:rPr>
        <w:t xml:space="preserve">expressed as a fraction of the position market value (see</w:t>
      </w:r>
      <w:r>
        <w:rPr>
          <w:i/>
          <w:iCs/>
        </w:rPr>
        <w:t xml:space="preserve"> </w:t>
      </w:r>
      <w:r>
        <w:rPr>
          <w:i/>
          <w:iCs/>
        </w:rPr>
        <w:t xml:space="preserve">Section </w:t>
      </w:r>
      <w:hyperlink w:anchor="subsec:initial_margin">
        <w:r>
          <w:rPr>
            <w:rStyle w:val="Hyperlink"/>
            <w:i/>
            <w:iCs/>
          </w:rPr>
          <w:t xml:space="preserve">4.2</w:t>
        </w:r>
      </w:hyperlink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Definition 4</w:t>
      </w:r>
      <w:r>
        <w:t xml:space="preserve"> </w:t>
      </w:r>
      <w:r>
        <w:t xml:space="preserve">(Maintenance Margin).</w:t>
      </w:r>
      <w:r>
        <w:t xml:space="preserve"> </w:t>
      </w:r>
      <w:r>
        <w:t xml:space="preserve"> </w:t>
      </w:r>
      <w:r>
        <w:rPr>
          <w:i/>
          <w:iCs/>
        </w:rPr>
        <w:t xml:space="preserve">The minimum equity a client must maintain at all times. A breach triggers</w:t>
      </w:r>
      <w:r>
        <w:rPr>
          <w:i/>
          <w:iCs/>
        </w:rPr>
        <w:t xml:space="preserve"> </w:t>
      </w:r>
      <w:r>
        <w:rPr>
          <w:i/>
          <w:iCs/>
        </w:rPr>
        <w:t xml:space="preserve">a margin call. Defined at the instrument level in Layer 1 and at the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 level in Layer 2 (see Sections </w:t>
      </w:r>
      <w:hyperlink w:anchor="subsec:maintenance_margin">
        <w:r>
          <w:rPr>
            <w:rStyle w:val="Hyperlink"/>
            <w:i/>
            <w:iCs/>
          </w:rPr>
          <w:t xml:space="preserve">4.3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w:anchor="sec:layer2">
        <w:r>
          <w:rPr>
            <w:rStyle w:val="Hyperlink"/>
            <w:i/>
            <w:iCs/>
          </w:rPr>
          <w:t xml:space="preserve">5</w:t>
        </w:r>
      </w:hyperlink>
      <w:r>
        <w:rPr>
          <w:i/>
          <w:iCs/>
        </w:rPr>
        <w:t xml:space="preserve">).</w:t>
      </w:r>
    </w:p>
    <w:bookmarkEnd w:id="13"/>
    <w:bookmarkStart w:id="15" w:name="sec:overview"/>
    <w:p>
      <w:pPr>
        <w:pStyle w:val="Heading1"/>
      </w:pPr>
      <w:r>
        <w:t xml:space="preserve">Framework Overview</w:t>
      </w:r>
    </w:p>
    <w:p>
      <w:pPr>
        <w:pStyle w:val="FirstParagraph"/>
      </w:pPr>
      <w:r>
        <w:t xml:space="preserve">The margin requirement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a client portfolio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determined as the maximum of the two layer outputs: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 Layer 1 instrument-level aggregate and</w:t>
      </w:r>
      <w: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 Layer 2 portfolio-level requirement. This construction</w:t>
      </w:r>
      <w:r>
        <w:t xml:space="preserve"> </w:t>
      </w:r>
      <w:r>
        <w:t xml:space="preserve">guarantees that the portfolio overlay can</w:t>
      </w:r>
      <w:r>
        <w:t xml:space="preserve"> </w:t>
      </w:r>
      <w:r>
        <w:rPr>
          <w:i/>
          <w:iCs/>
        </w:rPr>
        <w:t xml:space="preserve">only increase</w:t>
      </w:r>
      <w:r>
        <w:t xml:space="preserve"> </w:t>
      </w:r>
      <w:r>
        <w:t xml:space="preserve">the total</w:t>
      </w:r>
      <w:r>
        <w:t xml:space="preserve"> </w:t>
      </w:r>
      <w:r>
        <w:t xml:space="preserve">margin requirement relative to the instrument floor – it can never grant</w:t>
      </w:r>
      <w:r>
        <w:t xml:space="preserve"> </w:t>
      </w:r>
      <w:r>
        <w:t xml:space="preserve">a credit that reduces it below the regulatory minimum.</w:t>
      </w:r>
    </w:p>
    <w:bookmarkStart w:id="14" w:name="fig:layer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Layer 2: Portfolio Overlay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Correlation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⋅</m:t>
                    </m:r>
                  </m:oMath>
                  <w:r>
                    <w:t xml:space="preserve"> </w:t>
                  </w:r>
                  <w:r>
                    <w:t xml:space="preserve">Diversification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⋅</m:t>
                    </m:r>
                  </m:oMath>
                  <w:r>
                    <w:t xml:space="preserve"> </w:t>
                  </w:r>
                  <w:r>
                    <w:t xml:space="preserve">Concentration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⋅</m:t>
                    </m:r>
                  </m:oMath>
                  <w:r>
                    <w:t xml:space="preserve"> </w:t>
                  </w:r>
                  <w:r>
                    <w:t xml:space="preserve">Regime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Layer 1: Instrument 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Reg T / FINRA 4210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⋅</m:t>
                    </m:r>
                  </m:oMath>
                  <w:r>
                    <w:t xml:space="preserve"> </w:t>
                  </w:r>
                  <w:r>
                    <w:t xml:space="preserve">Asset-Class Haircuts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⋅</m:t>
                    </m:r>
                  </m:oMath>
                  <w:r>
                    <w:t xml:space="preserve"> </w:t>
                  </w:r>
                  <w:r>
                    <w:t xml:space="preserve">FCCM Floors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</w:tr>
          </w:tbl>
          <w:p/>
        </w:tc>
      </w:tr>
    </w:tbl>
    <w:p>
      <w:pPr>
        <w:pStyle w:val="ImageCaption"/>
      </w:pPr>
      <w:r>
        <w:t xml:space="preserve">Two-layer margin requirement structure. Layer 1 provides the</w:t>
      </w:r>
      <w:r>
        <w:t xml:space="preserve"> </w:t>
      </w:r>
      <w:r>
        <w:t xml:space="preserve">unconditional floor; Layer 2 may only add to it.</w:t>
      </w:r>
    </w:p>
    <w:bookmarkEnd w:id="14"/>
    <w:bookmarkEnd w:id="15"/>
    <w:bookmarkStart w:id="26" w:name="sec:layer1"/>
    <w:p>
      <w:pPr>
        <w:pStyle w:val="Heading1"/>
      </w:pPr>
      <w:r>
        <w:t xml:space="preserve">Layer 1: Instrument-by-Instrument Margin (Reg T Floor)</w:t>
      </w:r>
    </w:p>
    <w:bookmarkStart w:id="16" w:name="conceptual-basis"/>
    <w:p>
      <w:pPr>
        <w:pStyle w:val="Heading2"/>
      </w:pPr>
      <w:r>
        <w:t xml:space="preserve">Conceptual Basis</w:t>
      </w:r>
    </w:p>
    <w:p>
      <w:pPr>
        <w:pStyle w:val="FirstParagraph"/>
      </w:pPr>
      <w:r>
        <w:t xml:space="preserve">Layer 1 follows the Regulation T and FINRA Rule 4210 paradigm: each</w:t>
      </w:r>
      <w:r>
        <w:t xml:space="preserve"> </w:t>
      </w:r>
      <w:r>
        <w:t xml:space="preserve">position is assessed independently against prescribed initial and maintenance</w:t>
      </w:r>
      <w:r>
        <w:t xml:space="preserve"> </w:t>
      </w:r>
      <w:r>
        <w:t xml:space="preserve">margin rates. No netting or correlation benefit is recognised at this stage.</w:t>
      </w:r>
      <w:r>
        <w:t xml:space="preserve"> </w:t>
      </w:r>
      <w:r>
        <w:t xml:space="preserve">The aggregate Layer 1 requirement is the sum of individual instrument</w:t>
      </w:r>
      <w:r>
        <w:t xml:space="preserve"> </w:t>
      </w:r>
      <w:r>
        <w:t xml:space="preserve">requirements: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16"/>
    <w:bookmarkStart w:id="20" w:name="subsec:initial_margin"/>
    <w:p>
      <w:pPr>
        <w:pStyle w:val="Heading2"/>
      </w:pPr>
      <w:r>
        <w:t xml:space="preserve">Initial Margin Requirement</w:t>
      </w:r>
    </w:p>
    <w:p>
      <w:pPr>
        <w:pStyle w:val="FirstParagraph"/>
      </w:pPr>
      <w:r>
        <w:t xml:space="preserve">The initial margin requirement establishes the minimum client equity that</w:t>
      </w:r>
      <w:r>
        <w:t xml:space="preserve"> </w:t>
      </w:r>
      <w:r>
        <w:t xml:space="preserve">must be in place</w:t>
      </w:r>
      <w:r>
        <w:t xml:space="preserve"> </w:t>
      </w:r>
      <w:r>
        <w:rPr>
          <w:i/>
          <w:iCs/>
        </w:rPr>
        <w:t xml:space="preserve">at the time a margin loan is originated or a new</w:t>
      </w:r>
      <w:r>
        <w:rPr>
          <w:i/>
          <w:iCs/>
        </w:rPr>
        <w:t xml:space="preserve"> </w:t>
      </w:r>
      <w:r>
        <w:rPr>
          <w:i/>
          <w:iCs/>
        </w:rPr>
        <w:t xml:space="preserve">position is added to the collateral pool</w:t>
      </w:r>
      <w:r>
        <w:t xml:space="preserve">. It acts as the first line of</w:t>
      </w:r>
      <w:r>
        <w:t xml:space="preserve"> </w:t>
      </w:r>
      <w:r>
        <w:t xml:space="preserve">defence against credit loss: by requiring the client to fund a minimum</w:t>
      </w:r>
      <w:r>
        <w:t xml:space="preserve"> </w:t>
      </w:r>
      <w:r>
        <w:t xml:space="preserve">fraction of the position from their own equity, the Platform limits its</w:t>
      </w:r>
      <w:r>
        <w:t xml:space="preserve"> </w:t>
      </w:r>
      <w:r>
        <w:t xml:space="preserve">maximum loan exposure relative to collateral value from the outset.</w:t>
      </w:r>
    </w:p>
    <w:p>
      <w:pPr>
        <w:pStyle w:val="BodyText"/>
      </w:pPr>
      <w:r>
        <w:t xml:space="preserve">The initial margin requirement for a long position in instrument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initial margin rate applicable to</w:t>
      </w:r>
      <w:r>
        <w:t xml:space="preserve"> </w:t>
      </w:r>
      <w:r>
        <w:t xml:space="preserve">instrument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mark-to-market value of</w:t>
      </w:r>
      <w:r>
        <w:t xml:space="preserve"> </w:t>
      </w:r>
      <w:r>
        <w:t xml:space="preserve">the position at origination.</w:t>
      </w:r>
    </w:p>
    <w:bookmarkStart w:id="17" w:name="regulatory-floor"/>
    <w:p>
      <w:pPr>
        <w:pStyle w:val="Heading3"/>
      </w:pPr>
      <w:r>
        <w:t xml:space="preserve">Regulatory Floor</w:t>
      </w:r>
    </w:p>
    <w:p>
      <w:pPr>
        <w:pStyle w:val="FirstParagraph"/>
      </w:pPr>
      <w:r>
        <w:t xml:space="preserve">Under Regulation T,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≥</m:t>
        </m:r>
        <m:r>
          <m:t>0.50</m:t>
        </m:r>
      </m:oMath>
      <w:r>
        <w:t xml:space="preserve"> </w:t>
      </w:r>
      <w:r>
        <w:t xml:space="preserve">for marginable equity securities,</w:t>
      </w:r>
      <w:r>
        <w:t xml:space="preserve"> </w:t>
      </w:r>
      <w:r>
        <w:t xml:space="preserve">meaning the client must fund at least 50% of the purchase price from equity.</w:t>
      </w:r>
      <w:r>
        <w:t xml:space="preserve"> </w:t>
      </w:r>
      <w:r>
        <w:t xml:space="preserve">The Platform applies house initial margin rates at or above this floor,</w:t>
      </w:r>
      <w:r>
        <w:t xml:space="preserve"> </w:t>
      </w:r>
      <w:r>
        <w:t xml:space="preserve">calibrated by asset class as detailed in Table </w:t>
      </w:r>
      <w:hyperlink w:anchor="tab:margin_rates">
        <w:r>
          <w:rPr>
            <w:rStyle w:val="Hyperlink"/>
          </w:rPr>
          <w:t xml:space="preserve">1</w:t>
        </w:r>
      </w:hyperlink>
      <w:r>
        <w:t xml:space="preserve">.</w:t>
      </w:r>
      <w:r>
        <w:t xml:space="preserve"> </w:t>
      </w:r>
      <w:r>
        <w:t xml:space="preserve">For fixed income instruments, the Reg T floor does not prescribe a specific</w:t>
      </w:r>
      <w:r>
        <w:t xml:space="preserve"> </w:t>
      </w:r>
      <w:r>
        <w:t xml:space="preserve">rate; the Platform applies rates consistent with CRR II FCCM supervisory</w:t>
      </w:r>
      <w:r>
        <w:t xml:space="preserve"> </w:t>
      </w:r>
      <w:r>
        <w:t xml:space="preserve">haircuts scaled to an equivalent margin basis.</w:t>
      </w:r>
    </w:p>
    <w:bookmarkEnd w:id="17"/>
    <w:bookmarkStart w:id="18" w:name="relationship-to-ltv-at-origination"/>
    <w:p>
      <w:pPr>
        <w:pStyle w:val="Heading3"/>
      </w:pPr>
      <w:r>
        <w:t xml:space="preserve">Relationship to LTV at Origination</w:t>
      </w:r>
    </w:p>
    <w:p>
      <w:pPr>
        <w:pStyle w:val="FirstParagraph"/>
      </w:pPr>
      <w:r>
        <w:t xml:space="preserve">The initial margin rate determines the maximum LTV at which a new loan may</w:t>
      </w:r>
      <w:r>
        <w:t xml:space="preserve"> </w:t>
      </w:r>
      <w:r>
        <w:t xml:space="preserve">be originated. Specifically, the maximum initial LTV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V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 50% initial margin rate implies a maximum origination LTV of 50%.</w:t>
      </w:r>
      <w:r>
        <w:t xml:space="preserve"> </w:t>
      </w:r>
      <w:r>
        <w:t xml:space="preserve">For a multi-asset portfolio, the effective initial LTV cap is the</w:t>
      </w:r>
      <w:r>
        <w:t xml:space="preserve"> </w:t>
      </w:r>
      <w:r>
        <w:t xml:space="preserve">value-weighted average of per-instrument caps, subject to the portfolio-level</w:t>
      </w:r>
      <w:r>
        <w:t xml:space="preserve"> </w:t>
      </w:r>
      <w:r>
        <w:t xml:space="preserve">regime adjustment defined in Layer 2 (Section </w:t>
      </w:r>
      <w:hyperlink w:anchor="sec:layer2">
        <w:r>
          <w:rPr>
            <w:rStyle w:val="Hyperlink"/>
          </w:rPr>
          <w:t xml:space="preserve">5</w:t>
        </w:r>
      </w:hyperlink>
      <w:r>
        <w:t xml:space="preserve">) and the</w:t>
      </w:r>
      <w:r>
        <w:t xml:space="preserve"> </w:t>
      </w:r>
      <w:r>
        <w:t xml:space="preserve">regime-dependent initial LTV schedule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5.4.</w:t>
      </w:r>
    </w:p>
    <w:bookmarkEnd w:id="18"/>
    <w:bookmarkStart w:id="19" w:name="recalculation-triggers"/>
    <w:p>
      <w:pPr>
        <w:pStyle w:val="Heading3"/>
      </w:pPr>
      <w:r>
        <w:t xml:space="preserve">Recalculation Triggers</w:t>
      </w:r>
    </w:p>
    <w:p>
      <w:pPr>
        <w:pStyle w:val="FirstParagraph"/>
      </w:pPr>
      <w:r>
        <w:t xml:space="preserve">Although the initial margin requirement is primarily assessed at origination,</w:t>
      </w:r>
      <w:r>
        <w:t xml:space="preserve"> </w:t>
      </w:r>
      <w:r>
        <w:t xml:space="preserve">it is recalculated and reapplied in the following circumstances:</w:t>
      </w:r>
    </w:p>
    <w:p>
      <w:pPr>
        <w:numPr>
          <w:ilvl w:val="0"/>
          <w:numId w:val="1004"/>
        </w:numPr>
      </w:pPr>
      <w:r>
        <w:t xml:space="preserve">A client adds a new position or increases an existing position.</w:t>
      </w:r>
    </w:p>
    <w:p>
      <w:pPr>
        <w:numPr>
          <w:ilvl w:val="0"/>
          <w:numId w:val="1004"/>
        </w:numPr>
      </w:pPr>
      <w:r>
        <w:t xml:space="preserve">A position is reclassified to a higher-risk asset class (e.g. following a credit rating downgrade or a reduction in ADTV below a</w:t>
      </w:r>
      <w:r>
        <w:t xml:space="preserve"> </w:t>
      </w:r>
      <w:r>
        <w:t xml:space="preserve">liquidity threshold).</w:t>
      </w:r>
    </w:p>
    <w:p>
      <w:pPr>
        <w:numPr>
          <w:ilvl w:val="0"/>
          <w:numId w:val="1004"/>
        </w:numPr>
      </w:pPr>
      <w:r>
        <w:t xml:space="preserve">A regime transition to Stress is declared, triggering the lower</w:t>
      </w:r>
      <w:r>
        <w:t xml:space="preserve"> </w:t>
      </w:r>
      <w:r>
        <w:t xml:space="preserve">initial LTV cap for newly originated or materially increased positions</w:t>
      </w:r>
      <w:r>
        <w:t xml:space="preserve"> </w:t>
      </w:r>
      <w:r>
        <w:t xml:space="preserve">(existing positions are not force-cured solely on regime change).</w:t>
      </w:r>
    </w:p>
    <w:bookmarkEnd w:id="19"/>
    <w:bookmarkEnd w:id="20"/>
    <w:bookmarkStart w:id="21" w:name="subsec:maintenance_margin"/>
    <w:p>
      <w:pPr>
        <w:pStyle w:val="Heading2"/>
      </w:pPr>
      <w:r>
        <w:t xml:space="preserve">Maintenance Margin Requirement</w:t>
      </w:r>
    </w:p>
    <w:p>
      <w:pPr>
        <w:pStyle w:val="FirstParagraph"/>
      </w:pPr>
      <w:r>
        <w:t xml:space="preserve">The maintenance margin requirement is the minimum equity the client must</w:t>
      </w:r>
      <w:r>
        <w:t xml:space="preserve"> </w:t>
      </w:r>
      <w:r>
        <w:t xml:space="preserve">hold at all times: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sup>
        </m:sSubSup>
      </m:oMath>
      <w:r>
        <w:t xml:space="preserve"> </w:t>
      </w:r>
      <w:r>
        <w:t xml:space="preserve">is the maintenance margin rate. Under FINRA Rule 4210,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≥</m:t>
        </m:r>
        <m:r>
          <m:t>0.25</m:t>
        </m:r>
      </m:oMath>
      <w:r>
        <w:t xml:space="preserve"> </w:t>
      </w:r>
      <w:r>
        <w:t xml:space="preserve">for long equity positions. The Platform applies</w:t>
      </w:r>
      <w:r>
        <w:t xml:space="preserve"> </w:t>
      </w:r>
      <w:r>
        <w:t xml:space="preserve">enhanced house maintenance rates as detailed in Table </w:t>
      </w:r>
      <w:hyperlink w:anchor="tab:margin_rates">
        <w:r>
          <w:rPr>
            <w:rStyle w:val="Hyperlink"/>
          </w:rPr>
          <w:t xml:space="preserve">1</w:t>
        </w:r>
      </w:hyperlink>
      <w:r>
        <w:t xml:space="preserve">.</w:t>
      </w:r>
    </w:p>
    <w:bookmarkEnd w:id="21"/>
    <w:bookmarkStart w:id="23" w:name="subsec:margin_rates"/>
    <w:p>
      <w:pPr>
        <w:pStyle w:val="Heading2"/>
      </w:pPr>
      <w:r>
        <w:t xml:space="preserve">Asset-Class Margin Rate Schedule</w:t>
      </w:r>
    </w:p>
    <w:bookmarkStart w:id="22" w:name="tab:margin_rates"/>
    <w:p>
      <w:pPr>
        <w:pStyle w:val="TableCaption"/>
      </w:pPr>
      <w:r>
        <w:t xml:space="preserve">Instrument-Level Margin Rate Schedule (Layer 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strument-Level Margin Rate Schedule (Layer 1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Initial Margin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Maintenance Margin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AAA–AA, maturity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AAA–AA, 1–5Y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AAA–AA, 5–10Y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A–BBB, any maturity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 Corporate 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5Y+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Large-Cap Equities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MSCI World, high liquidity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Mid-Cap Equities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 liquidity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Small-Cap Equities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liquidity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ETFs (broad)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index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ETFs (thematic)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/ factor exposure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</w:tr>
    </w:tbl>
    <w:bookmarkEnd w:id="22"/>
    <w:p>
      <w:pPr>
        <w:pStyle w:val="BodyText"/>
      </w:pPr>
      <w:r>
        <w:t xml:space="preserve">Initial margin rates at or above 50% for equities are consistent</w:t>
      </w:r>
      <w:r>
        <w:t xml:space="preserve"> </w:t>
      </w:r>
      <w:r>
        <w:t xml:space="preserve">with Reg T. Rates for fixed income reflect FCCM supervisory haircut floors</w:t>
      </w:r>
      <w:r>
        <w:t xml:space="preserve"> </w:t>
      </w:r>
      <w:r>
        <w:t xml:space="preserve">scaled to an equivalent margin basis.</w:t>
      </w:r>
    </w:p>
    <w:bookmarkEnd w:id="23"/>
    <w:bookmarkStart w:id="24" w:name="layer-1-margin-call-trigger"/>
    <w:p>
      <w:pPr>
        <w:pStyle w:val="Heading2"/>
      </w:pPr>
      <w:r>
        <w:t xml:space="preserve">Layer 1 Margin Call Trigger</w:t>
      </w:r>
    </w:p>
    <w:p>
      <w:pPr>
        <w:pStyle w:val="FirstParagraph"/>
      </w:pPr>
      <w:r>
        <w:t xml:space="preserve">A Layer 1 margin call is triggered at the instrument level when the equity</w:t>
      </w:r>
      <w:r>
        <w:t xml:space="preserve"> </w:t>
      </w:r>
      <w:r>
        <w:t xml:space="preserve">in a single-position account falls below the maintenance margin requirement,</w:t>
      </w:r>
      <w:r>
        <w:t xml:space="preserve"> </w:t>
      </w:r>
      <w:r>
        <w:t xml:space="preserve">i.e. when: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debit balance (amount borrowed) attributed to</w:t>
      </w:r>
      <w:r>
        <w:t xml:space="preserve"> </w:t>
      </w:r>
      <w:r>
        <w:t xml:space="preserve">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a pro-rata basis. The required deposit to restore the</w:t>
      </w:r>
      <w:r>
        <w:t xml:space="preserve"> </w:t>
      </w:r>
      <w:r>
        <w:t xml:space="preserve">position to the initial margin level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24"/>
    <w:bookmarkStart w:id="25" w:name="subsec:fx_layer1"/>
    <w:p>
      <w:pPr>
        <w:pStyle w:val="Heading2"/>
      </w:pPr>
      <w:r>
        <w:t xml:space="preserve">FX and Non-EUR Positions</w:t>
      </w:r>
    </w:p>
    <w:p>
      <w:pPr>
        <w:pStyle w:val="FirstParagraph"/>
      </w:pPr>
      <w:r>
        <w:t xml:space="preserve">For assets denominated in currency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E</m:t>
        </m:r>
        <m:r>
          <m:rPr>
            <m:sty m:val="p"/>
          </m:rPr>
          <m:t>U</m:t>
        </m:r>
        <m:r>
          <m:rPr>
            <m:sty m:val="p"/>
          </m:rPr>
          <m:t>R</m:t>
        </m:r>
      </m:oMath>
      <w:r>
        <w:t xml:space="preserve">, the margin</w:t>
      </w:r>
      <w:r>
        <w:t xml:space="preserve"> </w:t>
      </w:r>
      <w:r>
        <w:t xml:space="preserve">requirement is computed on the EUR-equivalent market value, and an</w:t>
      </w:r>
      <w:r>
        <w:t xml:space="preserve"> </w:t>
      </w:r>
      <w:r>
        <w:t xml:space="preserve">additional FX margin add-on is applied: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FX margin rate for currency pair</w:t>
      </w:r>
      <w:r>
        <w:t xml:space="preserve"> </w:t>
      </w:r>
      <m:oMath>
        <m:r>
          <m:t>c</m:t>
        </m:r>
      </m:oMath>
      <w:r>
        <w:t xml:space="preserve">/EUR, calibrated consistently with the haircut formula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3.2.</w:t>
      </w:r>
    </w:p>
    <w:bookmarkEnd w:id="25"/>
    <w:bookmarkEnd w:id="26"/>
    <w:bookmarkStart w:id="35" w:name="sec:layer2"/>
    <w:p>
      <w:pPr>
        <w:pStyle w:val="Heading1"/>
      </w:pPr>
      <w:r>
        <w:t xml:space="preserve">Layer 2: Portfolio-Level Margin Overlay</w:t>
      </w:r>
    </w:p>
    <w:bookmarkStart w:id="27" w:name="conceptual-basis-1"/>
    <w:p>
      <w:pPr>
        <w:pStyle w:val="Heading2"/>
      </w:pPr>
      <w:r>
        <w:t xml:space="preserve">Conceptual Basis</w:t>
      </w:r>
    </w:p>
    <w:p>
      <w:pPr>
        <w:pStyle w:val="FirstParagraph"/>
      </w:pPr>
      <w:r>
        <w:t xml:space="preserve">Layer 2 assesses margin requirements at the portfolio level, recognising</w:t>
      </w:r>
      <w:r>
        <w:t xml:space="preserve"> </w:t>
      </w:r>
      <w:r>
        <w:t xml:space="preserve">that the true risk of a collateral portfolio is not merely the sum of</w:t>
      </w:r>
      <w:r>
        <w:t xml:space="preserve"> </w:t>
      </w:r>
      <w:r>
        <w:t xml:space="preserve">individual position risks. Two distinct effects are captured: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Diversification benefit:</w:t>
      </w:r>
      <w:r>
        <w:t xml:space="preserve"> </w:t>
      </w:r>
      <w:r>
        <w:t xml:space="preserve">Low or negative pairwise</w:t>
      </w:r>
      <w:r>
        <w:t xml:space="preserve"> </w:t>
      </w:r>
      <w:r>
        <w:t xml:space="preserve">correlations reduce portfolio-level risk below the sum-of-parts.</w:t>
      </w:r>
      <w:r>
        <w:t xml:space="preserve"> </w:t>
      </w:r>
      <w:r>
        <w:t xml:space="preserve">Layer 2 can recognise this benefit, subject to a floor equal to the</w:t>
      </w:r>
      <w:r>
        <w:t xml:space="preserve"> </w:t>
      </w:r>
      <w:r>
        <w:t xml:space="preserve">Layer 1 aggregate (equation </w:t>
      </w:r>
      <w:hyperlink w:anchor="eq:mr_total">
        <w:r>
          <w:rPr>
            <w:rStyle w:val="Hyperlink"/>
          </w:rPr>
          <w:t xml:space="preserve">[eq:mr_total]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Concentration and correlation penalty:</w:t>
      </w:r>
      <w:r>
        <w:t xml:space="preserve"> </w:t>
      </w:r>
      <w:r>
        <w:t xml:space="preserve">Highly correlated</w:t>
      </w:r>
      <w:r>
        <w:t xml:space="preserve"> </w:t>
      </w:r>
      <w:r>
        <w:t xml:space="preserve">or concentrated portfolios may exhibit risk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sum-of-parts</w:t>
      </w:r>
      <w:r>
        <w:t xml:space="preserve"> </w:t>
      </w:r>
      <w:r>
        <w:t xml:space="preserve">during stress. Layer 2 applies a multiplicative penalty in such cases,</w:t>
      </w:r>
      <w:r>
        <w:t xml:space="preserve"> </w:t>
      </w:r>
      <w:r>
        <w:t xml:space="preserve">increasing margin requirements beyond the Layer 1 floor.</w:t>
      </w:r>
    </w:p>
    <w:p>
      <w:pPr>
        <w:pStyle w:val="FirstParagraph"/>
      </w:pPr>
      <w:r>
        <w:t xml:space="preserve">The Layer 2 margin requirement is defined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κ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portfolio VaR at confidence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estimated under the covariance structure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Σ</m:t>
                </m:r>
              </m:e>
            </m:acc>
          </m:e>
          <m:sub>
            <m:r>
              <m:t>t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concentration and correlation multiplier</w:t>
      </w:r>
      <w:r>
        <w:t xml:space="preserve"> </w:t>
      </w:r>
      <w:r>
        <w:t xml:space="preserve">defined in Section </w:t>
      </w:r>
      <w:hyperlink w:anchor="subsec:concentration_multiplier">
        <w:r>
          <w:rPr>
            <w:rStyle w:val="Hyperlink"/>
          </w:rPr>
          <w:t xml:space="preserve">5.3</w:t>
        </w:r>
      </w:hyperlink>
      <w:r>
        <w:t xml:space="preserve">.</w:t>
      </w:r>
    </w:p>
    <w:bookmarkEnd w:id="27"/>
    <w:bookmarkStart w:id="28" w:name="subsec:portfolio_var"/>
    <w:p>
      <w:pPr>
        <w:pStyle w:val="Heading2"/>
      </w:pPr>
      <w:r>
        <w:t xml:space="preserve">Portfolio VaR Estimation</w:t>
      </w:r>
    </w:p>
    <w:p>
      <w:pPr>
        <w:pStyle w:val="FirstParagraph"/>
      </w:pPr>
      <w:r>
        <w:t xml:space="preserve">The portfolio profit-and-loss over the liquidation horizon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approximated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haircut-adjusted weight of instrument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t</m:t>
            </m:r>
          </m:sub>
        </m:sSub>
      </m:oMath>
      <w:r>
        <w:t xml:space="preserve"> </w:t>
      </w:r>
      <w:r>
        <w:t xml:space="preserve">is the return over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Returns are modelled as jointly normal with zero mean and</w:t>
      </w:r>
      <w:r>
        <w:t xml:space="preserve"> </w:t>
      </w:r>
      <w:r>
        <w:t xml:space="preserve">covariance matrix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Σ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is estimated via EWMA with decay factor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on a 252-day</w:t>
      </w:r>
      <w:r>
        <w:t xml:space="preserve"> </w:t>
      </w:r>
      <w:r>
        <w:t xml:space="preserve">window. The portfolio variance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e>
            <m:sub>
              <m:r>
                <m:t>t</m:t>
              </m:r>
            </m:sub>
          </m:sSub>
          <m:r>
            <m:t> </m:t>
          </m:r>
          <m:r>
            <m:rPr>
              <m:sty m:val="bi"/>
            </m:rP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sSub>
          <m:e>
            <m:r>
              <m:t>Q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t>t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bSup>
      </m:oMath>
      <w:r>
        <w:t xml:space="preserve"> </w:t>
      </w:r>
      <w:r>
        <w:t xml:space="preserve">is the vector of adjusted value weights.</w:t>
      </w:r>
    </w:p>
    <w:p>
      <w:pPr>
        <w:pStyle w:val="BodyText"/>
      </w:pPr>
      <w:r>
        <w:t xml:space="preserve">The parametric portfolio VaR at confidence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over horizon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α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  <m:r>
                <m:t>t</m:t>
              </m:r>
            </m:e>
          </m:rad>
          <m:r>
            <m:t> 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j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standard normal quantile</w:t>
      </w:r>
      <w:r>
        <w:t xml:space="preserve"> </w:t>
      </w:r>
      <w:r>
        <w:t xml:space="preserve">(e.g. </w:t>
      </w:r>
      <m:oMath>
        <m:sSub>
          <m:e>
            <m:r>
              <m:t>z</m:t>
            </m:r>
          </m:e>
          <m:sub>
            <m:r>
              <m:t>0.99</m:t>
            </m:r>
          </m:sub>
        </m:sSub>
        <m:r>
          <m:rPr>
            <m:sty m:val="p"/>
          </m:rPr>
          <m:t>=</m:t>
        </m:r>
        <m:r>
          <m:t>2.326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Remark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For portfolios with significant fat-tail exposures, the parametric</w:t>
      </w:r>
      <w:r>
        <w:rPr>
          <w:i/>
          <w:iCs/>
        </w:rPr>
        <w:t xml:space="preserve"> </w:t>
      </w:r>
      <w:r>
        <w:rPr>
          <w:i/>
          <w:iCs/>
        </w:rPr>
        <w:t xml:space="preserve">normal VaR in equation </w:t>
      </w:r>
      <w:hyperlink w:anchor="eq:port_var_formula">
        <w:r>
          <w:rPr>
            <w:rStyle w:val="Hyperlink"/>
            <w:i/>
            <w:iCs/>
          </w:rPr>
          <w:t xml:space="preserve">[eq:port_var_formula]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may underestimate</w:t>
      </w:r>
      <w:r>
        <w:rPr>
          <w:i/>
          <w:iCs/>
        </w:rPr>
        <w:t xml:space="preserve"> </w:t>
      </w:r>
      <w:r>
        <w:rPr>
          <w:i/>
          <w:iCs/>
        </w:rPr>
        <w:t xml:space="preserve">tail risk. In such cases the portfolio VaR is estimated via Monte Carlo</w:t>
      </w:r>
      <w:r>
        <w:rPr>
          <w:i/>
          <w:iCs/>
        </w:rPr>
        <w:t xml:space="preserve"> </w:t>
      </w:r>
      <w:r>
        <w:rPr>
          <w:i/>
          <w:iCs/>
        </w:rPr>
        <w:t xml:space="preserve">simulation using a multivariate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-distribution with fitted degrees of</w:t>
      </w:r>
      <w:r>
        <w:rPr>
          <w:i/>
          <w:iCs/>
        </w:rPr>
        <w:t xml:space="preserve"> </w:t>
      </w:r>
      <w:r>
        <w:rPr>
          <w:i/>
          <w:iCs/>
        </w:rPr>
        <w:t xml:space="preserve">freedom</w:t>
      </w:r>
      <w:r>
        <w:rPr>
          <w:i/>
          <w:iCs/>
        </w:rPr>
        <w:t xml:space="preserve"> </w:t>
      </w:r>
      <m:oMath>
        <m:r>
          <m:t>ν</m:t>
        </m:r>
      </m:oMath>
      <w:r>
        <w:rPr>
          <w:i/>
          <w:iCs/>
        </w:rPr>
        <w:t xml:space="preserve">, as specified in the stress testing section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trb_method.tex</w:t>
      </w:r>
      <w:r>
        <w:rPr>
          <w:i/>
          <w:iCs/>
        </w:rPr>
        <w:t xml:space="preserve">.</w:t>
      </w:r>
    </w:p>
    <w:bookmarkEnd w:id="28"/>
    <w:bookmarkStart w:id="31" w:name="subsec:concentration_multiplier"/>
    <w:p>
      <w:pPr>
        <w:pStyle w:val="Heading2"/>
      </w:pPr>
      <w:r>
        <w:t xml:space="preserve">Concentration and Correlation Multiplier</w:t>
      </w:r>
    </w:p>
    <w:p>
      <w:pPr>
        <w:pStyle w:val="FirstParagraph"/>
      </w:pPr>
      <w:r>
        <w:t xml:space="preserve">The multiplier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composed of two additive adjustments: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κ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κ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(</m:t>
          </m:r>
          <m:r>
            <m:t>H</m:t>
          </m:r>
          <m:r>
            <m:t>H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correlation penalty and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H</m:t>
        </m:r>
        <m:r>
          <m:t>H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concentration penalty.</w:t>
      </w:r>
    </w:p>
    <w:bookmarkStart w:id="29" w:name="correlation-penalty"/>
    <w:p>
      <w:pPr>
        <w:pStyle w:val="Heading3"/>
      </w:pPr>
      <w:r>
        <w:t xml:space="preserve">Correlation Penalty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denote the average pairwise Pearson correlation of daily</w:t>
      </w:r>
      <w:r>
        <w:t xml:space="preserve"> </w:t>
      </w:r>
      <w:r>
        <w:t xml:space="preserve">log-returns across all collateral positions, estimated over a 60-day rolling</w:t>
      </w:r>
      <w:r>
        <w:t xml:space="preserve"> </w:t>
      </w:r>
      <w:r>
        <w:t xml:space="preserve">window. The correlation penalty is: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ρ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0.4</m:t>
                    </m:r>
                  </m:e>
                </m:mr>
                <m:mr>
                  <m:e>
                    <m:r>
                      <m:t>0.05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ρ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</m:t>
                        </m:r>
                      </m:num>
                      <m:den>
                        <m:r>
                          <m:t>0.6</m:t>
                        </m:r>
                      </m:den>
                    </m:f>
                  </m:e>
                  <m:e>
                    <m:r>
                      <m:t>0.4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ρ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linearly ramps from 0% to 5% as average correlation rises from 0.4</w:t>
      </w:r>
      <w:r>
        <w:t xml:space="preserve"> </w:t>
      </w:r>
      <w:r>
        <w:t xml:space="preserve">to 1.0, reflecting diminishing diversification in stress.</w:t>
      </w:r>
    </w:p>
    <w:bookmarkEnd w:id="29"/>
    <w:bookmarkStart w:id="30" w:name="concentration-penalty"/>
    <w:p>
      <w:pPr>
        <w:pStyle w:val="Heading3"/>
      </w:pPr>
      <w:r>
        <w:t xml:space="preserve">Concentration Penalty</w:t>
      </w:r>
    </w:p>
    <w:p>
      <w:pPr>
        <w:pStyle w:val="FirstParagraph"/>
      </w:pPr>
      <w:r>
        <w:t xml:space="preserve">Portfolio concentration is measured by the Herfindahl–Hirschman Index (HHI):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H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adjusted value weights. The concentration penalty is: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H</m:t>
          </m:r>
          <m:r>
            <m:t>H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H</m:t>
                    </m:r>
                    <m:r>
                      <m:t>H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0.10</m:t>
                    </m:r>
                  </m:e>
                </m:mr>
                <m:mr>
                  <m:e>
                    <m:r>
                      <m:t>0.10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  <m:r>
                          <m:t>H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0.10</m:t>
                        </m:r>
                      </m:num>
                      <m:den>
                        <m:r>
                          <m:t>0.90</m:t>
                        </m:r>
                      </m:den>
                    </m:f>
                  </m:e>
                  <m:e>
                    <m:r>
                      <m:t>0.10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H</m:t>
                    </m:r>
                    <m:r>
                      <m:t>H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ramps from 0% to 10% as HHI rises from a well-diversified portfolio</w:t>
      </w:r>
      <w:r>
        <w:t xml:space="preserve"> </w:t>
      </w:r>
      <w:r>
        <w:t xml:space="preserve">(0.10) to a fully concentrated single-name portfolio (1.0).</w:t>
      </w:r>
    </w:p>
    <w:bookmarkEnd w:id="30"/>
    <w:bookmarkEnd w:id="31"/>
    <w:bookmarkStart w:id="33" w:name="subsec:regime_layer2"/>
    <w:p>
      <w:pPr>
        <w:pStyle w:val="Heading2"/>
      </w:pPr>
      <w:r>
        <w:t xml:space="preserve">Regime-Adjusted Portfolio Margin</w:t>
      </w:r>
    </w:p>
    <w:p>
      <w:pPr>
        <w:pStyle w:val="FirstParagraph"/>
      </w:pPr>
      <w:r>
        <w:t xml:space="preserve">Portfolio margin requirements are adjusted dynamically according to the</w:t>
      </w:r>
      <w:r>
        <w:t xml:space="preserve"> </w:t>
      </w:r>
      <w:r>
        <w:t xml:space="preserve">prevailing volatility regime. The regime classification (Normal, Elevated,</w:t>
      </w:r>
      <w:r>
        <w:t xml:space="preserve"> </w:t>
      </w:r>
      <w:r>
        <w:t xml:space="preserve">Stress) follows the three-state VSTOXX-based rule defined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5.2.</w:t>
      </w:r>
    </w:p>
    <w:p>
      <w:pPr>
        <w:pStyle w:val="BodyText"/>
      </w:pPr>
      <w:r>
        <w:t xml:space="preserve">In each regime, a multiplicative regime scalar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applied to the</w:t>
      </w:r>
      <w:r>
        <w:t xml:space="preserve"> </w:t>
      </w:r>
      <w:r>
        <w:t xml:space="preserve">portfolio VaR: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regime scalars:</w:t>
      </w:r>
    </w:p>
    <w:bookmarkStart w:id="32" w:name="tab:regime_scalars"/>
    <w:p>
      <w:pPr>
        <w:pStyle w:val="TableCaption"/>
      </w:pPr>
      <w:r>
        <w:t xml:space="preserve">Regime Scalars for Portfolio Margin Overlay (Layer 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me Scalars for Portfolio Margin Overlay (Layer 2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VSTOXX Level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Regime Scalar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</w:tr>
    </w:tbl>
    <w:bookmarkEnd w:id="32"/>
    <w:p>
      <w:pPr>
        <w:pStyle w:val="BodyText"/>
      </w:pPr>
      <w:r>
        <w:t xml:space="preserve">The asymmetric persistence rules for regime transitions (immediate</w:t>
      </w:r>
      <w:r>
        <w:t xml:space="preserve"> </w:t>
      </w:r>
      <w:r>
        <w:t xml:space="preserve">downgrade, 5-day confirmation for upgrade) defined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5.4 apply equally to the regime scalar.</w:t>
      </w:r>
    </w:p>
    <w:bookmarkEnd w:id="33"/>
    <w:bookmarkStart w:id="34" w:name="single-name-cap"/>
    <w:p>
      <w:pPr>
        <w:pStyle w:val="Heading2"/>
      </w:pPr>
      <w:r>
        <w:t xml:space="preserve">Single-Name Cap</w:t>
      </w:r>
    </w:p>
    <w:p>
      <w:pPr>
        <w:pStyle w:val="FirstParagraph"/>
      </w:pPr>
      <w:r>
        <w:t xml:space="preserve">Regardless of the portfolio VaR result, no single issuer may contribute</w:t>
      </w:r>
      <w:r>
        <w:t xml:space="preserve"> </w:t>
      </w:r>
      <w:r>
        <w:t xml:space="preserve">more than 20% of the adjusted collateral value in the portfolio overlay</w:t>
      </w:r>
      <w:r>
        <w:t xml:space="preserve"> </w:t>
      </w:r>
      <w:r>
        <w:t xml:space="preserve">computation. Positions exceeding this cap are split: the capped portion</w:t>
      </w:r>
      <w:r>
        <w:t xml:space="preserve"> </w:t>
      </w:r>
      <w:r>
        <w:t xml:space="preserve">is treated as a concentrated single-name exposure and assessed at the</w:t>
      </w:r>
      <w:r>
        <w:t xml:space="preserve"> </w:t>
      </w:r>
      <w:r>
        <w:t xml:space="preserve">Layer 1 rate without diversification benefit.</w:t>
      </w:r>
    </w:p>
    <w:bookmarkEnd w:id="34"/>
    <w:bookmarkEnd w:id="35"/>
    <w:bookmarkStart w:id="39" w:name="sec:interaction"/>
    <w:p>
      <w:pPr>
        <w:pStyle w:val="Heading1"/>
      </w:pPr>
      <w:r>
        <w:t xml:space="preserve">Layer Interaction and Effective Margin Requirement</w:t>
      </w:r>
    </w:p>
    <w:bookmarkStart w:id="36" w:name="the-floor-constraint"/>
    <w:p>
      <w:pPr>
        <w:pStyle w:val="Heading2"/>
      </w:pPr>
      <w:r>
        <w:t xml:space="preserve">The Floor Constraint</w:t>
      </w:r>
    </w:p>
    <w:p>
      <w:pPr>
        <w:pStyle w:val="FirstParagraph"/>
      </w:pPr>
      <w:r>
        <w:t xml:space="preserve">The two-layer architecture enforces the following ordering at all times: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</m:sup>
              </m:sSubSup>
            </m:e>
          </m:d>
          <m:r>
            <m:rPr>
              <m:sty m:val="p"/>
            </m:rPr>
            <m:t>≥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means:</w:t>
      </w:r>
    </w:p>
    <w:p>
      <w:pPr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regimes with a well-diversified portfolio</w:t>
      </w:r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low,</w:t>
      </w:r>
      <w:r>
        <w:t xml:space="preserve"> </w:t>
      </w:r>
      <m:oMath>
        <m:r>
          <m:t>H</m:t>
        </m:r>
        <m:r>
          <m:t>H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low), the portfolio VaR may fall</w:t>
      </w:r>
      <w:r>
        <w:t xml:space="preserve"> </w:t>
      </w:r>
      <w:r>
        <w:t xml:space="preserve">below the Layer 1 aggregate, but the effective requirement is still</w:t>
      </w:r>
      <w: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– the regulatory floor is never breached.</w:t>
      </w:r>
    </w:p>
    <w:p>
      <w:pPr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Stress</w:t>
      </w:r>
      <w:r>
        <w:t xml:space="preserve"> </w:t>
      </w:r>
      <w:r>
        <w:t xml:space="preserve">regimes or concentrated portfolios, the Layer 2</w:t>
      </w:r>
      <w:r>
        <w:t xml:space="preserve"> </w:t>
      </w:r>
      <w:r>
        <w:t xml:space="preserve">overlay will exceed the Layer 1 floor and the portfolio-level figure</w:t>
      </w:r>
      <w:r>
        <w:t xml:space="preserve"> </w:t>
      </w:r>
      <w:r>
        <w:t xml:space="preserve">drives the requirement.</w:t>
      </w:r>
    </w:p>
    <w:bookmarkEnd w:id="36"/>
    <w:bookmarkStart w:id="37" w:name="Xacb2af37deba82bdf8a2213749f091a2b5e5018"/>
    <w:p>
      <w:pPr>
        <w:pStyle w:val="Heading2"/>
      </w:pPr>
      <w:r>
        <w:t xml:space="preserve">Decomposition of the Effective Margin Requirement</w:t>
      </w:r>
    </w:p>
    <w:p>
      <w:pPr>
        <w:pStyle w:val="FirstParagraph"/>
      </w:pPr>
      <w:r>
        <w:t xml:space="preserve">For reporting and client communication purposes, the effective margin</w:t>
      </w:r>
      <w:r>
        <w:t xml:space="preserve"> </w:t>
      </w:r>
      <w:r>
        <w:t xml:space="preserve">requirement is decomposed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Reg T floor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max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 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Portfolio overlay add-on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is used in client-facing margin statements and</w:t>
      </w:r>
      <w:r>
        <w:t xml:space="preserve"> </w:t>
      </w:r>
      <w:r>
        <w:t xml:space="preserve">in the internal capital attribution to the lending desk.</w:t>
      </w:r>
    </w:p>
    <w:bookmarkEnd w:id="37"/>
    <w:bookmarkStart w:id="38" w:name="link-to-the-ltv-framework"/>
    <w:p>
      <w:pPr>
        <w:pStyle w:val="Heading2"/>
      </w:pPr>
      <w:r>
        <w:t xml:space="preserve">Link to the LTV Framework</w:t>
      </w:r>
    </w:p>
    <w:p>
      <w:pPr>
        <w:pStyle w:val="FirstParagraph"/>
      </w:pPr>
      <w:r>
        <w:t xml:space="preserve">The margin requirement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defined in equation </w:t>
      </w:r>
      <w:hyperlink w:anchor="eq:mr_total">
        <w:r>
          <w:rPr>
            <w:rStyle w:val="Hyperlink"/>
          </w:rPr>
          <w:t xml:space="preserve">[eq:mr_total]</w:t>
        </w:r>
      </w:hyperlink>
      <w:r>
        <w:t xml:space="preserve"> </w:t>
      </w:r>
      <w:r>
        <w:t xml:space="preserve">translates directly into the LTV threshold structure of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as follows. Let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t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bSup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client equity. The</w:t>
      </w:r>
      <w:r>
        <w:t xml:space="preserve"> </w:t>
      </w:r>
      <w:r>
        <w:t xml:space="preserve">LTV-equivalent of the effective margin requirement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V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V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j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the warning LTV threshold is set such that the client equity at</w:t>
      </w:r>
      <w:r>
        <w:t xml:space="preserve"> </w:t>
      </w:r>
      <w:r>
        <w:t xml:space="preserve">the threshold equals exactly the effective margin requirement. The</w:t>
      </w:r>
      <w:r>
        <w:t xml:space="preserve"> </w:t>
      </w:r>
      <w:r>
        <w:t xml:space="preserve">liquidation threshold is derived from this via an additional buffer</w:t>
      </w:r>
      <w:r>
        <w:t xml:space="preserve"> </w:t>
      </w:r>
      <w:r>
        <w:t xml:space="preserve">calibrated to the liquidation horizon, as specified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5.</w:t>
      </w:r>
    </w:p>
    <w:bookmarkEnd w:id="38"/>
    <w:bookmarkEnd w:id="39"/>
    <w:bookmarkStart w:id="42" w:name="sec:margin_call"/>
    <w:p>
      <w:pPr>
        <w:pStyle w:val="Heading1"/>
      </w:pPr>
      <w:r>
        <w:t xml:space="preserve">Margin Call Process</w:t>
      </w:r>
    </w:p>
    <w:bookmarkStart w:id="40" w:name="trigger-hierarchy"/>
    <w:p>
      <w:pPr>
        <w:pStyle w:val="Heading2"/>
      </w:pPr>
      <w:r>
        <w:t xml:space="preserve">Trigger Hierarchy</w:t>
      </w:r>
    </w:p>
    <w:p>
      <w:pPr>
        <w:pStyle w:val="FirstParagraph"/>
      </w:pPr>
      <w:r>
        <w:t xml:space="preserve">Margin calls may be triggered at either layer: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Layer 1 trigger:</w:t>
      </w:r>
      <w:r>
        <w:t xml:space="preserve"> </w:t>
      </w:r>
      <w:r>
        <w:t xml:space="preserve">Client equity on any single position falls</w:t>
      </w:r>
      <w:r>
        <w:t xml:space="preserve"> </w:t>
      </w:r>
      <w:r>
        <w:t xml:space="preserve">below the instrument-level maintenance margin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(Section </w:t>
      </w:r>
      <w:hyperlink w:anchor="subsec:maintenance_margin">
        <w:r>
          <w:rPr>
            <w:rStyle w:val="Hyperlink"/>
          </w:rPr>
          <w:t xml:space="preserve">4.3</w:t>
        </w:r>
      </w:hyperlink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Layer 2 trigger:</w:t>
      </w:r>
      <w:r>
        <w:t xml:space="preserve"> </w:t>
      </w:r>
      <w:r>
        <w:t xml:space="preserve">Portfolio-level LTV exceeds the</w:t>
      </w:r>
      <w:r>
        <w:t xml:space="preserve"> </w:t>
      </w:r>
      <w:r>
        <w:t xml:space="preserve">regime-adjusted warning threshold</w:t>
      </w:r>
      <w:r>
        <w:t xml:space="preserve"> </w:t>
      </w:r>
      <m:oMath>
        <m:sSubSup>
          <m:e>
            <m:r>
              <m:rPr>
                <m:sty m:val="p"/>
              </m:rPr>
              <m:t>L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V</m:t>
            </m:r>
          </m:e>
          <m:sub>
            <m:r>
              <m:t>t</m:t>
            </m:r>
          </m:sub>
          <m:sup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6.</w:t>
      </w:r>
    </w:p>
    <w:p>
      <w:pPr>
        <w:pStyle w:val="FirstParagraph"/>
      </w:pPr>
      <w:r>
        <w:t xml:space="preserve">A Layer 1 trigger requires cure of the breaching instrument</w:t>
      </w:r>
      <w:r>
        <w:t xml:space="preserve"> </w:t>
      </w:r>
      <w:r>
        <w:t xml:space="preserve">irrespective of portfolio-level LTV. A Layer 2 trigger requires</w:t>
      </w:r>
      <w:r>
        <w:t xml:space="preserve"> </w:t>
      </w:r>
      <w:r>
        <w:t xml:space="preserve">portfolio-level cure. Both triggers may be active simultaneously.</w:t>
      </w:r>
    </w:p>
    <w:bookmarkEnd w:id="40"/>
    <w:bookmarkStart w:id="41" w:name="cure-mechanisms"/>
    <w:p>
      <w:pPr>
        <w:pStyle w:val="Heading2"/>
      </w:pPr>
      <w:r>
        <w:t xml:space="preserve">Cure Mechanisms</w:t>
      </w:r>
    </w:p>
    <w:p>
      <w:pPr>
        <w:pStyle w:val="FirstParagraph"/>
      </w:pPr>
      <w:r>
        <w:t xml:space="preserve">Three cure mechanisms are available (consistent with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6.2):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Cash deposit / partial loan repayment:</w:t>
      </w:r>
      <w:r>
        <w:t xml:space="preserve"> </w:t>
      </w:r>
      <w:r>
        <w:t xml:space="preserve">Reduces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directly improving both layer computations.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Additional eligible collateral:</w:t>
      </w:r>
      <w:r>
        <w:t xml:space="preserve"> </w:t>
      </w:r>
      <w:r>
        <w:t xml:space="preserve">Increases</w:t>
      </w:r>
      <w:r>
        <w:t xml:space="preserve"> </w:t>
      </w:r>
      <m:oMath>
        <m:sSubSup>
          <m:e>
            <m:r>
              <m:t>V</m:t>
            </m:r>
          </m:e>
          <m:sub>
            <m:r>
              <m:t>t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bSup>
      </m:oMath>
      <w:r>
        <w:t xml:space="preserve"> </w:t>
      </w:r>
      <w:r>
        <w:t xml:space="preserve">and reduces Layer 2 concentration (if diversifying) or Layer 1 shortfall.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Partial position reduction:</w:t>
      </w:r>
      <w:r>
        <w:t xml:space="preserve"> </w:t>
      </w:r>
      <w:r>
        <w:t xml:space="preserve">Reduces both exposure and,</w:t>
      </w:r>
      <w:r>
        <w:t xml:space="preserve"> </w:t>
      </w:r>
      <w:r>
        <w:t xml:space="preserve">where the sold position is the binding concentration name, reduces</w:t>
      </w:r>
      <w:r>
        <w:t xml:space="preserve"> </w:t>
      </w:r>
      <m:oMath>
        <m:r>
          <m:t>H</m:t>
        </m:r>
        <m:r>
          <m:t>H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.</w:t>
      </w:r>
    </w:p>
    <w:bookmarkEnd w:id="41"/>
    <w:bookmarkEnd w:id="42"/>
    <w:bookmarkStart w:id="46" w:name="sec:governance"/>
    <w:p>
      <w:pPr>
        <w:pStyle w:val="Heading1"/>
      </w:pPr>
      <w:r>
        <w:t xml:space="preserve">Governance and Validation</w:t>
      </w:r>
    </w:p>
    <w:bookmarkStart w:id="43" w:name="review-schedule"/>
    <w:p>
      <w:pPr>
        <w:pStyle w:val="Heading2"/>
      </w:pPr>
      <w:r>
        <w:t xml:space="preserve">Review Schedule</w:t>
      </w:r>
    </w:p>
    <w:p>
      <w:pPr>
        <w:pStyle w:val="TableCaption"/>
      </w:pPr>
      <w:r>
        <w:t xml:space="preserve">Governance Review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vernance Review Schedul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 1 rate schedule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 1 backtesting (Kupiec POF per asset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 2 covariance model recalibration (EWMA)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 2 regime scalar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/ correlation penalty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methodology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margin report (Layer 1 + Layer 2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bookmarkEnd w:id="43"/>
    <w:bookmarkStart w:id="44" w:name="backtesting"/>
    <w:p>
      <w:pPr>
        <w:pStyle w:val="Heading2"/>
      </w:pPr>
      <w:r>
        <w:t xml:space="preserve">Backtesting</w:t>
      </w:r>
    </w:p>
    <w:p>
      <w:pPr>
        <w:pStyle w:val="FirstParagraph"/>
      </w:pPr>
      <w:r>
        <w:t xml:space="preserve">Layer 1 haircut adequacy is validated using the Kupiec Proportion of</w:t>
      </w:r>
      <w:r>
        <w:t xml:space="preserve"> </w:t>
      </w:r>
      <w:r>
        <w:t xml:space="preserve">Failures (POF) test as specified 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Section 9.1.</w:t>
      </w:r>
      <w:r>
        <w:t xml:space="preserve"> </w:t>
      </w:r>
      <w:r>
        <w:t xml:space="preserve">For Layer 2, the portfolio VaR is backtested by comparing the predicted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against realised daily portfolio P&amp;L. An exceedance rate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significantly above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triggers model review.</w:t>
      </w:r>
      <w:r>
        <w:t xml:space="preserve"> </w:t>
      </w:r>
      <w:r>
        <w:t xml:space="preserve">Both the Kupiec and Christoffersen conditional coverage tests are applied.</w:t>
      </w:r>
    </w:p>
    <w:bookmarkEnd w:id="44"/>
    <w:bookmarkStart w:id="45" w:name="model-independence-and-override"/>
    <w:p>
      <w:pPr>
        <w:pStyle w:val="Heading2"/>
      </w:pPr>
      <w:r>
        <w:t xml:space="preserve">Model Independence and Override</w:t>
      </w:r>
    </w:p>
    <w:p>
      <w:pPr>
        <w:pStyle w:val="FirstParagraph"/>
      </w:pPr>
      <w:r>
        <w:t xml:space="preserve">Layer 1 and Layer 2 are computed by independent model components. In the</w:t>
      </w:r>
      <w:r>
        <w:t xml:space="preserve"> </w:t>
      </w:r>
      <w:r>
        <w:t xml:space="preserve">event of a Layer 2 model failure or data unavailability, the effective</w:t>
      </w:r>
      <w:r>
        <w:t xml:space="preserve"> </w:t>
      </w:r>
      <w:r>
        <w:t xml:space="preserve">margin requirement falls back to</w:t>
      </w:r>
      <w: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automatically, ensuring</w:t>
      </w:r>
      <w:r>
        <w:t xml:space="preserve"> </w:t>
      </w:r>
      <w:r>
        <w:t xml:space="preserve">the Reg T floor is always enforced. Manual overrides to either layer</w:t>
      </w:r>
      <w:r>
        <w:t xml:space="preserve"> </w:t>
      </w:r>
      <w:r>
        <w:t xml:space="preserve">require dual approval by Risk Management and the Head of Credit Risk,</w:t>
      </w:r>
      <w:r>
        <w:t xml:space="preserve"> </w:t>
      </w:r>
      <w:r>
        <w:t xml:space="preserve">with written justification retained for audit purposes.</w:t>
      </w:r>
    </w:p>
    <w:bookmarkEnd w:id="45"/>
    <w:bookmarkEnd w:id="46"/>
    <w:bookmarkStart w:id="47" w:name="app:notation"/>
    <w:p>
      <w:pPr>
        <w:pStyle w:val="Heading1"/>
      </w:pPr>
      <w:r>
        <w:t xml:space="preserve">Notation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 margin requirement 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Layer 1 (instrument-level) aggregate margin requirement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Layer 2 (portfolio-level) margin requirement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Initial margin requirement for instrument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Maintenance margin requirement for instrument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Initial margin rate for instrument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Maintenance margin rate for instrument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Price of instrument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Quantity held of instrument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Haircut for instrument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Adjusted value weight of instrument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EWMA covariance matrix 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Portfolio volatility 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ρ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pairwise correlation 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ρ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Correlation penalty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t>H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Herfindahl–Hirschman Index at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Concentration penalty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ρ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Combined concentration and correlation multiplier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Regime scalar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α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Value-at-Risk at confidence level</w:t>
            </w:r>
            <w:r>
              <w:t xml:space="preserve"> </w:t>
            </w: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α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normal quantile at level</w:t>
            </w:r>
            <w:r>
              <w:t xml:space="preserve"> </w:t>
            </w: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Liquidation horizon (years)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EWMA decay factor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V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Warning LTV threshold 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(linked to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loss probability tolerance</w:t>
            </w:r>
          </w:p>
        </w:tc>
      </w:tr>
    </w:tbl>
    <w:bookmarkEnd w:id="47"/>
    <w:bookmarkStart w:id="53" w:name="app:example"/>
    <w:p>
      <w:pPr>
        <w:pStyle w:val="Heading1"/>
      </w:pPr>
      <w:r>
        <w:t xml:space="preserve">Worked Example: Two-Layer Margin Requirement</w:t>
      </w:r>
    </w:p>
    <w:bookmarkStart w:id="48" w:name="portfolio"/>
    <w:p>
      <w:pPr>
        <w:pStyle w:val="Heading2"/>
      </w:pPr>
      <w:r>
        <w:t xml:space="preserve">Portfolio</w:t>
      </w:r>
    </w:p>
    <w:p>
      <w:pPr>
        <w:numPr>
          <w:ilvl w:val="0"/>
          <w:numId w:val="1009"/>
        </w:numPr>
      </w:pPr>
      <w:r>
        <w:t xml:space="preserve">1,000 shares large-cap equity: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EUR</m:t>
        </m:r>
        <m:r>
          <m:t> </m:t>
        </m:r>
        <m:r>
          <m:t>80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%</m:t>
        </m:r>
      </m:oMath>
      <w:r>
        <w:t xml:space="preserve"> </w:t>
      </w:r>
      <w:r>
        <w:t xml:space="preserve">p.a.,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p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EUR 20,000 nominal 3Y AA government bond: price 101%,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p.a.,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500 shares mid-cap equity: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EUR</m:t>
        </m:r>
        <m:r>
          <m:t> </m:t>
        </m:r>
        <m:r>
          <m:t>40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28</m:t>
        </m:r>
        <m:r>
          <m:rPr>
            <m:sty m:val="p"/>
          </m:rPr>
          <m:t>%</m:t>
        </m:r>
      </m:oMath>
      <w:r>
        <w:t xml:space="preserve"> </w:t>
      </w:r>
      <w:r>
        <w:t xml:space="preserve">p.a.,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p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  <w:r>
        <w:t xml:space="preserve">.</w:t>
      </w:r>
    </w:p>
    <w:bookmarkEnd w:id="48"/>
    <w:bookmarkStart w:id="49" w:name="layer-1-computation"/>
    <w:p>
      <w:pPr>
        <w:pStyle w:val="Heading2"/>
      </w:pPr>
      <w:r>
        <w:t xml:space="preserve">Layer 1 Computation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80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,</m:t>
          </m:r>
          <m:r>
            <m:t>200</m:t>
          </m:r>
          <m:r>
            <m:rPr>
              <m:sty m:val="p"/>
            </m:rPr>
            <m:t>+</m:t>
          </m:r>
          <m:r>
            <m:t>0.60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010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EUR</m:t>
          </m:r>
          <m:r>
            <m:t> </m:t>
          </m:r>
          <m:r>
            <m:t>53</m:t>
          </m:r>
          <m:r>
            <m:rPr>
              <m:sty m:val="p"/>
            </m:rPr>
            <m:t>,</m:t>
          </m:r>
          <m:r>
            <m:t>010</m:t>
          </m:r>
          <m:r>
            <m:rPr>
              <m:sty m:val="p"/>
            </m:rPr>
            <m:t>.</m:t>
          </m:r>
        </m:oMath>
      </m:oMathPara>
    </w:p>
    <w:bookmarkEnd w:id="49"/>
    <w:bookmarkStart w:id="50" w:name="layer-2-computation"/>
    <w:p>
      <w:pPr>
        <w:pStyle w:val="Heading2"/>
      </w:pPr>
      <w:r>
        <w:t xml:space="preserve">Layer 2 Computation</w:t>
      </w:r>
    </w:p>
    <w:p>
      <w:pPr>
        <w:pStyle w:val="FirstParagraph"/>
      </w:pPr>
      <w:r>
        <w:t xml:space="preserve">Portfolio adjusted value (from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Appendix B):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EUR</m:t>
        </m:r>
        <m:r>
          <m:t> </m:t>
        </m:r>
        <m:r>
          <m:t>97</m:t>
        </m:r>
        <m:r>
          <m:rPr>
            <m:sty m:val="p"/>
          </m:rPr>
          <m:t>,</m:t>
        </m:r>
        <m:r>
          <m:t>796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nor/>
            <m:sty m:val="p"/>
          </m:rPr>
          <m:t>EUR</m:t>
        </m:r>
        <m:r>
          <m:t> </m:t>
        </m:r>
        <m:r>
          <m:t>55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Portfolio weights: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65.4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20.2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14.3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16.0</m:t>
        </m:r>
        <m:r>
          <m:rPr>
            <m:sty m:val="p"/>
          </m:rPr>
          <m:t>%</m:t>
        </m:r>
      </m:oMath>
      <w:r>
        <w:t xml:space="preserve"> </w:t>
      </w:r>
      <w:r>
        <w:t xml:space="preserve">p.a. (from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0.99</m:t>
              </m:r>
            </m:sub>
          </m:sSub>
          <m:r>
            <m:rPr>
              <m:sty m:val="p"/>
            </m:rPr>
            <m:t>=</m:t>
          </m:r>
          <m:r>
            <m:t>2.326</m:t>
          </m:r>
          <m:r>
            <m:rPr>
              <m:sty m:val="p"/>
            </m:rPr>
            <m:t>×</m:t>
          </m:r>
          <m:r>
            <m:t>0.160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5</m:t>
              </m:r>
              <m:r>
                <m:rPr>
                  <m:sty m:val="p"/>
                </m:rPr>
                <m:t>/</m:t>
              </m:r>
              <m:r>
                <m:t>252</m:t>
              </m:r>
            </m:e>
          </m:rad>
          <m:r>
            <m:rPr>
              <m:sty m:val="p"/>
            </m:rPr>
            <m:t>×</m:t>
          </m:r>
          <m:r>
            <m:t>97</m:t>
          </m:r>
          <m:r>
            <m:rPr>
              <m:sty m:val="p"/>
            </m:rPr>
            <m:t>,</m:t>
          </m:r>
          <m:r>
            <m:t>796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EUR</m:t>
          </m:r>
          <m:r>
            <m:t> </m:t>
          </m:r>
          <m:r>
            <m:t>16</m:t>
          </m:r>
          <m:r>
            <m:rPr>
              <m:sty m:val="p"/>
            </m:rPr>
            <m:t>,</m:t>
          </m:r>
          <m:r>
            <m:t>234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H</m:t>
        </m:r>
        <m:r>
          <m:t>H</m:t>
        </m:r>
        <m:r>
          <m:t>I</m:t>
        </m:r>
        <m:r>
          <m:rPr>
            <m:sty m:val="p"/>
          </m:rPr>
          <m:t>=</m:t>
        </m:r>
        <m:sSup>
          <m:e>
            <m:r>
              <m:t>0.654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0.202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0.143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0.428</m:t>
        </m:r>
        <m:r>
          <m:rPr>
            <m:sty m:val="p"/>
          </m:rPr>
          <m:t>+</m:t>
        </m:r>
        <m:r>
          <m:t>0.041</m:t>
        </m:r>
        <m:r>
          <m:rPr>
            <m:sty m:val="p"/>
          </m:rPr>
          <m:t>+</m:t>
        </m:r>
        <m:r>
          <m:t>0.020</m:t>
        </m:r>
        <m:r>
          <m:rPr>
            <m:sty m:val="p"/>
          </m:rPr>
          <m:t>=</m:t>
        </m:r>
        <m:r>
          <m:t>0.489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0.489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0.90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t>0.30</m:t>
        </m:r>
        <m:r>
          <m:rPr>
            <m:sty m:val="p"/>
          </m:rPr>
          <m:t>&lt;</m:t>
        </m:r>
        <m:r>
          <m:t>0.40</m:t>
        </m:r>
      </m:oMath>
      <w:r>
        <w:t xml:space="preserve">, so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0.043</m:t>
        </m:r>
        <m:r>
          <m:rPr>
            <m:sty m:val="p"/>
          </m:rPr>
          <m:t>=</m:t>
        </m:r>
        <m:r>
          <m:t>1.043</m:t>
        </m:r>
      </m:oMath>
      <w:r>
        <w:t xml:space="preserve">.</w:t>
      </w:r>
    </w:p>
    <w:p>
      <w:pPr>
        <w:pStyle w:val="BodyText"/>
      </w:pPr>
      <w:r>
        <w:t xml:space="preserve">Normal regime: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1.00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1.043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,</m:t>
          </m:r>
          <m:r>
            <m:t>234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EUR</m:t>
          </m:r>
          <m:r>
            <m:t> </m:t>
          </m:r>
          <m:r>
            <m:t>16</m:t>
          </m:r>
          <m:r>
            <m:rPr>
              <m:sty m:val="p"/>
            </m:rPr>
            <m:t>,</m:t>
          </m:r>
          <m:r>
            <m:t>932</m:t>
          </m:r>
          <m:r>
            <m:rPr>
              <m:sty m:val="p"/>
            </m:rPr>
            <m:t>.</m:t>
          </m:r>
        </m:oMath>
      </m:oMathPara>
    </w:p>
    <w:bookmarkEnd w:id="50"/>
    <w:bookmarkStart w:id="51" w:name="effective-margin-requirement"/>
    <w:p>
      <w:pPr>
        <w:pStyle w:val="Heading2"/>
      </w:pPr>
      <w:r>
        <w:t xml:space="preserve">Effective Margin Requirement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,</m:t>
          </m:r>
          <m:r>
            <m:t>010</m:t>
          </m:r>
          <m:r>
            <m:rPr>
              <m:sty m:val="p"/>
            </m:rPr>
            <m:t>,</m:t>
          </m:r>
          <m:r>
            <m:t> </m:t>
          </m:r>
          <m:r>
            <m:t>16</m:t>
          </m:r>
          <m:r>
            <m:rPr>
              <m:sty m:val="p"/>
            </m:rPr>
            <m:t>,</m:t>
          </m:r>
          <m:r>
            <m:t>932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b"/>
            </m:rPr>
            <m:t>EUR</m:t>
          </m:r>
          <m:r>
            <m:t> </m:t>
          </m:r>
          <m:r>
            <m:t>53</m:t>
          </m:r>
          <m:r>
            <m:rPr>
              <m:sty m:val="p"/>
            </m:rPr>
            <m:t>,</m:t>
          </m:r>
          <m:r>
            <m:t>010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Layer 1 is binding in this case (Normal regime, moderate portfolio).</w:t>
      </w:r>
      <w:r>
        <w:t xml:space="preserve"> </w:t>
      </w:r>
      <w:r>
        <w:t xml:space="preserve">The portfolio overlay add-on is zero. In a Stress regime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1.35</m:t>
        </m:r>
      </m:oMath>
      <w:r>
        <w:t xml:space="preserve"> </w:t>
      </w:r>
      <w:r>
        <w:t xml:space="preserve">and elevated correlation, Layer 2 would compute</w:t>
      </w:r>
      <w:r>
        <w:t xml:space="preserve"> </w:t>
      </w:r>
      <m:oMath>
        <m:r>
          <m:rPr>
            <m:sty m:val="p"/>
          </m:rPr>
          <m:t>≈</m:t>
        </m:r>
        <m:r>
          <m:rPr>
            <m:nor/>
            <m:sty m:val="p"/>
          </m:rPr>
          <m:t>EUR</m:t>
        </m:r>
        <m:r>
          <m:t> </m:t>
        </m:r>
        <m:r>
          <m:t>22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– still below Layer 1, confirming</w:t>
      </w:r>
      <w:r>
        <w:t xml:space="preserve"> </w:t>
      </w:r>
      <w:r>
        <w:t xml:space="preserve">the Reg T floor dominates for this relatively conservative portfolio.</w:t>
      </w:r>
    </w:p>
    <w:bookmarkEnd w:id="51"/>
    <w:bookmarkStart w:id="52" w:name="link-to-ltv-warning-threshold"/>
    <w:p>
      <w:pPr>
        <w:pStyle w:val="Heading2"/>
      </w:pPr>
      <w:r>
        <w:t xml:space="preserve">Link to LTV Warning Threshold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53</m:t>
              </m:r>
              <m:r>
                <m:rPr>
                  <m:sty m:val="p"/>
                </m:rPr>
                <m:t>,</m:t>
              </m:r>
              <m:r>
                <m:t>010</m:t>
              </m:r>
            </m:num>
            <m:den>
              <m:r>
                <m:t>97</m:t>
              </m:r>
              <m:r>
                <m:rPr>
                  <m:sty m:val="p"/>
                </m:rPr>
                <m:t>,</m:t>
              </m:r>
              <m:r>
                <m:t>796</m:t>
              </m:r>
            </m:den>
          </m:f>
          <m:r>
            <m:rPr>
              <m:sty m:val="p"/>
            </m:rPr>
            <m:t>=</m:t>
          </m:r>
          <m:r>
            <m:t>45.8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warning LTV is more conservative than the regime-based threshold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trb_method.tex</w:t>
      </w:r>
      <w:r>
        <w:t xml:space="preserve"> </w:t>
      </w:r>
      <w:r>
        <w:t xml:space="preserve">(70% in Normal), confirming the</w:t>
      </w:r>
      <w:r>
        <w:t xml:space="preserve"> </w:t>
      </w:r>
      <w:r>
        <w:t xml:space="preserve">instrument-level floor is the binding constraint here.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2026-03-20T15:43:36Z</dcterms:created>
  <dcterms:modified xsi:type="dcterms:W3CDTF">2026-03-20T15:43:36Z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establishes the two-layer margin requirement framework underpinning the margin trading product. The framework is structured as a bottom-up hierarchy: a Layer 1 instrument-by-instrument floor grounded in the FINRA/Regulation T paradigm, and a Layer 2 portfolio-level overlay that accounts for cross-asset correlations, diversification effects, concentration risk, and dynamic regime adjustment. The instrument floor provides an unconditional, rule-based minimum that is always enforced; the portfolio overlay may only tighten margin requirements relative to that floor, never relax them below it. This document serves as the methodological foundation for the Loan-to-Value (LTV) Methodology (see trb_method.tex), which translates the margin requirement framework into operational LTV thresholds, haircut schedules, and liquidation triggers.</vt:lpwstr>
  </property>
</Properties>
</file>