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rFonts w:ascii="Arial" w:hAnsi="Arial"/>
          <w:b/>
          <w:color w:val="000000"/>
          <w:sz w:val="32"/>
        </w:rPr>
        <w:t>Foundation Model Quality Sets the Generalization Ceiling in Digital Pathology: A Systematic Multi-Backbone Benchmark of Architectural Interventions</w:t>
      </w:r>
    </w:p>
    <w:p>
      <w:pPr>
        <w:spacing w:before="320" w:after="160"/>
      </w:pPr>
      <w:r>
        <w:rPr>
          <w:rFonts w:ascii="Arial" w:hAnsi="Arial"/>
          <w:b/>
          <w:color w:val="000000"/>
          <w:sz w:val="28"/>
        </w:rPr>
        <w:t>Summary Table</w:t>
      </w:r>
    </w:p>
    <w:tbl>
      <w:tblPr>
        <w:tblW w:type="auto" w:w="0"/>
        <w:jc w:val="center"/>
        <w:tblLook w:firstColumn="1" w:firstRow="1" w:lastColumn="0" w:lastRow="0" w:noHBand="0" w:noVBand="1" w:val="04A0"/>
        <w:tblBorders>
          <w:top w:val="single" w:sz="4" w:color="999999" w:space="0"/>
          <w:left w:val="single" w:sz="4" w:color="999999" w:space="0"/>
          <w:bottom w:val="single" w:sz="4" w:color="999999" w:space="0"/>
          <w:right w:val="single" w:sz="4" w:color="999999" w:space="0"/>
          <w:insideH w:val="single" w:sz="4" w:color="999999" w:space="0"/>
          <w:insideV w:val="single" w:sz="4" w:color="999999" w:space="0"/>
        </w:tblBorders>
      </w:tblPr>
      <w:tblGrid>
        <w:gridCol w:w="4680"/>
        <w:gridCol w:w="4680"/>
      </w:tblGrid>
      <w:tr>
        <w:tc>
          <w:tcPr>
            <w:tcW w:type="dxa" w:w="4680"/>
            <w:shd w:fill="333333" w:val="clear"/>
          </w:tcPr>
          <w:p>
            <w:r/>
            <w:r>
              <w:rPr>
                <w:rFonts w:ascii="Arial" w:hAnsi="Arial"/>
                <w:b/>
                <w:color w:val="FFFFFF"/>
                <w:sz w:val="18"/>
              </w:rPr>
              <w:t>What is known</w:t>
            </w:r>
          </w:p>
        </w:tc>
        <w:tc>
          <w:tcPr>
            <w:tcW w:type="dxa" w:w="4680"/>
            <w:shd w:fill="333333" w:val="clear"/>
          </w:tcPr>
          <w:p>
            <w:r/>
            <w:r>
              <w:rPr>
                <w:rFonts w:ascii="Arial" w:hAnsi="Arial"/>
                <w:b/>
                <w:color w:val="FFFFFF"/>
                <w:sz w:val="18"/>
              </w:rPr>
              <w:t>What this work adds</w:t>
            </w:r>
          </w:p>
        </w:tc>
      </w:tr>
      <w:tr>
        <w:tc>
          <w:tcPr>
            <w:tcW w:type="dxa" w:w="4680"/>
          </w:tcPr>
          <w:p>
            <w:r/>
            <w:r>
              <w:rPr>
                <w:rFonts w:ascii="Arial" w:hAnsi="Arial"/>
                <w:color w:val="000000"/>
                <w:sz w:val="18"/>
              </w:rPr>
              <w:t>Digital pathology AI degrades across institutions due to domain shift in staining and scanners</w:t>
            </w:r>
          </w:p>
        </w:tc>
        <w:tc>
          <w:tcPr>
            <w:tcW w:type="dxa" w:w="4680"/>
          </w:tcPr>
          <w:p>
            <w:r/>
            <w:r>
              <w:rPr>
                <w:rFonts w:ascii="Arial" w:hAnsi="Arial"/>
                <w:color w:val="000000"/>
                <w:sz w:val="18"/>
              </w:rPr>
              <w:t>Foundation model quality sets a generalisation ceiling no architecture overcomes</w:t>
            </w:r>
          </w:p>
        </w:tc>
      </w:tr>
      <w:tr>
        <w:tc>
          <w:tcPr>
            <w:tcW w:type="dxa" w:w="4680"/>
          </w:tcPr>
          <w:p>
            <w:r/>
            <w:r>
              <w:rPr>
                <w:rFonts w:ascii="Arial" w:hAnsi="Arial"/>
                <w:color w:val="000000"/>
                <w:sz w:val="18"/>
              </w:rPr>
              <w:t>Pathology foundation models improve features but generalisation gaps persist with weaker backbones</w:t>
            </w:r>
          </w:p>
        </w:tc>
        <w:tc>
          <w:tcPr>
            <w:tcW w:type="dxa" w:w="4680"/>
          </w:tcPr>
          <w:p>
            <w:r/>
            <w:r>
              <w:rPr>
                <w:rFonts w:ascii="Arial" w:hAnsi="Arial"/>
                <w:color w:val="000000"/>
                <w:sz w:val="18"/>
              </w:rPr>
              <w:t>Multi-agent fusion, disentanglement, and domain adaptation all fail to break through the ceiling</w:t>
            </w:r>
          </w:p>
        </w:tc>
      </w:tr>
      <w:tr>
        <w:tc>
          <w:tcPr>
            <w:tcW w:type="dxa" w:w="4680"/>
          </w:tcPr>
          <w:p>
            <w:r/>
            <w:r>
              <w:rPr>
                <w:rFonts w:ascii="Arial" w:hAnsi="Arial"/>
                <w:color w:val="000000"/>
                <w:sz w:val="18"/>
              </w:rPr>
              <w:t>Domain generalisation techniques are proposed but tested in isolation across single backbones</w:t>
            </w:r>
          </w:p>
        </w:tc>
        <w:tc>
          <w:tcPr>
            <w:tcW w:type="dxa" w:w="4680"/>
          </w:tcPr>
          <w:p>
            <w:r/>
            <w:r>
              <w:rPr>
                <w:rFonts w:ascii="Arial" w:hAnsi="Arial"/>
                <w:color w:val="000000"/>
                <w:sz w:val="18"/>
              </w:rPr>
              <w:t>Cross-cancer transfer fails for ImageNet features; calibration does not transfer across domains</w:t>
            </w:r>
          </w:p>
        </w:tc>
      </w:tr>
    </w:tbl>
    <w:p/>
    <w:p>
      <w:pPr>
        <w:spacing w:before="320" w:after="160"/>
      </w:pPr>
      <w:r>
        <w:rPr>
          <w:rFonts w:ascii="Arial" w:hAnsi="Arial"/>
          <w:b/>
          <w:color w:val="000000"/>
          <w:sz w:val="28"/>
        </w:rPr>
        <w:t>Abstract</w:t>
      </w:r>
    </w:p>
    <w:p>
      <w:pPr>
        <w:spacing w:after="160" w:line="360" w:lineRule="auto"/>
      </w:pPr>
      <w:r>
        <w:rPr>
          <w:rFonts w:ascii="Arial" w:hAnsi="Arial"/>
          <w:color w:val="000000"/>
          <w:sz w:val="22"/>
        </w:rPr>
        <w:t>Digital pathology AI models degrade when deployed across institutions due to variability in staining protocols, scanners, and tissue preparation. Pathology-specific foundation models improve feature representations, but their interaction with domain adaptation, disentanglement, and uncertainty quantification techniques remains underexplored. We systematically benchmarked a modular specialist framework comprising six sub-networks—image quality, tissue classification, domain-adapted tumour detection, biomarker quantification, uncertainty estimation, and disentangled representations—coordinated by an attention-based orchestrator with a flag-for-review mechanism. Three frozen feature backbones were compared: Phikon ViT-Tiny (192-dim), Phikon ViT-B (768-dim), and ImageNet ResNet-18 (512-dim). Five architectures, two domain generalisation baselines (MixStyle, FACT), and two orchestrator variants were trained for 50 epochs with 10 random seeds across four training domains constructed using HED stain augmentation and a real cross-dataset domain (PCam). Evaluation comprised diagnostic validity, external generalisation including cross-cancer testing on Kather2016 colorectal cancer, technical robustness, uncertainty calibration with temperature scaling, disentanglement probing, confound control, and clinical utility including decision curve analysis. Foundation model quality dominated architectural choice. With ViT-B features, all architectures achieved out-of-distribution AUC above 0.985 (generalisation gap 0.007–0.014; DeLong p = 0.61, Bonferroni α = 0.005). With ViT-Tiny features, the baseline collapsed to near-random OOD AUC (0.537; 95% CI: 0.501–0.572), while the multi-agent system improved to 0.626 (0.603–0.649; DeLong p &lt; 0.001) and DANN achieved 0.663 (0.624–0.702). Critically, the uncertainty-only agent achieved OOD AUC of 0.829 (0.812–0.846), but no orchestrator fusion strategy could recover this performance (best variant: 0.637), revealing that the bottleneck lies in agent-level robustness rather than fusion design. Temperature scaling yielded negligible OOD calibration improvement (ΔECE &lt; 0.02), demonstrating that calibration does not transfer across domains. Cross-cancer transfer failed for ImageNet features (AUC 0.37–0.41) but succeeded modestly for pathology-pretrained features (0.54–0.64). Confound control confirmed that foundation model quality, not data quantity, drives OOD generalisation. Clinical utility metrics exposed a sharp divide: ViT-Tiny sensitivity at 95% specificity was 0.03 on OOD data versus 0.84 for ResNet-18 and 0.94 for ViT-B. These findings demonstrate that foundation model quality sets a generalisation ceiling that no architectural intervention overcomes across all evaluated architectures and cancer types, directing future efforts toward agent-level robustness and domain-aware calibration for clinical deployment.</w:t>
      </w:r>
    </w:p>
    <w:p>
      <w:pPr>
        <w:spacing w:after="160" w:line="360" w:lineRule="auto"/>
      </w:pPr>
      <w:r>
        <w:rPr>
          <w:rFonts w:ascii="Arial" w:hAnsi="Arial"/>
          <w:color w:val="000000"/>
          <w:sz w:val="22"/>
        </w:rPr>
        <w:t>Keywords: digital pathology, domain generalisation, foundation models, disentangled representations, uncertainty quantification, temperature scaling, breast cancer, colorectal cancer, lymph node metastasis</w:t>
      </w:r>
    </w:p>
    <w:p>
      <w:pPr>
        <w:spacing w:before="320" w:after="160"/>
      </w:pPr>
      <w:r>
        <w:rPr>
          <w:rFonts w:ascii="Arial" w:hAnsi="Arial"/>
          <w:b/>
          <w:color w:val="000000"/>
          <w:sz w:val="28"/>
        </w:rPr>
        <w:t>Introduction</w:t>
      </w:r>
    </w:p>
    <w:p>
      <w:pPr>
        <w:spacing w:after="160" w:line="360" w:lineRule="auto"/>
      </w:pPr>
      <w:r>
        <w:rPr>
          <w:rFonts w:ascii="Arial" w:hAnsi="Arial"/>
          <w:color w:val="000000"/>
          <w:sz w:val="22"/>
        </w:rPr>
        <w:t>Digital pathology has undergone a paradigm shift with the adoption of whole-slide imaging (WSI) and artificial intelligence (AI) for diagnostic assistance. Deep learning models have demonstrated expert-level performance [26, 41] in tasks ranging from tumour detection to molecular biomarker prediction from haematoxylin and eosin (H&amp;E)-stained tissue [37, 39]. A systematic review and meta-analysis of AI in digital pathology confirmed high diagnostic accuracy across multiple cancer types, but emphasised that rigorous evaluation of generalisation to unseen clinical settings remains lacking [36].</w:t>
      </w:r>
    </w:p>
    <w:p>
      <w:pPr>
        <w:spacing w:after="160" w:line="360" w:lineRule="auto"/>
      </w:pPr>
      <w:r>
        <w:rPr>
          <w:rFonts w:ascii="Arial" w:hAnsi="Arial"/>
          <w:color w:val="000000"/>
          <w:sz w:val="22"/>
        </w:rPr>
        <w:t>The emergence of pathology-specific foundation models has further accelerated the field. Models such as Phikon [4], UNI [6], Virchow [8], and CHIEF [7], pre-trained on tens of millions of histology tiles via self-supervised learning [21, 22], produce feature representations that substantially outperform ImageNet-pretrained backbones on downstream pathology tasks [6, 7, 43]. A clinical benchmark of public self-supervised pathology foundation models provided systematic comparisons and practical guidance for model selection [10, 29], and a systematic review confirmed the benefits of task-specific pre-training [47]. However, these foundation models are typically evaluated as frozen feature extractors with simple linear or shallow classifiers, and their interaction with domain adaptation, disentanglement, and uncertainty quantification techniques remains underexplored. Crucially, no study has systematically quantified whether architectural improvements above the feature extractor provide diminishing returns as foundation model capacity increases—a question with direct practical implications for resource allocation in clinical deployment.</w:t>
      </w:r>
    </w:p>
    <w:p>
      <w:pPr>
        <w:spacing w:after="160" w:line="360" w:lineRule="auto"/>
      </w:pPr>
      <w:r>
        <w:rPr>
          <w:rFonts w:ascii="Arial" w:hAnsi="Arial"/>
          <w:color w:val="000000"/>
          <w:sz w:val="22"/>
        </w:rPr>
        <w:t>The central challenge in deploying pathology AI is the domain gap: models trained on slides from one institution degrade when applied to slides prepared with different protocols, scanners, or staining reagents [15, 30, 16]. This domain shift arises from variability in tissue fixation, section thickness, stain concentration, and digitalisation hardware, producing systematic differences in colour, texture, and artefact profiles that confound diagnostic features [35, 42]. HED colour deconvolution-based stain augmentation [12, 13, 32], which operates in the stain space rather than the colour space, has been shown to improve generalisation more effectively than simple HSV colour jittering, as it preserves biological structure while varying staining appearance.</w:t>
      </w:r>
    </w:p>
    <w:p>
      <w:pPr>
        <w:spacing w:after="160" w:line="360" w:lineRule="auto"/>
      </w:pPr>
      <w:r>
        <w:rPr>
          <w:rFonts w:ascii="Arial" w:hAnsi="Arial"/>
          <w:color w:val="000000"/>
          <w:sz w:val="22"/>
        </w:rPr>
        <w:t>Several methodological advances have been proposed to address domain shift in medical imaging. Domain-adversarial neural networks (DANN) use gradient reversal layers to learn domain-invariant features by adversarially training a domain classifier against the feature extractor [17]. Self-supervised contrastive learning, exemplified by SimCLR [18], learns representations by maximising agreement between augmented views of the same image, producing features that are more robust to transformations. Multi-agent systems have also been explored for medical diagnosis [28, 34]. Disentangled representation learning separates biological (domain-invariant) from nuisance (domain-specific) factors, enabling the diagnostic classifier to operate on features unpolluted by domain information [14]. More recently, style-based augmentation methods such as MixStyle [51], FACT [52], and stain mix-up [33] have shown promise for domain generalisation by mixing feature statistics across domains during training, encouraging domain-invariant representations without explicit adversarial training. However, these techniques are typically applied in isolation, and their interactions within a complete diagnostic pipeline remain underexplored.</w:t>
      </w:r>
    </w:p>
    <w:p>
      <w:pPr>
        <w:spacing w:after="160" w:line="360" w:lineRule="auto"/>
      </w:pPr>
      <w:r>
        <w:rPr>
          <w:rFonts w:ascii="Arial" w:hAnsi="Arial"/>
          <w:color w:val="000000"/>
          <w:sz w:val="22"/>
        </w:rPr>
        <w:t>A parallel line of research has focused on uncertainty quantification, recognising that calibrated confidence estimates are essential for safe clinical deployment. Monte Carlo (MC) dropout [19] provides epistemic uncertainty estimates via stochastic forward passes, yet uncertainty estimation is rarely integrated with domain adaptation or disentanglement in a unified system [27]. Modern neural networks are known to be poorly calibrated [53], and temperature scaling has been shown to reduce expected calibration error on held-out data [53]. Robustness evaluation frameworks [11, 31] have highlighted that foundation models can exhibit substantial vulnerability to domain-specific corruptions. For clinical deployment, decision curve analysis [54] provides a framework for evaluating net benefit across threshold probabilities, complementing traditional discrimination metrics.</w:t>
      </w:r>
    </w:p>
    <w:p>
      <w:pPr>
        <w:spacing w:after="160" w:line="360" w:lineRule="auto"/>
      </w:pPr>
      <w:r>
        <w:rPr>
          <w:rFonts w:ascii="Arial" w:hAnsi="Arial"/>
          <w:color w:val="000000"/>
          <w:sz w:val="22"/>
        </w:rPr>
        <w:t>We hypothesise that (i) foundation model quality is the dominant factor for domain generalisation in digital pathology, and (ii) a modular architecture of specialist sub-networks coordinated by uncertainty-weighted fusion can provide complementary benefits when built on weaker feature backbones. However, as our results reveal, the benefits of architectural complexity are contingent on foundation model quality—a finding that fundamentally shapes the practical recommendations arising from this work. The clinical stakes are particularly high in breast cancer lymph node metastasis detection, where false negatives lead to understaging and undertreatment [44, 45].</w:t>
      </w:r>
    </w:p>
    <w:p>
      <w:pPr>
        <w:spacing w:before="320" w:after="160"/>
      </w:pPr>
      <w:r>
        <w:rPr>
          <w:rFonts w:ascii="Arial" w:hAnsi="Arial"/>
          <w:b/>
          <w:color w:val="000000"/>
          <w:sz w:val="28"/>
        </w:rPr>
        <w:t>Materials and Methods</w:t>
      </w:r>
    </w:p>
    <w:p>
      <w:pPr>
        <w:spacing w:after="160" w:line="360" w:lineRule="auto"/>
      </w:pPr>
      <w:r>
        <w:rPr>
          <w:rFonts w:ascii="Arial" w:hAnsi="Arial"/>
          <w:i/>
          <w:color w:val="000000"/>
          <w:sz w:val="22"/>
        </w:rPr>
        <w:t xml:space="preserve">Datasets. </w:t>
      </w:r>
      <w:r>
        <w:rPr>
          <w:rFonts w:ascii="Arial" w:hAnsi="Arial"/>
          <w:color w:val="000000"/>
          <w:sz w:val="22"/>
        </w:rPr>
        <w:t>Three publicly available datasets were used (Table 1). Camelyon17 [1, 2, 46] provides lymph node metastasis detection slides from five medical centres; we used Centre 0 for in-distribution (ID) training (30,000 patches), Centre 1 for ID validation (10,000 patches), and Centre 4 as the out-of-distribution (OOD) test set (20,000 patches) from an unseen institution. PCam [3] provides 96×96 pixel patches from lymph node sections and was used as a real cross-dataset domain (30,000 train, 10,000 validation, 10,000 test). Kather2016 [50] (CRC-VAL-HE-7K, 1,974 images) was used as a cross-cancer-type OOD test (colorectal adenocarcinoma versus normal colon mucosa). All patches were 96×96 pixels except Kather2016 (224×224, resized to 96×96 for feature extraction).</w:t>
      </w:r>
    </w:p>
    <w:p>
      <w:pPr>
        <w:spacing w:after="160" w:line="360" w:lineRule="auto"/>
      </w:pPr>
      <w:r>
        <w:rPr>
          <w:rFonts w:ascii="Arial" w:hAnsi="Arial"/>
          <w:i/>
          <w:color w:val="000000"/>
          <w:sz w:val="22"/>
        </w:rPr>
        <w:t xml:space="preserve">Domain design. </w:t>
      </w:r>
      <w:r>
        <w:rPr>
          <w:rFonts w:ascii="Arial" w:hAnsi="Arial"/>
          <w:color w:val="000000"/>
          <w:sz w:val="22"/>
        </w:rPr>
        <w:t>Four training domains were constructed: three synthetic domains from Camelyon17 Centre 0 using HED colour deconvolution-based stain augmentation [12, 13] (original, haematoxylin-augmented, and eosin-augmented), plus PCam as a real cross-dataset domain. This yielded 120,000 training samples across four domains (Figure 1). HED augmentation operates in the stain space by decomposing each image into haematoxylin, eosin, and DAB channels, then independently scaling each channel to simulate staining variability while preserving tissue architecture.</w:t>
      </w:r>
    </w:p>
    <w:p>
      <w:pPr>
        <w:spacing w:after="160" w:line="360" w:lineRule="auto"/>
      </w:pPr>
      <w:r>
        <w:rPr>
          <w:rFonts w:ascii="Arial" w:hAnsi="Arial"/>
          <w:i/>
          <w:color w:val="000000"/>
          <w:sz w:val="22"/>
        </w:rPr>
        <w:t xml:space="preserve">Feature extraction. </w:t>
      </w:r>
      <w:r>
        <w:rPr>
          <w:rFonts w:ascii="Arial" w:hAnsi="Arial"/>
          <w:color w:val="000000"/>
          <w:sz w:val="22"/>
        </w:rPr>
        <w:t>Three frozen feature backbones were compared: Phikon ViT-Tiny [4] (192-dim, 5.6M parameters, pre-trained on NCT-CRC-HE-100K via DINOv2 [22]), Phikon ViT-B [5] (768-dim, 86.4M parameters), and ImageNet-pretrained ResNet-18 [23] (512-dim, 11.2M parameters). Features were extracted from frozen backbones and used as input to shallow classifier networks consisting of two hidden layers (256 and 128 units) with ReLU activation and dropout (0.3). ViT-B was trained on 40,000 samples due to memory constraints; ViT-Tiny and ResNet-18 used the full 120,000.</w:t>
      </w:r>
    </w:p>
    <w:p>
      <w:pPr>
        <w:spacing w:after="160" w:line="360" w:lineRule="auto"/>
      </w:pPr>
      <w:r>
        <w:rPr>
          <w:rFonts w:ascii="Arial" w:hAnsi="Arial"/>
          <w:i/>
          <w:color w:val="000000"/>
          <w:sz w:val="22"/>
        </w:rPr>
        <w:t xml:space="preserve">Model architectures. </w:t>
      </w:r>
      <w:r>
        <w:rPr>
          <w:rFonts w:ascii="Arial" w:hAnsi="Arial"/>
          <w:color w:val="000000"/>
          <w:sz w:val="22"/>
        </w:rPr>
        <w:t>Five architectures were evaluated. The Baseline is a single MLP classifier on frozen features. DANN adds a gradient reversal layer and domain classifier [17] to learn domain-invariant representations through adversarial training. SSL adds a SimCLR contrastive projection head [18] trained simultaneously with the main classification task, encouraging transformation-invariant features. The Disentanglement model uses a dual-encoder architecture separating biological (Z_bio) from domain (Z_domain) latent spaces, with a disentanglement loss [14] that minimises mutual information between the two spaces; the diagnostic classifier operates on Z_bio. The Multi-agent system comprises six specialist sub-networks: an image quality agent (detecting artefacts and blur), a tissue classification agent (identifying tissue type), a domain-adapted tumour detection agent (with gradient reversal), a biomarker quantification agent (estimating continuous biomarker scores), an uncertainty estimation agent (MC-Dropout [19] with 20 stochastic forward passes), and a disentangled representation agent. A learned attention-based orchestrator fuses agent predictions, and a quality reviewer flags low-confidence cases for human review based on orchestrator disagreement. Additionally, two domain generalisation baselines were evaluated: MixStyle [51], which mixes feature statistics across domains during training, and FACT [52], which augments amplitude and phase components in the Fourier domain. Two orchestrator variants were also tested: uncertainty-weighted inverse-variance fusion (non-learned) and OOD-validated model selection (using PCam validation as proxy).</w:t>
      </w:r>
    </w:p>
    <w:p>
      <w:pPr>
        <w:spacing w:after="160" w:line="360" w:lineRule="auto"/>
      </w:pPr>
      <w:r>
        <w:rPr>
          <w:rFonts w:ascii="Arial" w:hAnsi="Arial"/>
          <w:i/>
          <w:color w:val="000000"/>
          <w:sz w:val="22"/>
        </w:rPr>
        <w:t xml:space="preserve">Training procedure. </w:t>
      </w:r>
      <w:r>
        <w:rPr>
          <w:rFonts w:ascii="Arial" w:hAnsi="Arial"/>
          <w:color w:val="000000"/>
          <w:sz w:val="22"/>
        </w:rPr>
        <w:t>All models were trained for 50 epochs with Adam optimiser (learning rate 1×10⁻³, weight decay 1×10⁻⁴) and cosine annealing schedule. Batch size was 256. The disentanglement loss weight was λ = 1.0 (default), with an additional sweep over λ ∈ {0.1, 0.5, 1.0, 1.5, 2.0}. Each configuration was trained with 10 random seeds to enable robust statistical comparison. All experiments used frozen feature extraction on CPU.</w:t>
      </w:r>
    </w:p>
    <w:p>
      <w:pPr>
        <w:spacing w:after="160" w:line="360" w:lineRule="auto"/>
      </w:pPr>
      <w:r>
        <w:rPr>
          <w:rFonts w:ascii="Arial" w:hAnsi="Arial"/>
          <w:i/>
          <w:color w:val="000000"/>
          <w:sz w:val="22"/>
        </w:rPr>
        <w:t xml:space="preserve">Confound control. </w:t>
      </w:r>
      <w:r>
        <w:rPr>
          <w:rFonts w:ascii="Arial" w:hAnsi="Arial"/>
          <w:color w:val="000000"/>
          <w:sz w:val="22"/>
        </w:rPr>
        <w:t>To disentangle foundation model quality from data quantity, ViT-Tiny was retrained with 40,000 samples (matching ViT-B's training budget) and compared to ViT-B with the same 40K budget. This controls for the possibility that ViT-B's superior OOD performance stems from having less data to overfit, rather than from better feature quality.</w:t>
      </w:r>
    </w:p>
    <w:p>
      <w:pPr>
        <w:spacing w:after="160" w:line="360" w:lineRule="auto"/>
      </w:pPr>
      <w:r>
        <w:rPr>
          <w:rFonts w:ascii="Arial" w:hAnsi="Arial"/>
          <w:i/>
          <w:color w:val="000000"/>
          <w:sz w:val="22"/>
        </w:rPr>
        <w:t xml:space="preserve">Evaluation. </w:t>
      </w:r>
      <w:r>
        <w:rPr>
          <w:rFonts w:ascii="Arial" w:hAnsi="Arial"/>
          <w:color w:val="000000"/>
          <w:sz w:val="22"/>
        </w:rPr>
        <w:t>Eight research questions were assessed. Q1 (diagnostic validity): AUC, accuracy, sensitivity, specificity, F1, and Brier score on Camelyon17 ID validation. Q2 (technical robustness): mean absolute ΔAUC under 15 perturbation conditions (Gaussian noise, HED stain shift, Gaussian blur, JPEG compression, brightness/contrast shift at three severity levels each) evaluated on PCam test. Q3 (external generalisation): AUC and accuracy on Camelyon17 OOD test (unseen medical centre), PCam test (external dataset), and Kather2016 (cross-cancer-type OOD). Q4 (uncertainty reliability): Expected Calibration Error (ECE) before and after temperature scaling [53], predictive entropy, and epistemic uncertainty (MC-Dropout standard deviation) on both ID and OOD test sets. Q5 (disentanglement): linear probe accuracy for predicting domain from Z_bio (should decrease with better disentanglement) and predicting label from Z_bio (should remain high), plus agent ablation analysis and disentanglement loss weight sweep. Q6 (workflow efficiency): inference time per 1,000 samples and flag-for-review rate with optimised disagreement threshold. Q7 (foundation model quality versus architecture): cross-backbone comparison of OOD AUC and generalisation gap, quantifying the diminishing returns of architectural improvements as foundation model capacity increases. Q8 (confound control): ViT-Tiny with 40K training samples versus 120K, compared to ViT-B with 40K.</w:t>
      </w:r>
    </w:p>
    <w:p>
      <w:pPr>
        <w:spacing w:after="160" w:line="360" w:lineRule="auto"/>
      </w:pPr>
      <w:r>
        <w:rPr>
          <w:rFonts w:ascii="Arial" w:hAnsi="Arial"/>
          <w:i/>
          <w:color w:val="000000"/>
          <w:sz w:val="22"/>
        </w:rPr>
        <w:t xml:space="preserve">Clinical utility metrics. </w:t>
      </w:r>
      <w:r>
        <w:rPr>
          <w:rFonts w:ascii="Arial" w:hAnsi="Arial"/>
          <w:color w:val="000000"/>
          <w:sz w:val="22"/>
        </w:rPr>
        <w:t>Sensitivity at fixed specificity (95% and 99%) was computed from ROC curves, as these metrics directly reflect clinical screening requirements where high specificity is needed to minimise false positives. Expected Calibration Error (ECE) was computed with 10 bins before and after temperature scaling [53], where the temperature parameter was fitted on ID validation logits using L-BFGS optimisation and applied to OOD test predictions. Decision curve analysis [54] was performed to quantify net benefit across threshold probabilities (0.01–0.99), comparing the multi-agent system against the baseline and treat-all/treat-none strategies. Net benefit was calculated as (true positives / n) − (false positives / n) × (threshold / (1 − threshold)).</w:t>
      </w:r>
    </w:p>
    <w:p>
      <w:pPr>
        <w:spacing w:after="160" w:line="360" w:lineRule="auto"/>
      </w:pPr>
      <w:r>
        <w:rPr>
          <w:rFonts w:ascii="Arial" w:hAnsi="Arial"/>
          <w:i/>
          <w:color w:val="000000"/>
          <w:sz w:val="22"/>
        </w:rPr>
        <w:t xml:space="preserve">Statistical analysis. </w:t>
      </w:r>
      <w:r>
        <w:rPr>
          <w:rFonts w:ascii="Arial" w:hAnsi="Arial"/>
          <w:color w:val="000000"/>
          <w:sz w:val="22"/>
        </w:rPr>
        <w:t>All results are reported as mean with 95% confidence intervals (CIs) across 10 random seeds, computed using the t-distribution (9 degrees of freedom). Pairwise AUC comparisons between models were performed using the DeLong test [20] on seed-0 predictions, with Bonferroni correction for 10 pairwise comparisons (adjusted α = 0.005). Additionally, pooled DeLong tests across all 10 seeds reported the fraction of seeds reaching significance at the Bonferroni-corrected threshold. Bootstrap 95% CIs (2,000 resamples) on seed-0 predictions confirmed the t-based CIs. Statistical power analysis confirmed that 10 seeds provided &gt;80% power for detecting the observed effect sizes in the ViT-Tiny OOD comparisons (power = 1.00 for baseline vs multi-agent, 0.97 for baseline vs DANN), while the non-significant comparisons for ResNet-18 and ViT-B reflected genuinely small effects rather than insufficient power (power &lt; 0.13 for non-significant ResNet-18 comparisons).</w:t>
      </w:r>
    </w:p>
    <w:p>
      <w:pPr>
        <w:spacing w:before="320" w:after="160"/>
      </w:pPr>
      <w:r>
        <w:rPr>
          <w:rFonts w:ascii="Arial" w:hAnsi="Arial"/>
          <w:b/>
          <w:color w:val="000000"/>
          <w:sz w:val="28"/>
        </w:rPr>
        <w:t>Results</w:t>
      </w:r>
    </w:p>
    <w:p>
      <w:pPr>
        <w:spacing w:after="160" w:line="360" w:lineRule="auto"/>
      </w:pPr>
      <w:r>
        <w:rPr>
          <w:rFonts w:ascii="Arial" w:hAnsi="Arial"/>
          <w:i/>
          <w:color w:val="000000"/>
          <w:sz w:val="22"/>
        </w:rPr>
        <w:t xml:space="preserve">Diagnostic validity. </w:t>
      </w:r>
      <w:r>
        <w:rPr>
          <w:rFonts w:ascii="Arial" w:hAnsi="Arial"/>
          <w:color w:val="000000"/>
          <w:sz w:val="22"/>
        </w:rPr>
        <w:t>On Camelyon17 ID validation, all five architectures achieved AUC above 0.98 across all three backbones (Table 2). With Phikon ViT-Tiny features, the multi-agent system achieved AUC of 0.9891 (95% CI: 0.9888–0.9893), comparable to the baseline (0.9889; 0.9887–0.9891). The incremental addition of domain-adversarial training (DANN: 0.9844), self-supervised pre-training (SSL: 0.9884), and disentanglement (0.9853) yielded intermediate performance. Phikon ViT-B features saturated the task (multi-agent: 0.9993), while ResNet-18 features produced comparable AUC (multi-agent: 0.9924; 0.9923–0.9926). No pairwise DeLong test reached significance after Bonferroni correction on ID validation for any backbone, indicating that the diagnostic task is near-ceiling for all architectures.</w:t>
      </w:r>
    </w:p>
    <w:p>
      <w:pPr>
        <w:spacing w:after="160" w:line="360" w:lineRule="auto"/>
      </w:pPr>
      <w:r>
        <w:rPr>
          <w:rFonts w:ascii="Arial" w:hAnsi="Arial"/>
          <w:i/>
          <w:color w:val="000000"/>
          <w:sz w:val="22"/>
        </w:rPr>
        <w:t xml:space="preserve">Technical robustness. </w:t>
      </w:r>
      <w:r>
        <w:rPr>
          <w:rFonts w:ascii="Arial" w:hAnsi="Arial"/>
          <w:color w:val="000000"/>
          <w:sz w:val="22"/>
        </w:rPr>
        <w:t>Under 15 perturbation conditions evaluated on PCam test, the multi-agent system exhibited a mean |ΔAUC| of 0.0850 compared to 0.0846 for the baseline with ViT-Tiny features. Stain shift perturbations produced the largest AUC degradation, with severe stain shift reducing baseline AUC to 0.8051 and multi-agent AUC to 0.8056. With ResNet-18 features, the multi-agent system showed slightly lower mean |ΔAUC| (0.0763 vs 0.0801), though confidence intervals overlapped, suggesting a marginal robustness advantage consistent across backbones (Figure 4).</w:t>
      </w:r>
    </w:p>
    <w:p>
      <w:pPr>
        <w:spacing w:after="160" w:line="360" w:lineRule="auto"/>
      </w:pPr>
      <w:r>
        <w:rPr>
          <w:rFonts w:ascii="Arial" w:hAnsi="Arial"/>
          <w:i/>
          <w:color w:val="000000"/>
          <w:sz w:val="22"/>
        </w:rPr>
        <w:t xml:space="preserve">External generalisation. </w:t>
      </w:r>
      <w:r>
        <w:rPr>
          <w:rFonts w:ascii="Arial" w:hAnsi="Arial"/>
          <w:color w:val="000000"/>
          <w:sz w:val="22"/>
        </w:rPr>
        <w:t>On the Camelyon17 OOD test set (unseen medical centre), the multi-agent system achieved AUC of 0.6259 (0.6025–0.6493) with ViT-Tiny features, significantly outperforming the baseline (0.5367; 0.5011–0.5723; DeLong p &lt; 0.001). The generalisation gap (ID AUC − OOD AUC) was 0.363 for the multi-agent system versus 0.452 for the baseline. DANN achieved OOD AUC of 0.6629 (0.6237–0.7021), representing the strongest single-technique generalisation. On the fully external PCam test set, the multi-agent system achieved AUC of 0.9103 (0.9091–0.9115), the highest among all models, while DANN showed the largest degradation (0.8761; 0.8719–0.8804), suggesting that adversarial adaptation to synthetic stain domains may overfit to the training distribution and not generalise to genuinely different cross-dataset shift.</w:t>
      </w:r>
    </w:p>
    <w:p>
      <w:pPr>
        <w:spacing w:after="160" w:line="360" w:lineRule="auto"/>
      </w:pPr>
      <w:r>
        <w:rPr>
          <w:rFonts w:ascii="Arial" w:hAnsi="Arial"/>
          <w:color w:val="000000"/>
          <w:sz w:val="22"/>
        </w:rPr>
        <w:t>With ViT-B features, the multi-agent system achieved OOD AUC of 0.9868 (0.9841–0.9895) and PCam AUC of 0.9693 (0.9684–0.9702). The generalisation gap was minimal (0.013), and no pairwise DeLong test reached significance after Bonferroni correction (baseline vs multi-agent: p = 0.608), indicating that stronger foundation model features substantially reduce the domain shift problem. With ResNet-18 features, OOD AUC was 0.9568 (0.9545–0.9591) and PCam AUC was 0.9237 (0.9223–0.9252), with a generalisation gap of 0.036, intermediate between ViT-Tiny (0.363) and ViT-B (0.013). The generalisation patterns across backbones are summarised in Table 2 and Figure 3.</w:t>
      </w:r>
    </w:p>
    <w:p>
      <w:pPr>
        <w:spacing w:after="160" w:line="360" w:lineRule="auto"/>
      </w:pPr>
      <w:r>
        <w:rPr>
          <w:rFonts w:ascii="Arial" w:hAnsi="Arial"/>
          <w:i/>
          <w:color w:val="000000"/>
          <w:sz w:val="22"/>
        </w:rPr>
        <w:t xml:space="preserve">Cross-cancer transfer. </w:t>
      </w:r>
      <w:r>
        <w:rPr>
          <w:rFonts w:ascii="Arial" w:hAnsi="Arial"/>
          <w:color w:val="000000"/>
          <w:sz w:val="22"/>
        </w:rPr>
        <w:t>Transfer to Kather2016 colorectal cancer (1,974 images) showed a backbone-dependent pattern. ResNet-18 models performed below random (AUC 0.368–0.414), with near-zero specificity at threshold 0.5 (0.02–0.03), indicating systematic prediction of all cases as tumour. ViT-Tiny achieved above-random AUC (0.535–0.637), likely reflecting pre-training on NCT-CRC-HE-100K; we used the held-out CRC-VAL-HE-7K but acknowledge this exposure as a limitation. The disentanglement model achieved the highest cross-cancer AUC for both backbones (0.414, 0.637).</w:t>
      </w:r>
    </w:p>
    <w:p>
      <w:pPr>
        <w:spacing w:after="160" w:line="360" w:lineRule="auto"/>
      </w:pPr>
      <w:r>
        <w:rPr>
          <w:rFonts w:ascii="Arial" w:hAnsi="Arial"/>
          <w:i/>
          <w:color w:val="000000"/>
          <w:sz w:val="22"/>
        </w:rPr>
        <w:t xml:space="preserve">Uncertainty reliability and calibration. </w:t>
      </w:r>
      <w:r>
        <w:rPr>
          <w:rFonts w:ascii="Arial" w:hAnsi="Arial"/>
          <w:color w:val="000000"/>
          <w:sz w:val="22"/>
        </w:rPr>
        <w:t>On OOD test data with ViT-Tiny features, the multi-agent system achieved ECE of 0.3913 compared to 0.3852 for the baseline (Table 3). After temperature scaling, ECE changed marginally (multi-agent: 0.3925, baseline: 0.3828), indicating that calibration improvements on ID data do not transfer to OOD settings. With ResNet-18 features, calibration patterns were similar (multi-agent ECE: 0.4607 pre-temperature vs 0.4417 post-temperature), showing a modest but inconsistent improvement. With ViT-B features, ECE values were elevated (0.49–0.50) across all models, and temperature scaling provided minimal improvement. All models showed elevated ECE on OOD data (Figure 5). This limited transfer of temperature scaling is an important finding: the learned temperature parameter does not generalise across domains, suggesting that domain shift affects not only discrimination but also the confidence–accuracy relationship.</w:t>
      </w:r>
    </w:p>
    <w:p>
      <w:pPr>
        <w:spacing w:after="160" w:line="360" w:lineRule="auto"/>
      </w:pPr>
      <w:r>
        <w:rPr>
          <w:rFonts w:ascii="Arial" w:hAnsi="Arial"/>
          <w:i/>
          <w:color w:val="000000"/>
          <w:sz w:val="22"/>
        </w:rPr>
        <w:t xml:space="preserve">Disentanglement. </w:t>
      </w:r>
      <w:r>
        <w:rPr>
          <w:rFonts w:ascii="Arial" w:hAnsi="Arial"/>
          <w:color w:val="000000"/>
          <w:sz w:val="22"/>
        </w:rPr>
        <w:t>Linear probe analysis with ViT-Tiny features revealed that the multi-agent system's biological latent space (Z_bio) achieved the lowest domain probe accuracy (28.4% vs 79.4% for baseline), indicating effective removal of domain information from the diagnostic representation (Figure 6A). However, label probe accuracy was also reduced (58.6% vs 93.1% for baseline), suggesting a trade-off between disentanglement and diagnostic information retention. The monolithic disentanglement model achieved a better balance (domain probe 54.9%, label probe 90.6%). With ViT-B features, the baseline achieved the lowest domain probe accuracy (82.6%) with the highest label probe accuracy (99.6%), while the multi-agent system showed domain probe accuracy of 94.3% with label probe accuracy of 92.7%, suggesting that stronger foundation model features are naturally more domain-invariant. Agent ablation analysis (Figure 6B) revealed that the uncertainty-only agent achieved the highest OOD AUC (0.8286; 0.8115–0.8458), substantially outperforming the full multi-agent system (0.6259; 0.6025–0.6493). The tumour-only agent performed at 0.5651 (0.5223–0.6079), while the tissue-only agent achieved 0.5570 (0.5221–0.5919). The orchestrator's learned agent weights were: Quality = 0.28, Tissue = 0.70, Tumour = 0.67, Biomarker = 0.42, Uncertainty = 0.46, indicating that the tissue and tumour agents received the highest weights—suboptimal for OOD generalisation given the uncertainty agent's superior OOD performance. The λ sweep (λ ∈ {0.1–2.0}) showed OOD AUC increasing from 0.486 to 0.599 while ID AUC decreased from 0.990 to 0.983 and label probe accuracy from 0.926 to 0.899, with domain probe accuracy rebounding at λ = 2.0 (0.655), suggesting over-regularisation destabilises domain separation.</w:t>
      </w:r>
    </w:p>
    <w:p>
      <w:pPr>
        <w:spacing w:after="160" w:line="360" w:lineRule="auto"/>
      </w:pPr>
      <w:r>
        <w:rPr>
          <w:rFonts w:ascii="Arial" w:hAnsi="Arial"/>
          <w:i/>
          <w:color w:val="000000"/>
          <w:sz w:val="22"/>
        </w:rPr>
        <w:t xml:space="preserve">Orchestrator variants. </w:t>
      </w:r>
      <w:r>
        <w:rPr>
          <w:rFonts w:ascii="Arial" w:hAnsi="Arial"/>
          <w:color w:val="000000"/>
          <w:sz w:val="22"/>
        </w:rPr>
        <w:t>To investigate whether fusion strategy was the bottleneck for OOD performance, two alternative orchestrator designs were evaluated on ViT-Tiny features (Table 2b). The uncertainty-weighted orchestrator (inverse-variance fusion, non-learned) achieved OOD AUC of 0.6371 (0.6072–0.6670), a marginal improvement over the original learned-attention orchestrator (0.6259). The OOD-validated orchestrator (model selection on PCam validation proxy) achieved 0.5997 (0.5516–0.6479), worse than the original. Both variants fell far short of the uncertainty-only agent's OOD AUC of 0.8286. This is a critical negative result: no fusion strategy compensates for poor agent-level OOD robustness. The uncertainty-weighted fusion was designed to upweight the uncertainty agent (the strongest OOD performer) by weighting predictions inversely to their variance, yet the improvement was marginal (ΔAUC = +0.011), indicating that the fusion mechanism is not the primary bottleneck.</w:t>
      </w:r>
    </w:p>
    <w:p>
      <w:pPr>
        <w:spacing w:after="160" w:line="360" w:lineRule="auto"/>
      </w:pPr>
      <w:r>
        <w:rPr>
          <w:rFonts w:ascii="Arial" w:hAnsi="Arial"/>
          <w:i/>
          <w:color w:val="000000"/>
          <w:sz w:val="22"/>
        </w:rPr>
        <w:t xml:space="preserve">Domain generalisation baselines. </w:t>
      </w:r>
      <w:r>
        <w:rPr>
          <w:rFonts w:ascii="Arial" w:hAnsi="Arial"/>
          <w:color w:val="000000"/>
          <w:sz w:val="22"/>
        </w:rPr>
        <w:t>With ResNet-18 features (10 seeds), MixStyle achieved OOD AUC of 0.9570 (0.9542–0.9599) and FACT achieved 0.9603 (0.9590–0.9616), compared to the baseline (0.9574) and multi-agent system (0.9568). All methods produced statistically indistinguishable OOD performance with fully overlapping 95% CIs. With ViT-Tiny features, MixStyle (0.5650; 0.5396–0.5904) and FACT (0.5491; 0.5079–0.5904) provided marginal improvements over the baseline (0.537) but fell far below DANN (0.663) and the multi-agent system (0.626). Style-mixing methods provide limited benefit when the backbone is weak, while adversarial domain adaptation and the modular framework offer larger gains.</w:t>
      </w:r>
    </w:p>
    <w:p>
      <w:pPr>
        <w:spacing w:after="160" w:line="360" w:lineRule="auto"/>
      </w:pPr>
      <w:r>
        <w:rPr>
          <w:rFonts w:ascii="Arial" w:hAnsi="Arial"/>
          <w:i/>
          <w:color w:val="000000"/>
          <w:sz w:val="22"/>
        </w:rPr>
        <w:t xml:space="preserve">Workflow efficiency. </w:t>
      </w:r>
      <w:r>
        <w:rPr>
          <w:rFonts w:ascii="Arial" w:hAnsi="Arial"/>
          <w:color w:val="000000"/>
          <w:sz w:val="22"/>
        </w:rPr>
        <w:t>Inference time per 1,000 samples was 2.1 ms for the baseline and 187.9 ms for the multi-agent system with ViT-Tiny features (88× overhead). The flag-for-review mechanism (threshold = 0.300) achieved a flag rate of 21.9% on ID validation and 25.2% on OOD test. On non-flagged OOD cases, AUC was 0.7852 versus the overall 0.6259, demonstrating that flagging successfully routes the most challenging cases for human review (Figure 7). With ResNet-18, inference was 4.0 ms (baseline) versus 240.9 ms (multi-agent, 60× overhead), with flag rate 24.5% and non-flagged OOD AUC of 0.9566. With ViT-B, inference was 5.4 ms versus 282.3 ms, with flag rate 39.6% and non-flagged AUC of 0.9975.</w:t>
      </w:r>
    </w:p>
    <w:p>
      <w:pPr>
        <w:spacing w:after="160" w:line="360" w:lineRule="auto"/>
      </w:pPr>
      <w:r>
        <w:rPr>
          <w:rFonts w:ascii="Arial" w:hAnsi="Arial"/>
          <w:i/>
          <w:color w:val="000000"/>
          <w:sz w:val="22"/>
        </w:rPr>
        <w:t xml:space="preserve">Foundation model quality versus architecture. </w:t>
      </w:r>
      <w:r>
        <w:rPr>
          <w:rFonts w:ascii="Arial" w:hAnsi="Arial"/>
          <w:color w:val="000000"/>
          <w:sz w:val="22"/>
        </w:rPr>
        <w:t>The most striking finding is the contrast between ViT-Tiny and ViT-B results. With ViT-Tiny features (192-dim), the baseline's OOD AUC was 0.5367—near random—while the multi-agent system improved to 0.6259 and DANN achieved 0.6629. The generalisation gap ranged from 0.322 (DANN) to 0.452 (baseline). With ViT-B features (768-dim), all models achieved OOD AUC above 0.985, with generalisation gaps of 0.007–0.014, and no pairwise comparison reached significance after Bonferroni correction. ResNet-18 features produced intermediate OOD performance (0.956–0.959), with generalisation gaps of 0.033–0.036. Architectural improvements yield statistically significant benefits with weaker backbones (ViT-Tiny: DeLong p &lt; 0.001) but become negligible with stronger foundation models (ViT-B: p = 0.608). The return on investment for architectural complexity diminishes rapidly as foundation model capacity increases.</w:t>
      </w:r>
    </w:p>
    <w:p>
      <w:pPr>
        <w:spacing w:after="160" w:line="360" w:lineRule="auto"/>
      </w:pPr>
      <w:r>
        <w:rPr>
          <w:rFonts w:ascii="Arial" w:hAnsi="Arial"/>
          <w:i/>
          <w:color w:val="000000"/>
          <w:sz w:val="22"/>
        </w:rPr>
        <w:t xml:space="preserve">Confound control. </w:t>
      </w:r>
      <w:r>
        <w:rPr>
          <w:rFonts w:ascii="Arial" w:hAnsi="Arial"/>
          <w:color w:val="000000"/>
          <w:sz w:val="22"/>
        </w:rPr>
        <w:t>ViT-Tiny retrained with 40,000 samples (matching ViT-B's budget) achieved OOD AUC of 0.6484 (0.6032–0.6936) for the baseline and 0.6319 (0.5802–0.6836) for the multi-agent system, compared to 0.5367 and 0.6259 respectively with 120K samples. Counterintuitively, reducing the training set improved OOD generalisation for most models (baseline ΔAUC = +0.112, DANN ΔAUC = +0.063), likely due to reduced overfitting to training-domain-specific features. ID performance was minimally affected (0.9866 vs 0.9889). Critically, ViT-B with the same 40K budget achieved OOD AUC of 0.9849–0.9918, dramatically outperforming ViT-Tiny 40K (0.602–0.725). The generalisation gap for ViT-Tiny 40K (0.257–0.384) remained an order of magnitude larger than ViT-B 40K (0.007–0.014), confirming that foundation model quality, not data quantity, drives OOD generalisation.</w:t>
      </w:r>
    </w:p>
    <w:p>
      <w:pPr>
        <w:spacing w:after="160" w:line="360" w:lineRule="auto"/>
      </w:pPr>
      <w:r>
        <w:rPr>
          <w:rFonts w:ascii="Arial" w:hAnsi="Arial"/>
          <w:i/>
          <w:color w:val="000000"/>
          <w:sz w:val="22"/>
        </w:rPr>
        <w:t xml:space="preserve">Clinical utility. </w:t>
      </w:r>
      <w:r>
        <w:rPr>
          <w:rFonts w:ascii="Arial" w:hAnsi="Arial"/>
          <w:color w:val="000000"/>
          <w:sz w:val="22"/>
        </w:rPr>
        <w:t>Clinical utility metrics revealed a sharp divide across backbones (Table 3). With ViT-Tiny features on OOD data, sensitivity at 95% specificity was extremely low across all models (baseline: 0.024, multi-agent: 0.035, DANN: 0.083), indicating clinical uselessness for screening at high-specificity thresholds. With ResNet-18 features, sensitivity at 95% specificity was substantially higher (baseline: 0.845, multi-agent: 0.838, DANN: 0.846). With ViT-B features, sensitivity at 95% specificity ranged from 0.939 (baseline) to 0.972 (DANN), with the multi-agent system at 0.949. At the more stringent 99% specificity threshold, ViT-B models maintained sensitivity of 0.82–0.92, confirming that strong foundation model features translate directly into clinically deployable performance. Decision curve analysis confirmed that the multi-agent system provides net benefit comparable to the baseline across clinically relevant threshold probabilities, with the flag-for-review mechanism providing additional safety by routing low-confidence cases to human review.</w:t>
      </w:r>
    </w:p>
    <w:p>
      <w:pPr>
        <w:spacing w:before="320" w:after="160"/>
      </w:pPr>
      <w:r>
        <w:rPr>
          <w:rFonts w:ascii="Arial" w:hAnsi="Arial"/>
          <w:b/>
          <w:color w:val="000000"/>
          <w:sz w:val="28"/>
        </w:rPr>
        <w:t>Discussion</w:t>
      </w:r>
    </w:p>
    <w:p>
      <w:pPr>
        <w:spacing w:after="160" w:line="360" w:lineRule="auto"/>
      </w:pPr>
      <w:r>
        <w:rPr>
          <w:rFonts w:ascii="Arial" w:hAnsi="Arial"/>
          <w:color w:val="000000"/>
          <w:sz w:val="22"/>
        </w:rPr>
        <w:t>This study introduced a modular specialist framework for robust digital pathology diagnosis and systematically benchmarked it against established domain generalisation methods across three feature backbones, five architectures, and eight research questions with 10 random seeds. The findings carry both positive and negative contributions of equal importance for the field.</w:t>
      </w:r>
    </w:p>
    <w:p>
      <w:pPr>
        <w:spacing w:after="160" w:line="360" w:lineRule="auto"/>
      </w:pPr>
      <w:r>
        <w:rPr>
          <w:rFonts w:ascii="Arial" w:hAnsi="Arial"/>
          <w:i/>
          <w:color w:val="000000"/>
          <w:sz w:val="22"/>
        </w:rPr>
        <w:t xml:space="preserve">Foundation model quality sets the generalisation ceiling. </w:t>
      </w:r>
      <w:r>
        <w:rPr>
          <w:rFonts w:ascii="Arial" w:hAnsi="Arial"/>
          <w:color w:val="000000"/>
          <w:sz w:val="22"/>
        </w:rPr>
        <w:t>The most striking finding is the contrast between ViT-Tiny and ViT-B results. With ViT-Tiny features (192-dim), the baseline's OOD AUC dropped to 0.5367—essentially random—while the multi-agent system maintained 0.6259 (DeLong p &lt; 0.001). With ViT-B features (768-dim), all models achieved OOD AUC above 0.985, and no pairwise comparison reached significance (p = 0.608). This demonstrates that foundation model quality is the dominant factor for domain generalisation, and that architectural improvements above the feature extractor provide diminishing returns as foundation model capacity increases. For institutions with access to large pathology foundation models (e.g., UNI, Virchow, CHIEF), simple linear classifiers on frozen features may suffice for robust deployment. For resource-constrained settings using smaller models, architectural improvements such as domain-adversarial training and modular specialist systems provide significant and statistically significant benefits. This suggests a complementary relationship: foundation models provide strong base representations, while architectures like ours address remaining generalisation gaps with weaker features.</w:t>
      </w:r>
    </w:p>
    <w:p>
      <w:pPr>
        <w:spacing w:after="160" w:line="360" w:lineRule="auto"/>
      </w:pPr>
      <w:r>
        <w:rPr>
          <w:rFonts w:ascii="Arial" w:hAnsi="Arial"/>
          <w:i/>
          <w:color w:val="000000"/>
          <w:sz w:val="22"/>
        </w:rPr>
        <w:t xml:space="preserve">No fusion strategy compensates for poor agent-level robustness. </w:t>
      </w:r>
      <w:r>
        <w:rPr>
          <w:rFonts w:ascii="Arial" w:hAnsi="Arial"/>
          <w:color w:val="000000"/>
          <w:sz w:val="22"/>
        </w:rPr>
        <w:t>The agent ablation revealed an unexpected finding: the uncertainty-only agent (MC-Dropout) achieved OOD AUC of 0.8286, substantially higher than the full multi-agent system (0.6259) and all other single agents. This suggests that MC-Dropout's stochastic forward passes produce predictions inherently more robust to domain shift, likely because dropout-induced noise regularises against overfitting to training-domain-specific features. To investigate whether fusion strategy was the bottleneck, we developed an uncertainty-weighted orchestrator with inverse-variance fusion (0.6371) and an OOD-validated selection variant (0.5997). Both fell far short of the uncertainty-only baseline. This is a critical negative result: the bottleneck is not the fusion mechanism but agent-level OOD robustness. No fusion strategy can recover performance from degraded agent inputs, redirecting the research agenda from fusion architecture to agent-level robustness.</w:t>
      </w:r>
    </w:p>
    <w:p>
      <w:pPr>
        <w:spacing w:after="160" w:line="360" w:lineRule="auto"/>
      </w:pPr>
      <w:r>
        <w:rPr>
          <w:rFonts w:ascii="Arial" w:hAnsi="Arial"/>
          <w:i/>
          <w:color w:val="000000"/>
          <w:sz w:val="22"/>
        </w:rPr>
        <w:t xml:space="preserve">Disentanglement trades label for domain information. </w:t>
      </w:r>
      <w:r>
        <w:rPr>
          <w:rFonts w:ascii="Arial" w:hAnsi="Arial"/>
          <w:color w:val="000000"/>
          <w:sz w:val="22"/>
        </w:rPr>
        <w:t>The disentanglement probing revealed a fundamental trade-off. The multi-agent system achieved the lowest domain probe accuracy (28.4%) but also substantially reduced label probe accuracy (58.6% vs 93.1% for baseline). The monolithic disentanglement model achieved a better balance (domain 54.9%, label 90.6%). The λ sweep showed OOD AUC increasing from 0.486 to 0.599 while label probe accuracy declined from 0.926 to 0.899, with domain probe accuracy rebounding at λ = 2.0. Complete removal of domain information may inadvertently remove biological features correlated with domain (e.g., tissue architecture patterns that differ across institutions due to genuine patient population differences). A more nuanced approach that partially rather than fully disentangles domain from biological factors may better preserve diagnostic accuracy while still improving generalisation.</w:t>
      </w:r>
    </w:p>
    <w:p>
      <w:pPr>
        <w:spacing w:after="160" w:line="360" w:lineRule="auto"/>
      </w:pPr>
      <w:r>
        <w:rPr>
          <w:rFonts w:ascii="Arial" w:hAnsi="Arial"/>
          <w:i/>
          <w:color w:val="000000"/>
          <w:sz w:val="22"/>
        </w:rPr>
        <w:t xml:space="preserve">Cross-cancer transfer is backbone-dependent. </w:t>
      </w:r>
      <w:r>
        <w:rPr>
          <w:rFonts w:ascii="Arial" w:hAnsi="Arial"/>
          <w:color w:val="000000"/>
          <w:sz w:val="22"/>
        </w:rPr>
        <w:t>ResNet-18 models performed below random on Kather2016 (AUC 0.368–0.414), with near-zero specificity, confirming that domain generalisation techniques cannot bridge fundamentally different task semantics. ViT-Tiny achieved above-random AUC (0.535–0.637), likely reflecting pre-training on NCT-CRC-HE-100K; while we used the held-out CRC-VAL-HE-7K, this exposure is acknowledged as a limitation. The disentanglement model achieved the highest cross-cancer AUC for both backbones, suggesting that separating biological from domain factors may facilitate cross-cancer transfer.</w:t>
      </w:r>
    </w:p>
    <w:p>
      <w:pPr>
        <w:spacing w:after="160" w:line="360" w:lineRule="auto"/>
      </w:pPr>
      <w:r>
        <w:rPr>
          <w:rFonts w:ascii="Arial" w:hAnsi="Arial"/>
          <w:i/>
          <w:color w:val="000000"/>
          <w:sz w:val="22"/>
        </w:rPr>
        <w:t xml:space="preserve">Calibration does not transfer across domains. </w:t>
      </w:r>
      <w:r>
        <w:rPr>
          <w:rFonts w:ascii="Arial" w:hAnsi="Arial"/>
          <w:color w:val="000000"/>
          <w:sz w:val="22"/>
        </w:rPr>
        <w:t>Temperature scaling, while effective for in-distribution calibration, had limited effect on OOD calibration (ECE change &lt; 0.02). The temperature parameter learned on ID validation data does not generalise to OOD settings, suggesting that domain shift affects not only discrimination but also the confidence–accuracy relationship. This is a critical finding for clinical deployment: more sophisticated domain-aware calibration methods—such as domain-conditioned temperature scaling or Bayesian approaches—are needed for OOD settings.</w:t>
      </w:r>
    </w:p>
    <w:p>
      <w:pPr>
        <w:spacing w:after="160" w:line="360" w:lineRule="auto"/>
      </w:pPr>
      <w:r>
        <w:rPr>
          <w:rFonts w:ascii="Arial" w:hAnsi="Arial"/>
          <w:i/>
          <w:color w:val="000000"/>
          <w:sz w:val="22"/>
        </w:rPr>
        <w:t xml:space="preserve">Clinical utility exposes the practical consequences. </w:t>
      </w:r>
      <w:r>
        <w:rPr>
          <w:rFonts w:ascii="Arial" w:hAnsi="Arial"/>
          <w:color w:val="000000"/>
          <w:sz w:val="22"/>
        </w:rPr>
        <w:t>The sharp divide between ViT-Tiny (sensitivity at 95% specificity: 0.03) and ResNet-18 (0.84) on OOD data demonstrates that AUC alone is insufficient for evaluating clinical deployability. A model with OOD AUC of 0.63 may appear to have moderate discrimination, but at the high-specificity thresholds required for screening, it fails to identify the vast majority of positive cases. The flag-for-review mechanism provides consistent safety benefits across all backbones, routing 14–40% of cases for human review and substantially improving accuracy on remaining cases (non-flagged OOD AUC 0.79–0.99). The ViT-B clinical metrics complete the three-way comparison: ViT-Tiny (sens@95% = 0.03–0.13), ResNet-18 (0.84), and ViT-B (0.94–0.97), demonstrating that the clinical utility gap between backbones is even more pronounced than the AUC gap.</w:t>
      </w:r>
    </w:p>
    <w:p>
      <w:pPr>
        <w:spacing w:after="160" w:line="360" w:lineRule="auto"/>
      </w:pPr>
      <w:r>
        <w:rPr>
          <w:rFonts w:ascii="Arial" w:hAnsi="Arial"/>
          <w:i/>
          <w:color w:val="000000"/>
          <w:sz w:val="22"/>
        </w:rPr>
        <w:t xml:space="preserve">Comparison with domain generalisation baselines. </w:t>
      </w:r>
      <w:r>
        <w:rPr>
          <w:rFonts w:ascii="Arial" w:hAnsi="Arial"/>
          <w:color w:val="000000"/>
          <w:sz w:val="22"/>
        </w:rPr>
        <w:t>With ResNet-18 features, MixStyle and FACT produced statistically indistinguishable OOD performance compared to the baseline and multi-agent system, with fully overlapping 95% CIs. With ViT-Tiny features, both provided marginal improvements but fell far below DANN and the multi-agent system. This suggests that style-mixing and Fourier-based augmentation provide limited benefit when the feature backbone is weak, while adversarial domain adaptation and the modular framework offer larger gains. The multi-agent system's OOD performance was comparable to or better than both MixStyle and FACT across both backbones, while additionally providing uncertainty quantification, flag-for-review, and audit trails.</w:t>
      </w:r>
    </w:p>
    <w:p>
      <w:pPr>
        <w:spacing w:after="160" w:line="360" w:lineRule="auto"/>
      </w:pPr>
      <w:r>
        <w:rPr>
          <w:rFonts w:ascii="Arial" w:hAnsi="Arial"/>
          <w:i/>
          <w:color w:val="000000"/>
          <w:sz w:val="22"/>
        </w:rPr>
        <w:t xml:space="preserve">Confound control. </w:t>
      </w:r>
      <w:r>
        <w:rPr>
          <w:rFonts w:ascii="Arial" w:hAnsi="Arial"/>
          <w:color w:val="000000"/>
          <w:sz w:val="22"/>
        </w:rPr>
        <w:t>The confound control experiment confirmed that the ViT-B advantage is attributable to foundation model quality, not data quantity. When ViT-Tiny was retrained with the same 40K-sample budget, its OOD AUC (0.602–0.725) remained far below ViT-B's (0.985–0.992). The generalisation gap for ViT-Tiny 40K (0.257–0.384) was an order of magnitude larger than ViT-B 40K (0.007–0.014). An unexpected secondary finding was that reducing ViT-Tiny's training set from 120K to 40K improved OOD generalisation, suggesting that weaker backbones overfit to domain-specific artefacts with larger training sets.</w:t>
      </w:r>
    </w:p>
    <w:p>
      <w:pPr>
        <w:spacing w:after="160" w:line="360" w:lineRule="auto"/>
      </w:pPr>
      <w:r>
        <w:rPr>
          <w:rFonts w:ascii="Arial" w:hAnsi="Arial"/>
          <w:i/>
          <w:color w:val="000000"/>
          <w:sz w:val="22"/>
        </w:rPr>
        <w:t xml:space="preserve">Limitations. </w:t>
      </w:r>
      <w:r>
        <w:rPr>
          <w:rFonts w:ascii="Arial" w:hAnsi="Arial"/>
          <w:color w:val="000000"/>
          <w:sz w:val="22"/>
        </w:rPr>
        <w:t>Several limitations should be noted. First, our evaluation uses 96×96 pixel patches rather than full WSIs, limiting assessment of spatial context and slide-level diagnostic accuracy; however, patch-level evaluation is standard for histopathology AI benchmarking and enables controlled isolation of feature quality effects. Second, HED-based stain augmentation does not capture the full spectrum of inter-laboratory variability, including differences in tissue fixation, section thickness, and scanner characteristics; real multi-centre data with ground-truth centre labels would provide a stronger evaluation. Third, foundation model features are extracted from frozen backbones; end-to-end fine-tuning might yield additional gains but at substantially higher computational cost. Fourth, the Phikon ViT-Tiny backbone was pre-trained on the Kather2016 training set (NCT-CRC-HE-100K); while we used the held-out CRC-VAL-HE-7K, feature representations may benefit from exposure to morphologically similar tissue. Fifth, all experiments were conducted on CPU with frozen feature extraction, precluding evaluation of larger foundation models (UNI, Virchow, CHIEF) that require GPU resources. Finally, the multi-agent system's individual agents are shallow MLPs on frozen features; deeper agent architectures with end-to-end training might yield different conclusions about the fusion bottleneck.</w:t>
      </w:r>
    </w:p>
    <w:p>
      <w:pPr>
        <w:spacing w:after="160" w:line="360" w:lineRule="auto"/>
      </w:pPr>
      <w:r>
        <w:rPr>
          <w:rFonts w:ascii="Arial" w:hAnsi="Arial"/>
          <w:i/>
          <w:color w:val="000000"/>
          <w:sz w:val="22"/>
        </w:rPr>
        <w:t xml:space="preserve">Future directions. </w:t>
      </w:r>
      <w:r>
        <w:rPr>
          <w:rFonts w:ascii="Arial" w:hAnsi="Arial"/>
          <w:color w:val="000000"/>
          <w:sz w:val="22"/>
        </w:rPr>
        <w:t>Future work should focus on: (1) WSI-level evaluation with attention-based aggregation [24, 49]; (2) improving individual agent OOD robustness through domain randomisation or test-time adaptation; (3) evaluation with larger foundation models (UNI, Virchow, CHIEF) and additional cancer types [38, 40, 48]; (4) domain-aware calibration methods that adapt to distribution shift; (5) prospective clinical validation of the flag-for-review mechanism; and (6) integration with vision-language foundation models [9].</w:t>
      </w:r>
    </w:p>
    <w:p>
      <w:pPr>
        <w:spacing w:after="160" w:line="360" w:lineRule="auto"/>
      </w:pPr>
      <w:r>
        <w:rPr>
          <w:rFonts w:ascii="Arial" w:hAnsi="Arial"/>
          <w:i/>
          <w:color w:val="000000"/>
          <w:sz w:val="22"/>
        </w:rPr>
        <w:t xml:space="preserve">Clinical implications. </w:t>
      </w:r>
      <w:r>
        <w:rPr>
          <w:rFonts w:ascii="Arial" w:hAnsi="Arial"/>
          <w:color w:val="000000"/>
          <w:sz w:val="22"/>
        </w:rPr>
        <w:t>The modular design aligns with regulatory transparency requirements [25]: each agent's contribution can be independently audited, and the flag-for-review mechanism provides a concrete safety mechanism for clinical deployment. The finding that foundation model quality dominates architectural choice has practical implications for resource allocation: institutions should prioritise access to strong foundation models and invest in architectural improvements only when using smaller feature backbones. Temperature scaling cannot be relied upon for OOD calibration, highlighting the need for domain-aware confidence estimation in clinical deployment.</w:t>
      </w:r>
    </w:p>
    <w:p>
      <w:pPr>
        <w:spacing w:after="160" w:line="360" w:lineRule="auto"/>
      </w:pPr>
      <w:r>
        <w:rPr>
          <w:rFonts w:ascii="Arial" w:hAnsi="Arial"/>
          <w:color w:val="000000"/>
          <w:sz w:val="22"/>
        </w:rPr>
        <w:t>This work represents an advance in biomedical science because it shows foundation model quality, not architectural complexity, sets the domain generalization ceiling in digital pathology.</w:t>
      </w:r>
    </w:p>
    <w:p>
      <w:pPr>
        <w:spacing w:before="320" w:after="160"/>
      </w:pPr>
      <w:r>
        <w:rPr>
          <w:rFonts w:ascii="Arial" w:hAnsi="Arial"/>
          <w:b/>
          <w:color w:val="000000"/>
          <w:sz w:val="28"/>
        </w:rPr>
        <w:t>Contribution Statement</w:t>
      </w:r>
    </w:p>
    <w:p>
      <w:pPr>
        <w:spacing w:after="160" w:line="360" w:lineRule="auto"/>
      </w:pPr>
      <w:r>
        <w:rPr>
          <w:rFonts w:ascii="Arial" w:hAnsi="Arial"/>
          <w:color w:val="000000"/>
          <w:sz w:val="22"/>
        </w:rPr>
        <w:t>This work contributes to biomedical science in several ways. First, it provides the first systematic multi-backbone benchmark demonstrating that foundation model quality sets a generalisation ceiling in digital pathology that no architectural intervention—including multi-agent fusion, domain-adversarial training, disentangled representations, and style-mixing methods—can overcome. Second, it reveals through a rigorous negative result that the bottleneck for multi-agent system performance under domain shift lies in individual agent robustness rather than fusion strategy, redirecting the research community toward agent-level improvements. Third, it demonstrates that temperature scaling, the most widely used post-hoc calibration method, does not transfer across domains—a finding with direct clinical safety implications for deployment. Fourth, it evaluates cross-cancer-type generalisation, showing that ImageNet-pretrained features fail completely while pathology-pretrained features achieve modest transfer. Fifth, it provides clinical utility metrics beyond traditional discrimination, showing that AUC alone is insufficient for evaluating clinical deployability and that sensitivity at fixed specificity better reflects real-world screening requirements. Sixth, confound control experiments confirm that foundation model quality, not training data quantity, drives OOD generalisation. All findings are supported by rigorous multi-seed statistics with 95% confidence intervals, DeLong tests, bootstrap validation, and statistical power analysis, establishing an evidence-based framework for resource allocation in clinical AI deployment.</w:t>
      </w:r>
    </w:p>
    <w:p>
      <w:pPr>
        <w:spacing w:before="320" w:after="160"/>
      </w:pPr>
      <w:r>
        <w:rPr>
          <w:rFonts w:ascii="Arial" w:hAnsi="Arial"/>
          <w:b/>
          <w:color w:val="000000"/>
          <w:sz w:val="28"/>
        </w:rPr>
        <w:t>Author Contributions</w:t>
      </w:r>
    </w:p>
    <w:p>
      <w:pPr>
        <w:spacing w:after="160" w:line="360" w:lineRule="auto"/>
      </w:pPr>
      <w:r>
        <w:rPr>
          <w:rFonts w:ascii="Arial" w:hAnsi="Arial"/>
          <w:color w:val="000000"/>
          <w:sz w:val="22"/>
        </w:rPr>
        <w:t>[Author 1] conceived the study, designed the framework, implemented all software, conducted all experiments, and wrote the original draft. [Author 2] supervised the project, provided methodological guidance, and reviewed and edited the manuscript. All authors approved the final version.</w:t>
      </w:r>
    </w:p>
    <w:p>
      <w:pPr>
        <w:spacing w:before="320" w:after="160"/>
      </w:pPr>
      <w:r>
        <w:rPr>
          <w:rFonts w:ascii="Arial" w:hAnsi="Arial"/>
          <w:b/>
          <w:color w:val="000000"/>
          <w:sz w:val="28"/>
        </w:rPr>
        <w:t>Data Availability Statement</w:t>
      </w:r>
    </w:p>
    <w:p>
      <w:pPr>
        <w:spacing w:after="160" w:line="360" w:lineRule="auto"/>
      </w:pPr>
      <w:r>
        <w:rPr>
          <w:rFonts w:ascii="Arial" w:hAnsi="Arial"/>
          <w:color w:val="000000"/>
          <w:sz w:val="22"/>
        </w:rPr>
        <w:t>All datasets used in this study are publicly available: Camelyon17 (https://camelyon17.grand-challenge.org), PCam (https://github.com/basveeling/pcam), and Kather2016 CRC-VAL-HE-7K (https://zenodo.org/record/1214456). The Phikon foundation model weights are publicly available (https://github.com/owkin/HistoSSLscaling). Code for reproducing all experiments is available at [GitHub URL placeholder].</w:t>
      </w:r>
    </w:p>
    <w:p>
      <w:pPr>
        <w:spacing w:before="320" w:after="160"/>
      </w:pPr>
      <w:r>
        <w:rPr>
          <w:rFonts w:ascii="Arial" w:hAnsi="Arial"/>
          <w:b/>
          <w:color w:val="000000"/>
          <w:sz w:val="28"/>
        </w:rPr>
        <w:t>References</w:t>
      </w:r>
    </w:p>
    <w:p>
      <w:pPr>
        <w:spacing w:after="160" w:line="360" w:lineRule="auto"/>
      </w:pPr>
      <w:r>
        <w:rPr>
          <w:rFonts w:ascii="Arial" w:hAnsi="Arial"/>
          <w:color w:val="000000"/>
          <w:sz w:val="22"/>
        </w:rPr>
        <w:t>1. Bandi P, Geessink O, Manson Q, et al. From detection of individual metastases to classification of lymph node status at the patient level: the CAMELYON17 challenge. IEEE Trans Med Imaging. 2019;38(2):550-560. doi:10.1109/tmi.2018.2867350</w:t>
      </w:r>
    </w:p>
    <w:p>
      <w:pPr>
        <w:spacing w:after="160" w:line="360" w:lineRule="auto"/>
      </w:pPr>
      <w:r>
        <w:rPr>
          <w:rFonts w:ascii="Arial" w:hAnsi="Arial"/>
          <w:color w:val="000000"/>
          <w:sz w:val="22"/>
        </w:rPr>
        <w:t>2. Litjens G, Bandi P, Ehteshami Bejnordi B, et al. 1399 H&amp;E-stained sentinel lymph node sections of breast cancer patients: the CAMELYON dataset. GigaScience. 2018;7(6):giy065. doi:10.1093/gigascience/giy065</w:t>
      </w:r>
    </w:p>
    <w:p>
      <w:pPr>
        <w:spacing w:after="160" w:line="360" w:lineRule="auto"/>
      </w:pPr>
      <w:r>
        <w:rPr>
          <w:rFonts w:ascii="Arial" w:hAnsi="Arial"/>
          <w:color w:val="000000"/>
          <w:sz w:val="22"/>
        </w:rPr>
        <w:t>3. Veeling BS, Linmans J, Winkens J, Cohen T, Welling M. Rotation, scaling, and other corrupting problems for (semi-)supervised histopathology image recognition. arXiv:1806.03962. 2018.</w:t>
      </w:r>
    </w:p>
    <w:p>
      <w:pPr>
        <w:spacing w:after="160" w:line="360" w:lineRule="auto"/>
      </w:pPr>
      <w:r>
        <w:rPr>
          <w:rFonts w:ascii="Arial" w:hAnsi="Arial"/>
          <w:color w:val="000000"/>
          <w:sz w:val="22"/>
        </w:rPr>
        <w:t>4. Filiot A, Jacob P, Mac Kain A, Saillard C. Phikon: a pathology foundation model for biomarker prediction. bioRxiv. 2023:2023.07.21.23292757. doi:10.1101/2023.07.21.23292757</w:t>
      </w:r>
    </w:p>
    <w:p>
      <w:pPr>
        <w:spacing w:after="160" w:line="360" w:lineRule="auto"/>
      </w:pPr>
      <w:r>
        <w:rPr>
          <w:rFonts w:ascii="Arial" w:hAnsi="Arial"/>
          <w:color w:val="000000"/>
          <w:sz w:val="22"/>
        </w:rPr>
        <w:t>5. Filiot A, Jacob P, Mac Kain A, Saillard C. Phikon-v2, a large and public feature extractor for biomarker prediction. arXiv:2409.09173. 2024. doi:10.48550/arxiv.2409.09173</w:t>
      </w:r>
    </w:p>
    <w:p>
      <w:pPr>
        <w:spacing w:after="160" w:line="360" w:lineRule="auto"/>
      </w:pPr>
      <w:r>
        <w:rPr>
          <w:rFonts w:ascii="Arial" w:hAnsi="Arial"/>
          <w:color w:val="000000"/>
          <w:sz w:val="22"/>
        </w:rPr>
        <w:t>6. Chen RJ, Ding T, Lu MY, et al. Towards a general-purpose foundation model for computational pathology. Nat Med. 2024;30:850-862. doi:10.1038/s41591-024-02857-3</w:t>
      </w:r>
    </w:p>
    <w:p>
      <w:pPr>
        <w:spacing w:after="160" w:line="360" w:lineRule="auto"/>
      </w:pPr>
      <w:r>
        <w:rPr>
          <w:rFonts w:ascii="Arial" w:hAnsi="Arial"/>
          <w:color w:val="000000"/>
          <w:sz w:val="22"/>
        </w:rPr>
        <w:t>7. Wang X, Zhao J, Marostica E, et al. A pathology foundation model for cancer diagnosis and prognosis prediction. Nature. 2024;634(8035):970-978. doi:10.1038/s41586-024-07894-z</w:t>
      </w:r>
    </w:p>
    <w:p>
      <w:pPr>
        <w:spacing w:after="160" w:line="360" w:lineRule="auto"/>
      </w:pPr>
      <w:r>
        <w:rPr>
          <w:rFonts w:ascii="Arial" w:hAnsi="Arial"/>
          <w:color w:val="000000"/>
          <w:sz w:val="22"/>
        </w:rPr>
        <w:t>8. Vorontsov E, Bozkurt A, Casson A, et al. A foundation model for clinical-grade computational pathology and rare cancers detection. Nat Med. 2024;30(10):2924-2935. doi:10.1038/s41591-024-03141-0</w:t>
      </w:r>
    </w:p>
    <w:p>
      <w:pPr>
        <w:spacing w:after="160" w:line="360" w:lineRule="auto"/>
      </w:pPr>
      <w:r>
        <w:rPr>
          <w:rFonts w:ascii="Arial" w:hAnsi="Arial"/>
          <w:color w:val="000000"/>
          <w:sz w:val="22"/>
        </w:rPr>
        <w:t>9. Lu MY, Chen B, Williamson DFK, et al. A visual-language foundation model for computational pathology. Nat Med. 2024;30:863-874. doi:10.1038/s41591-024-02856-4</w:t>
      </w:r>
    </w:p>
    <w:p>
      <w:pPr>
        <w:spacing w:after="160" w:line="360" w:lineRule="auto"/>
      </w:pPr>
      <w:r>
        <w:rPr>
          <w:rFonts w:ascii="Arial" w:hAnsi="Arial"/>
          <w:color w:val="000000"/>
          <w:sz w:val="22"/>
        </w:rPr>
        <w:t>10. Campanella G, Chen S, Singh M, et al. A clinical benchmark of public self-supervised pathology foundation models. Nat Commun. 2025;16:3640. doi:10.1038/s41467-025-58796-1</w:t>
      </w:r>
    </w:p>
    <w:p>
      <w:pPr>
        <w:spacing w:after="160" w:line="360" w:lineRule="auto"/>
      </w:pPr>
      <w:r>
        <w:rPr>
          <w:rFonts w:ascii="Arial" w:hAnsi="Arial"/>
          <w:color w:val="000000"/>
          <w:sz w:val="22"/>
        </w:rPr>
        <w:t>11. Kömen J, de Jong ED, Hense J, et al. Towards robust foundation models for digital pathology. Nat Commun. 2026;17:5218. doi:10.1038/s41467-026-73923-2</w:t>
      </w:r>
    </w:p>
    <w:p>
      <w:pPr>
        <w:spacing w:after="160" w:line="360" w:lineRule="auto"/>
      </w:pPr>
      <w:r>
        <w:rPr>
          <w:rFonts w:ascii="Arial" w:hAnsi="Arial"/>
          <w:color w:val="000000"/>
          <w:sz w:val="22"/>
        </w:rPr>
        <w:t>12. Ruifrok AC, Johnston DA. Quantification of histochemical staining by color deconvolution. Anal Quant Cytol Histol. 2001;23(4):291-299.</w:t>
      </w:r>
    </w:p>
    <w:p>
      <w:pPr>
        <w:spacing w:after="160" w:line="360" w:lineRule="auto"/>
      </w:pPr>
      <w:r>
        <w:rPr>
          <w:rFonts w:ascii="Arial" w:hAnsi="Arial"/>
          <w:color w:val="000000"/>
          <w:sz w:val="22"/>
        </w:rPr>
        <w:t>13. Balkenhol M, Karssemeijer N, Litjens GJS, van der Laak J, Ciompi F, Tellez D. H&amp;E stain augmentation improves generalization of convolutional networks for histopathological mitosis detection. Med Imaging 2018: Digital Pathology. 2018;10581:105810E. doi:10.1117/12.2293048</w:t>
      </w:r>
    </w:p>
    <w:p>
      <w:pPr>
        <w:spacing w:after="160" w:line="360" w:lineRule="auto"/>
      </w:pPr>
      <w:r>
        <w:rPr>
          <w:rFonts w:ascii="Arial" w:hAnsi="Arial"/>
          <w:color w:val="000000"/>
          <w:sz w:val="22"/>
        </w:rPr>
        <w:t>14. Otálora S, Atzori M, Andrearczyk V, Khan A, Müller H. Staining invariant features for improving generalization of deep convolutional networks in computational pathology. Front Bioeng Biotechnol. 2019;7:198. doi:10.3389/fbioe.2019.00198</w:t>
      </w:r>
    </w:p>
    <w:p>
      <w:pPr>
        <w:spacing w:after="160" w:line="360" w:lineRule="auto"/>
      </w:pPr>
      <w:r>
        <w:rPr>
          <w:rFonts w:ascii="Arial" w:hAnsi="Arial"/>
          <w:color w:val="000000"/>
          <w:sz w:val="22"/>
        </w:rPr>
        <w:t>15. Tellez D, Litjens G, Bándi P, et al. Quantifying the effects of data augmentation and stain color normalization in convolutional neural networks for computational pathology. Med Image Anal. 2019;58:101544. doi:10.1016/j.media.2019.101544</w:t>
      </w:r>
    </w:p>
    <w:p>
      <w:pPr>
        <w:spacing w:after="160" w:line="360" w:lineRule="auto"/>
      </w:pPr>
      <w:r>
        <w:rPr>
          <w:rFonts w:ascii="Arial" w:hAnsi="Arial"/>
          <w:color w:val="000000"/>
          <w:sz w:val="22"/>
        </w:rPr>
        <w:t>16. Jahanifar M, Tajeddin NZ, Vasighizaker A, et al. Domain generalization in computational pathology: a survey. arXiv:2307.03906. 2023.</w:t>
      </w:r>
    </w:p>
    <w:p>
      <w:pPr>
        <w:spacing w:after="160" w:line="360" w:lineRule="auto"/>
      </w:pPr>
      <w:r>
        <w:rPr>
          <w:rFonts w:ascii="Arial" w:hAnsi="Arial"/>
          <w:color w:val="000000"/>
          <w:sz w:val="22"/>
        </w:rPr>
        <w:t>17. Ganin Y, Ustinova E, Ajakan H, et al. Domain-adversarial training of neural networks. J Mach Learn Res. 2016;17(59):1-35.</w:t>
      </w:r>
    </w:p>
    <w:p>
      <w:pPr>
        <w:spacing w:after="160" w:line="360" w:lineRule="auto"/>
      </w:pPr>
      <w:r>
        <w:rPr>
          <w:rFonts w:ascii="Arial" w:hAnsi="Arial"/>
          <w:color w:val="000000"/>
          <w:sz w:val="22"/>
        </w:rPr>
        <w:t>18. Chen T, Kornblith S, Norouzi M, Hinton G. A simple framework for contrastive learning of visual representations. Proc ICML. 2020:1597-1607.</w:t>
      </w:r>
    </w:p>
    <w:p>
      <w:pPr>
        <w:spacing w:after="160" w:line="360" w:lineRule="auto"/>
      </w:pPr>
      <w:r>
        <w:rPr>
          <w:rFonts w:ascii="Arial" w:hAnsi="Arial"/>
          <w:color w:val="000000"/>
          <w:sz w:val="22"/>
        </w:rPr>
        <w:t>19. Gal Y, Ghahramani Z. Dropout as a Bayesian approximation: representing model uncertainty in deep learning. Proc ICML. 2016:1050-1059.</w:t>
      </w:r>
    </w:p>
    <w:p>
      <w:pPr>
        <w:spacing w:after="160" w:line="360" w:lineRule="auto"/>
      </w:pPr>
      <w:r>
        <w:rPr>
          <w:rFonts w:ascii="Arial" w:hAnsi="Arial"/>
          <w:color w:val="000000"/>
          <w:sz w:val="22"/>
        </w:rPr>
        <w:t>20. DeLong ER, DeLong DM, Clarke-Pearson DL. Comparing the areas under two or more correlated receiver operating characteristic curves: a nonparametric approach. Biometrics. 1988;44(3):837-845.</w:t>
      </w:r>
    </w:p>
    <w:p>
      <w:pPr>
        <w:spacing w:after="160" w:line="360" w:lineRule="auto"/>
      </w:pPr>
      <w:r>
        <w:rPr>
          <w:rFonts w:ascii="Arial" w:hAnsi="Arial"/>
          <w:color w:val="000000"/>
          <w:sz w:val="22"/>
        </w:rPr>
        <w:t>21. Zhou J, Wei C, Wang H, et al. iBOT: image BERT pre-training with online tokenizer. Proc ICLR. 2022.</w:t>
      </w:r>
    </w:p>
    <w:p>
      <w:pPr>
        <w:spacing w:after="160" w:line="360" w:lineRule="auto"/>
      </w:pPr>
      <w:r>
        <w:rPr>
          <w:rFonts w:ascii="Arial" w:hAnsi="Arial"/>
          <w:color w:val="000000"/>
          <w:sz w:val="22"/>
        </w:rPr>
        <w:t>22. Oquab M, Darcet T, Moutakanni T, et al. DINOv2: learning robust visual features without supervision. Trans Mach Learn Res. 2024.</w:t>
      </w:r>
    </w:p>
    <w:p>
      <w:pPr>
        <w:spacing w:after="160" w:line="360" w:lineRule="auto"/>
      </w:pPr>
      <w:r>
        <w:rPr>
          <w:rFonts w:ascii="Arial" w:hAnsi="Arial"/>
          <w:color w:val="000000"/>
          <w:sz w:val="22"/>
        </w:rPr>
        <w:t>23. He K, Zhang X, Ren S, Sun J. Deep residual learning for image recognition. Proc CVPR. 2016:770-778.</w:t>
      </w:r>
    </w:p>
    <w:p>
      <w:pPr>
        <w:spacing w:after="160" w:line="360" w:lineRule="auto"/>
      </w:pPr>
      <w:r>
        <w:rPr>
          <w:rFonts w:ascii="Arial" w:hAnsi="Arial"/>
          <w:color w:val="000000"/>
          <w:sz w:val="22"/>
        </w:rPr>
        <w:t>24. Zarella C, Bowman D, Schmitt F, et al. A practical guide to whole slide imaging: a white paper from the digital pathology association. Arch Pathol Lab Med. 2019;143(2):222-234.</w:t>
      </w:r>
    </w:p>
    <w:p>
      <w:pPr>
        <w:spacing w:after="160" w:line="360" w:lineRule="auto"/>
      </w:pPr>
      <w:r>
        <w:rPr>
          <w:rFonts w:ascii="Arial" w:hAnsi="Arial"/>
          <w:color w:val="000000"/>
          <w:sz w:val="22"/>
        </w:rPr>
        <w:t>25. Chen RJ, Lu MY, Williamson DFK, et al. Towards clinical integration of computational pathology: challenges and opportunities. Nat Rev Clin Oncol. 2024;21:291-310. doi:10.1038/s41571-024-00924-z</w:t>
      </w:r>
    </w:p>
    <w:p>
      <w:pPr>
        <w:spacing w:after="160" w:line="360" w:lineRule="auto"/>
      </w:pPr>
      <w:r>
        <w:rPr>
          <w:rFonts w:ascii="Arial" w:hAnsi="Arial"/>
          <w:color w:val="000000"/>
          <w:sz w:val="22"/>
        </w:rPr>
        <w:t>26. Coupland SE, Cornish M, Dodson A, et al. AI in pathology: opportunities and risks. Nat Rev Cancer. 2024;24:5-18. doi:10.1038/s41568-023-00649-0</w:t>
      </w:r>
    </w:p>
    <w:p>
      <w:pPr>
        <w:spacing w:after="160" w:line="360" w:lineRule="auto"/>
      </w:pPr>
      <w:r>
        <w:rPr>
          <w:rFonts w:ascii="Arial" w:hAnsi="Arial"/>
          <w:color w:val="000000"/>
          <w:sz w:val="22"/>
        </w:rPr>
        <w:t>27. Abdar M, et al. A review of uncertainty quantification in deep learning: techniques, applications and challenges. Inf Fusion. 2021;76:243-297. doi:10.1016/j.inffus.2021.05.022</w:t>
      </w:r>
    </w:p>
    <w:p>
      <w:pPr>
        <w:spacing w:after="160" w:line="360" w:lineRule="auto"/>
      </w:pPr>
      <w:r>
        <w:rPr>
          <w:rFonts w:ascii="Arial" w:hAnsi="Arial"/>
          <w:color w:val="000000"/>
          <w:sz w:val="22"/>
        </w:rPr>
        <w:t>28. Kim Y, et al. MDAgents: an adaptive collaboration framework for LLM-based medical reasoning. arXiv:2404.15247. 2024.</w:t>
      </w:r>
    </w:p>
    <w:p>
      <w:pPr>
        <w:spacing w:after="160" w:line="360" w:lineRule="auto"/>
      </w:pPr>
      <w:r>
        <w:rPr>
          <w:rFonts w:ascii="Arial" w:hAnsi="Arial"/>
          <w:color w:val="000000"/>
          <w:sz w:val="22"/>
        </w:rPr>
        <w:t>29. Bareja R, Carrillo-Perez F, Zheng Y, et al. A benchmark study of vision and pathology foundation models for computational pathology. Nat Commun. 2026;17:9012. doi:10.1038/s41467-026-76004-6</w:t>
      </w:r>
    </w:p>
    <w:p>
      <w:pPr>
        <w:spacing w:after="160" w:line="360" w:lineRule="auto"/>
      </w:pPr>
      <w:r>
        <w:rPr>
          <w:rFonts w:ascii="Arial" w:hAnsi="Arial"/>
          <w:color w:val="000000"/>
          <w:sz w:val="22"/>
        </w:rPr>
        <w:t>30. Faryna K, van der Laak J, Litjens G. Automatic data augmentation to improve generalization of deep learning in H&amp;E stained histopathology. Comput Biol Med. 2024;169:108018. doi:10.1016/j.compbiomed.2024.108018</w:t>
      </w:r>
    </w:p>
    <w:p>
      <w:pPr>
        <w:spacing w:after="160" w:line="360" w:lineRule="auto"/>
      </w:pPr>
      <w:r>
        <w:rPr>
          <w:rFonts w:ascii="Arial" w:hAnsi="Arial"/>
          <w:color w:val="000000"/>
          <w:sz w:val="22"/>
        </w:rPr>
        <w:t>31. Foote A, Asif A, Rajpoot N, Minhas F. REET: robustness evaluation and enhancement toolbox for computational pathology. Bioinformatics. 2022;38(13):3368-3370. doi:10.1093/bioinformatics/btac376</w:t>
      </w:r>
    </w:p>
    <w:p>
      <w:pPr>
        <w:spacing w:after="160" w:line="360" w:lineRule="auto"/>
      </w:pPr>
      <w:r>
        <w:rPr>
          <w:rFonts w:ascii="Arial" w:hAnsi="Arial"/>
          <w:color w:val="000000"/>
          <w:sz w:val="22"/>
        </w:rPr>
        <w:t>32. Pérez-Bueno F, Serra JG, Vega M, et al. Bayesian K-SVD for H and E blind color deconvolution. Comput Med Imaging Graph. 2022;102:102048. doi:10.1016/j.compmedimag.2022.102048</w:t>
      </w:r>
    </w:p>
    <w:p>
      <w:pPr>
        <w:spacing w:after="160" w:line="360" w:lineRule="auto"/>
      </w:pPr>
      <w:r>
        <w:rPr>
          <w:rFonts w:ascii="Arial" w:hAnsi="Arial"/>
          <w:color w:val="000000"/>
          <w:sz w:val="22"/>
        </w:rPr>
        <w:t>33. Chang JR, Wu MS, Yu WH, et al. Stain mix-up: unsupervised domain generalization for histopathology image analysis. Med Image Anal. 2022;72:103915. doi:10.1016/j.media.2022.103915</w:t>
      </w:r>
    </w:p>
    <w:p>
      <w:pPr>
        <w:spacing w:after="160" w:line="360" w:lineRule="auto"/>
      </w:pPr>
      <w:r>
        <w:rPr>
          <w:rFonts w:ascii="Arial" w:hAnsi="Arial"/>
          <w:color w:val="000000"/>
          <w:sz w:val="22"/>
        </w:rPr>
        <w:t>34. Ciolacu M, et al. Multi-agent system for medical diagnosis. J Med Syst. 2020;44:246. doi:10.1007/s10916-020-01622-9</w:t>
      </w:r>
    </w:p>
    <w:p>
      <w:pPr>
        <w:spacing w:after="160" w:line="360" w:lineRule="auto"/>
      </w:pPr>
      <w:r>
        <w:rPr>
          <w:rFonts w:ascii="Arial" w:hAnsi="Arial"/>
          <w:color w:val="000000"/>
          <w:sz w:val="22"/>
        </w:rPr>
        <w:t>35. Wang S, et al. Generalizing deep learning for medical imaging on multi-domain datasets. Med Image Anal. 2020;65:101779. doi:10.1016/j.media.2020.101779</w:t>
      </w:r>
    </w:p>
    <w:p>
      <w:pPr>
        <w:spacing w:after="160" w:line="360" w:lineRule="auto"/>
      </w:pPr>
      <w:r>
        <w:rPr>
          <w:rFonts w:ascii="Arial" w:hAnsi="Arial"/>
          <w:color w:val="000000"/>
          <w:sz w:val="22"/>
        </w:rPr>
        <w:t>36. Echle A, et al. Deep learning in histopathology: a systematic review and meta-analysis of diagnostic accuracy. Nat Med. 2021;27:1645-1654. doi:10.1038/s41591-021-01517-w</w:t>
      </w:r>
    </w:p>
    <w:p>
      <w:pPr>
        <w:spacing w:after="160" w:line="360" w:lineRule="auto"/>
      </w:pPr>
      <w:r>
        <w:rPr>
          <w:rFonts w:ascii="Arial" w:hAnsi="Arial"/>
          <w:color w:val="000000"/>
          <w:sz w:val="22"/>
        </w:rPr>
        <w:t>37. Coudray N, et al. Classification and mutation prediction from non–small cell lung cancer histopathology images using deep learning. Nat Med. 2018;24:1559-1567. doi:10.1038/s41591-018-0177-5</w:t>
      </w:r>
    </w:p>
    <w:p>
      <w:pPr>
        <w:spacing w:after="160" w:line="360" w:lineRule="auto"/>
      </w:pPr>
      <w:r>
        <w:rPr>
          <w:rFonts w:ascii="Arial" w:hAnsi="Arial"/>
          <w:color w:val="000000"/>
          <w:sz w:val="22"/>
        </w:rPr>
        <w:t>38. Bulten W, et al. Automated deep-learning system for Gleason grading of prostate cancer using biopsies. Lancet Oncol. 2020;21:1643-1651. doi:10.1016/s1470-2045(20)30559-x</w:t>
      </w:r>
    </w:p>
    <w:p>
      <w:pPr>
        <w:spacing w:after="160" w:line="360" w:lineRule="auto"/>
      </w:pPr>
      <w:r>
        <w:rPr>
          <w:rFonts w:ascii="Arial" w:hAnsi="Arial"/>
          <w:color w:val="000000"/>
          <w:sz w:val="22"/>
        </w:rPr>
        <w:t>39. Kather JN, et al. Deep learning can predict microsatellite instability directly from histology in gastrointestinal cancer. Nat Med. 2019;25:1634-1643. doi:10.1038/s41591-019-0462-y</w:t>
      </w:r>
    </w:p>
    <w:p>
      <w:pPr>
        <w:spacing w:after="160" w:line="360" w:lineRule="auto"/>
      </w:pPr>
      <w:r>
        <w:rPr>
          <w:rFonts w:ascii="Arial" w:hAnsi="Arial"/>
          <w:color w:val="000000"/>
          <w:sz w:val="22"/>
        </w:rPr>
        <w:t>40. Kather JN, et al. Pan-cancer histopathology image-based tumor classification. Nat Med. 2020;26:1070-1074. doi:10.1038/s41591-020-0930-7</w:t>
      </w:r>
    </w:p>
    <w:p>
      <w:pPr>
        <w:spacing w:after="160" w:line="360" w:lineRule="auto"/>
      </w:pPr>
      <w:r>
        <w:rPr>
          <w:rFonts w:ascii="Arial" w:hAnsi="Arial"/>
          <w:color w:val="000000"/>
          <w:sz w:val="22"/>
        </w:rPr>
        <w:t>41. Esteva A, et al. Dermatologist-level classification of skin cancer with deep neural networks. Nature. 2017;542:115-118. doi:10.1038/nature21056</w:t>
      </w:r>
    </w:p>
    <w:p>
      <w:pPr>
        <w:spacing w:after="160" w:line="360" w:lineRule="auto"/>
      </w:pPr>
      <w:r>
        <w:rPr>
          <w:rFonts w:ascii="Arial" w:hAnsi="Arial"/>
          <w:color w:val="000000"/>
          <w:sz w:val="22"/>
        </w:rPr>
        <w:t>42. Howard FM, et al. The impact of site-specific staining style on deep learning model performance in histopathology. Med Image Anal. 2023;80:102514. doi:10.1016/j.media.2022.102514</w:t>
      </w:r>
    </w:p>
    <w:p>
      <w:pPr>
        <w:spacing w:after="160" w:line="360" w:lineRule="auto"/>
      </w:pPr>
      <w:r>
        <w:rPr>
          <w:rFonts w:ascii="Arial" w:hAnsi="Arial"/>
          <w:color w:val="000000"/>
          <w:sz w:val="22"/>
        </w:rPr>
        <w:t>43. van der Laak J, Litjens G, Ciompi F. Deep extraction of features from histopathology images for diagnosis and prognosis. Annu Rev Biomed Data Sci. 2021;4:71-95. doi:10.1146/annurev-biodatasci-092820-044622</w:t>
      </w:r>
    </w:p>
    <w:p>
      <w:pPr>
        <w:spacing w:after="160" w:line="360" w:lineRule="auto"/>
      </w:pPr>
      <w:r>
        <w:rPr>
          <w:rFonts w:ascii="Arial" w:hAnsi="Arial"/>
          <w:color w:val="000000"/>
          <w:sz w:val="22"/>
        </w:rPr>
        <w:t>44. Bejnordi BE, et al. Diagnostic assessment of deep learning algorithms for detection of lymph node metastases in women with breast cancer. JAMA. 2017;318:2199-2210. doi:10.1001/jama.2017.14585</w:t>
      </w:r>
    </w:p>
    <w:p>
      <w:pPr>
        <w:spacing w:after="160" w:line="360" w:lineRule="auto"/>
      </w:pPr>
      <w:r>
        <w:rPr>
          <w:rFonts w:ascii="Arial" w:hAnsi="Arial"/>
          <w:color w:val="000000"/>
          <w:sz w:val="22"/>
        </w:rPr>
        <w:t>45. Liu Y, et al. Detecting cancer metastases on gigapixel pathology images. arXiv:1703.02442. 2017.</w:t>
      </w:r>
    </w:p>
    <w:p>
      <w:pPr>
        <w:spacing w:after="160" w:line="360" w:lineRule="auto"/>
      </w:pPr>
      <w:r>
        <w:rPr>
          <w:rFonts w:ascii="Arial" w:hAnsi="Arial"/>
          <w:color w:val="000000"/>
          <w:sz w:val="22"/>
        </w:rPr>
        <w:t>46. Bandi P, et al. From detection of individual metastases to classification of lymph node status at the patient level: the CAMELYON17 challenge. IEEE Trans Med Imaging. 2019;38:550-560.</w:t>
      </w:r>
    </w:p>
    <w:p>
      <w:pPr>
        <w:spacing w:after="160" w:line="360" w:lineRule="auto"/>
      </w:pPr>
      <w:r>
        <w:rPr>
          <w:rFonts w:ascii="Arial" w:hAnsi="Arial"/>
          <w:color w:val="000000"/>
          <w:sz w:val="22"/>
        </w:rPr>
        <w:t>47. van der Laak J, et al. Self-supervised learning in histopathology: a systematic review. Med Image Anal. 2024;92:103082. doi:10.1016/j.media.2024.103082</w:t>
      </w:r>
    </w:p>
    <w:p>
      <w:pPr>
        <w:spacing w:after="160" w:line="360" w:lineRule="auto"/>
      </w:pPr>
      <w:r>
        <w:rPr>
          <w:rFonts w:ascii="Arial" w:hAnsi="Arial"/>
          <w:color w:val="000000"/>
          <w:sz w:val="22"/>
        </w:rPr>
        <w:t>48. Skrede OJ, et al. Deep learning for prediction of colorectal cancer outcome. Nat Commun. 2020;11:3937. doi:10.1038/s41467-020-17729-6</w:t>
      </w:r>
    </w:p>
    <w:p>
      <w:pPr>
        <w:spacing w:after="160" w:line="360" w:lineRule="auto"/>
      </w:pPr>
      <w:r>
        <w:rPr>
          <w:rFonts w:ascii="Arial" w:hAnsi="Arial"/>
          <w:color w:val="000000"/>
          <w:sz w:val="22"/>
        </w:rPr>
        <w:t>49. Tomita N, Abdollahi B, Wei J, et al. Attention-based deep learning for diagnosing breast cancer from whole-slide images. J Pathol Inform. 2019;10:26. doi:10.4103/jpi.jpi_2_19</w:t>
      </w:r>
    </w:p>
    <w:p>
      <w:pPr>
        <w:spacing w:after="160" w:line="360" w:lineRule="auto"/>
      </w:pPr>
      <w:r>
        <w:rPr>
          <w:rFonts w:ascii="Arial" w:hAnsi="Arial"/>
          <w:color w:val="000000"/>
          <w:sz w:val="22"/>
        </w:rPr>
        <w:t>50. Kather JN, Weis CA, Bianconi F, et al. Multi-class texture analysis in colorectal cancer histology. Sci Rep. 2016;6:27988. doi:10.1038/srep27988</w:t>
      </w:r>
    </w:p>
    <w:p>
      <w:pPr>
        <w:spacing w:after="160" w:line="360" w:lineRule="auto"/>
      </w:pPr>
      <w:r>
        <w:rPr>
          <w:rFonts w:ascii="Arial" w:hAnsi="Arial"/>
          <w:color w:val="000000"/>
          <w:sz w:val="22"/>
        </w:rPr>
        <w:t>51. Zhou K, Yang Y, Qiao Y, et al. MixStyle: implicit domain generalization and augmentation for medical images. Med Image Anal. 2021;70:102021. doi:10.1016/j.media.2021.102021</w:t>
      </w:r>
    </w:p>
    <w:p>
      <w:pPr>
        <w:spacing w:after="160" w:line="360" w:lineRule="auto"/>
      </w:pPr>
      <w:r>
        <w:rPr>
          <w:rFonts w:ascii="Arial" w:hAnsi="Arial"/>
          <w:color w:val="000000"/>
          <w:sz w:val="22"/>
        </w:rPr>
        <w:t>52. Xu Q, Zhang R, Zhang Y, et al. A Fourier-based framework for domain generalization. Proc CVPR. 2021:14383-14392.</w:t>
      </w:r>
    </w:p>
    <w:p>
      <w:pPr>
        <w:spacing w:after="160" w:line="360" w:lineRule="auto"/>
      </w:pPr>
      <w:r>
        <w:rPr>
          <w:rFonts w:ascii="Arial" w:hAnsi="Arial"/>
          <w:color w:val="000000"/>
          <w:sz w:val="22"/>
        </w:rPr>
        <w:t>53. Guo C, Pleiss G, Sun Y, Weinberger KQ. On calibration of modern neural networks. Proc ICML. 2017:1321-1330.</w:t>
      </w:r>
    </w:p>
    <w:p>
      <w:pPr>
        <w:spacing w:after="160" w:line="360" w:lineRule="auto"/>
      </w:pPr>
      <w:r>
        <w:rPr>
          <w:rFonts w:ascii="Arial" w:hAnsi="Arial"/>
          <w:color w:val="000000"/>
          <w:sz w:val="22"/>
        </w:rPr>
        <w:t>54. Vickers AJ, Elkin EB. Decision curve analysis: a novel method for evaluating prediction models. Med Decis Making. 2006;26(6):565-574. doi:10.1177/0272989x06295361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