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jc w:val="center"/>
        <w:rPr/>
      </w:pPr>
      <w:r>
        <w:rPr/>
        <w:t>1. Karta założeń Fundacji reCreatio</w:t>
      </w:r>
    </w:p>
    <w:p>
      <w:pPr>
        <w:pStyle w:val="Normal"/>
        <w:jc w:val="center"/>
        <w:rPr/>
      </w:pPr>
      <w:r>
        <w:rPr>
          <w:rFonts w:eastAsia="Aptos"/>
          <w:i/>
          <w:color w:val="5F5F5F"/>
          <w:sz w:val="22"/>
        </w:rPr>
        <w:t>wersja do uzgodnienia przed sporządzeniem aktu notarialnego</w:t>
      </w:r>
    </w:p>
    <w:tbl>
      <w:tblPr>
        <w:tblW w:w="9746" w:type="dxa"/>
        <w:jc w:val="center"/>
        <w:tblInd w:w="0" w:type="dxa"/>
        <w:tblLayout w:type="fixed"/>
        <w:tblCellMar>
          <w:top w:w="120" w:type="dxa"/>
          <w:left w:w="140" w:type="dxa"/>
          <w:bottom w:w="120" w:type="dxa"/>
          <w:right w:w="140" w:type="dxa"/>
        </w:tblCellMar>
        <w:tblLook w:firstRow="1" w:noVBand="1" w:lastRow="0" w:firstColumn="1" w:lastColumn="0" w:noHBand="0" w:val="04a0"/>
      </w:tblPr>
      <w:tblGrid>
        <w:gridCol w:w="9746"/>
      </w:tblGrid>
      <w:tr>
        <w:trPr/>
        <w:tc>
          <w:tcPr>
            <w:tcW w:w="9746" w:type="dxa"/>
            <w:tcBorders/>
            <w:shd w:fill="EAF1F5"/>
          </w:tcPr>
          <w:p>
            <w:pPr>
              <w:pStyle w:val="Normal"/>
              <w:widowControl w:val="false"/>
              <w:spacing w:before="0" w:after="80"/>
              <w:rPr/>
            </w:pPr>
            <w:r>
              <w:rPr>
                <w:rFonts w:eastAsia="Aptos"/>
                <w:i/>
                <w:color w:val="1E1E1E"/>
                <w:sz w:val="18"/>
              </w:rPr>
              <w:t>Dokument zawiera pola oznaczone nawiasami kwadratowymi, które należy uzupełnić przed podpisaniem. Nie jest to wypis aktu notarialnego ani porada zastępująca indywidualną analizę prawną, podatkową, turystyczną i kanoniczną.</w:t>
            </w:r>
          </w:p>
        </w:tc>
      </w:tr>
    </w:tbl>
    <w:p>
      <w:pPr>
        <w:pStyle w:val="Normal"/>
        <w:rPr/>
      </w:pPr>
      <w:r>
        <w:rPr/>
      </w:r>
    </w:p>
    <w:p>
      <w:pPr>
        <w:pStyle w:val="Berschrift1"/>
        <w:rPr/>
      </w:pPr>
      <w:r>
        <w:rPr/>
        <w:t>A. Najważniejsze decyzje</w:t>
      </w:r>
    </w:p>
    <w:tbl>
      <w:tblPr>
        <w:tblStyle w:val="TableGrid"/>
        <w:tblW w:w="97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872"/>
        <w:gridCol w:w="4871"/>
      </w:tblGrid>
      <w:tr>
        <w:trPr>
          <w:tblHeader w:val="true"/>
        </w:trPr>
        <w:tc>
          <w:tcPr>
            <w:tcW w:w="4872" w:type="dxa"/>
            <w:tcBorders/>
            <w:shd w:fill="EAF1F5"/>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Obszar</w:t>
            </w:r>
          </w:p>
        </w:tc>
        <w:tc>
          <w:tcPr>
            <w:tcW w:w="4871" w:type="dxa"/>
            <w:tcBorders/>
            <w:shd w:fill="EAF1F5"/>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Ustalenie</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Nazwa</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Fundacja reCreatio</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Znaczenie nazwy</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odnowienie, odpoczynek i rekreacja, ponowne odkrywanie człowieka, odnowa duchowa, integralny rozwój oraz nowe stworzenie w Chrystusie</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Siedziba</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Limanowa</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Adres roboczy</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ul. Żuławskiego 3E, 34-600 Limanowa</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Teren działania</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Rzeczpospolita Polska i zagranica; współpraca międzynarodowa</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Czas działania</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nieoznaczony</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Fundatorzy</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 xml:space="preserve">1) Michael Mleczek; 2) </w:t>
            </w:r>
            <w:r>
              <w:rPr>
                <w:rFonts w:eastAsia="ＭＳ 明朝" w:cs=""/>
                <w:kern w:val="0"/>
                <w:szCs w:val="22"/>
                <w:lang w:val="en-US" w:eastAsia="en-US" w:bidi="ar-SA"/>
              </w:rPr>
              <w:t>Mieczysław Antoni Mleczek</w:t>
            </w:r>
            <w:r>
              <w:rPr>
                <w:rFonts w:eastAsia="ＭＳ 明朝" w:cs=""/>
                <w:kern w:val="0"/>
                <w:szCs w:val="22"/>
                <w:lang w:val="en-US" w:eastAsia="en-US" w:bidi="ar-SA"/>
              </w:rPr>
              <w:t xml:space="preserve">; 3) </w:t>
            </w:r>
            <w:r>
              <w:rPr>
                <w:rFonts w:eastAsia="ＭＳ 明朝" w:cs=""/>
                <w:kern w:val="0"/>
                <w:szCs w:val="22"/>
                <w:lang w:val="en-US" w:eastAsia="en-US" w:bidi="ar-SA"/>
              </w:rPr>
              <w:t>Mariola Fotin-Mleczek</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Fundusz założycielski</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10 000 zł, w tym 3 000 zł przeznaczone na działalność gospodarczą</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Proponowany podział wkładów</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Michael Mleczek – 6 000 zł; ojciec – 2 000 zł; matka – 2 000 zł</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Zarząd</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1–3 osoby; pierwszym Prezesem ks. Michael Mleczek; kadencja 5 lat; możliwe odwołanie i ponowne powołanie</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Rada Fundatorów i Rodziny</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2–5 osób; początkowo rodzice; członkostwo na czas nieoznaczony</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Przyszły status OPP</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tak, nie wcześniej niż po spełnieniu ustawowych warunków; Komisja Rewizyjna powoływana przed wnioskiem o OPP</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Działalność gospodarcza</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wyłącznie dodatkowa i służebna wobec celów statutowych; całość dochodu na realizację tych celów</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Rekomendowany minister</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minister właściwy do spraw wyznań religijnych – obecnie Minister Spraw Wewnętrznych i Administracji</w:t>
            </w:r>
          </w:p>
        </w:tc>
      </w:tr>
      <w:tr>
        <w:trPr>
          <w:cantSplit w:val="true"/>
        </w:trPr>
        <w:tc>
          <w:tcPr>
            <w:tcW w:w="4872"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Rok obrotowy</w:t>
            </w:r>
          </w:p>
        </w:tc>
        <w:tc>
          <w:tcPr>
            <w:tcW w:w="4871" w:type="dxa"/>
            <w:tcBorders/>
            <w:tcMar>
              <w:top w:w="100" w:type="dxa"/>
              <w:left w:w="100" w:type="dxa"/>
              <w:bottom w:w="100" w:type="dxa"/>
              <w:right w:w="100" w:type="dxa"/>
            </w:tcMar>
          </w:tcPr>
          <w:p>
            <w:pPr>
              <w:pStyle w:val="Normal"/>
              <w:widowControl/>
              <w:spacing w:before="0" w:after="80"/>
              <w:jc w:val="left"/>
              <w:rPr>
                <w:rFonts w:eastAsia="ＭＳ 明朝" w:cs=""/>
                <w:kern w:val="0"/>
                <w:szCs w:val="22"/>
                <w:lang w:val="en-US" w:eastAsia="en-US" w:bidi="ar-SA"/>
              </w:rPr>
            </w:pPr>
            <w:r>
              <w:rPr>
                <w:rFonts w:eastAsia="ＭＳ 明朝" w:cs=""/>
                <w:kern w:val="0"/>
                <w:szCs w:val="22"/>
                <w:lang w:val="en-US" w:eastAsia="en-US" w:bidi="ar-SA"/>
              </w:rPr>
              <w:t>rok kalendarzowy</w:t>
            </w:r>
          </w:p>
        </w:tc>
      </w:tr>
    </w:tbl>
    <w:p>
      <w:pPr>
        <w:pStyle w:val="Berschrift1"/>
        <w:rPr/>
      </w:pPr>
      <w:r>
        <w:rPr/>
        <w:t>B. Misja i hierarchia celów</w:t>
      </w:r>
    </w:p>
    <w:p>
      <w:pPr>
        <w:pStyle w:val="Normal"/>
        <w:rPr/>
      </w:pPr>
      <w:r>
        <w:rPr>
          <w:rFonts w:eastAsia="Aptos"/>
          <w:sz w:val="21"/>
        </w:rPr>
        <w:t>Fundacja ma być rodzinnym, świeckim podmiotem prawa cywilnego, inspirowanym Ewangelią i chrześcijańską wizją człowieka. Nie będzie kościelną osobą prawną ani nie będzie używać w nazwie określenia „katolicka”.</w:t>
      </w:r>
    </w:p>
    <w:p>
      <w:pPr>
        <w:pStyle w:val="Normal"/>
        <w:rPr/>
      </w:pPr>
      <w:r>
        <w:rPr>
          <w:rFonts w:eastAsia="Aptos"/>
          <w:sz w:val="21"/>
        </w:rPr>
        <w:t>Duchowość, ewangelizacja i kult religijny stanowią fundament. Z tego fundamentu wynikają cele dotyczące integralnego rozwoju człowieka, małżeństwa i rodziny, wychowania dzieci i młodzieży, edukacji, kultury, nauki, profilaktyki zdrowia psychicznego i fizycznego, sportu, rekreacji, turystyki oraz współpracy międzynarodowej.</w:t>
      </w:r>
    </w:p>
    <w:p>
      <w:pPr>
        <w:pStyle w:val="Normal"/>
        <w:rPr/>
      </w:pPr>
      <w:r>
        <w:rPr>
          <w:rFonts w:eastAsia="Aptos"/>
          <w:sz w:val="21"/>
        </w:rPr>
        <w:t>Działania mają być otwarte dla wszystkich osób, niezależnie od wyznania lub światopoglądu, z poszanowaniem dobrowolności uczestnictwa oraz chrześcijańskiej tożsamości Fundacji.</w:t>
      </w:r>
    </w:p>
    <w:p>
      <w:pPr>
        <w:pStyle w:val="Berschrift1"/>
        <w:rPr/>
      </w:pPr>
      <w:r>
        <w:rPr/>
        <w:t>C. Model majątkowy ośrodka</w:t>
      </w:r>
    </w:p>
    <w:p>
      <w:pPr>
        <w:pStyle w:val="ListBullet"/>
        <w:numPr>
          <w:ilvl w:val="0"/>
          <w:numId w:val="1"/>
        </w:numPr>
        <w:ind w:left="340" w:hanging="170"/>
        <w:rPr/>
      </w:pPr>
      <w:r>
        <w:rPr>
          <w:rFonts w:eastAsia="Aptos"/>
          <w:sz w:val="21"/>
        </w:rPr>
        <w:t>Nieruchomość i budowany ośrodek pozostają prywatną własnością ks. Michaela Mleczka i nie są wnoszone do Fundacji.</w:t>
      </w:r>
    </w:p>
    <w:p>
      <w:pPr>
        <w:pStyle w:val="ListBullet"/>
        <w:numPr>
          <w:ilvl w:val="0"/>
          <w:numId w:val="1"/>
        </w:numPr>
        <w:ind w:left="340" w:hanging="170"/>
        <w:rPr/>
      </w:pPr>
      <w:r>
        <w:rPr>
          <w:rFonts w:eastAsia="Aptos"/>
          <w:sz w:val="21"/>
        </w:rPr>
        <w:t>Po rejestracji Fundacja może zawrzeć całoroczną umowę najmu, obejmującą prawo podnajmu, świadczenia usług noclegowych, organizowania wydarzeń i udostępniania kuchni.</w:t>
      </w:r>
    </w:p>
    <w:p>
      <w:pPr>
        <w:pStyle w:val="ListBullet"/>
        <w:numPr>
          <w:ilvl w:val="0"/>
          <w:numId w:val="1"/>
        </w:numPr>
        <w:ind w:left="340" w:hanging="170"/>
        <w:rPr/>
      </w:pPr>
      <w:r>
        <w:rPr>
          <w:rFonts w:eastAsia="Aptos"/>
          <w:sz w:val="21"/>
        </w:rPr>
        <w:t>Każda umowa z Prezesem, fundatorem lub osobą bliską wymaga zgody Rady, udokumentowania warunków rynkowych i podpisania w imieniu Fundacji przez osobę wskazaną przez Radę.</w:t>
      </w:r>
    </w:p>
    <w:p>
      <w:pPr>
        <w:pStyle w:val="ListBullet"/>
        <w:numPr>
          <w:ilvl w:val="0"/>
          <w:numId w:val="1"/>
        </w:numPr>
        <w:ind w:left="340" w:hanging="170"/>
        <w:rPr/>
      </w:pPr>
      <w:r>
        <w:rPr>
          <w:rFonts w:eastAsia="Aptos"/>
          <w:sz w:val="21"/>
        </w:rPr>
        <w:t>Nakłady Fundacji na prywatną nieruchomość wymagają odrębnego rozliczenia: zwrotu, obniżenia czynszu, gwarantowanego okresu najmu lub innego równoważnego zabezpieczenia.</w:t>
      </w:r>
    </w:p>
    <w:p>
      <w:pPr>
        <w:pStyle w:val="Berschrift1"/>
        <w:rPr/>
      </w:pPr>
      <w:r>
        <w:rPr/>
        <w:t>D. Działalność i rozdzielenie prawne</w:t>
      </w:r>
    </w:p>
    <w:p>
      <w:pPr>
        <w:pStyle w:val="ListBullet"/>
        <w:numPr>
          <w:ilvl w:val="0"/>
          <w:numId w:val="1"/>
        </w:numPr>
        <w:ind w:left="340" w:hanging="170"/>
        <w:rPr/>
      </w:pPr>
      <w:r>
        <w:rPr>
          <w:rFonts w:eastAsia="Aptos"/>
          <w:sz w:val="21"/>
        </w:rPr>
        <w:t>Działalność nieodpłatna: bezpłatne spotkania, materiały, formacja, pomoc edukacyjna i inne działania bez wynagrodzenia.</w:t>
      </w:r>
    </w:p>
    <w:p>
      <w:pPr>
        <w:pStyle w:val="ListBullet"/>
        <w:numPr>
          <w:ilvl w:val="0"/>
          <w:numId w:val="1"/>
        </w:numPr>
        <w:ind w:left="340" w:hanging="170"/>
        <w:rPr/>
      </w:pPr>
      <w:r>
        <w:rPr>
          <w:rFonts w:eastAsia="Aptos"/>
          <w:sz w:val="21"/>
        </w:rPr>
        <w:t>Działalność odpłatna pożytku publicznego: wynagrodzenie pobierane wyłącznie za działania mieszczące się w ustawowej sferze zadań publicznych, z wyodrębnioną rachunkowością. Sama zgodność działania ze Statutem nie wystarcza do uznania go za działalność pożytku publicznego.</w:t>
      </w:r>
    </w:p>
    <w:p>
      <w:pPr>
        <w:pStyle w:val="ListBullet"/>
        <w:numPr>
          <w:ilvl w:val="0"/>
          <w:numId w:val="1"/>
        </w:numPr>
        <w:ind w:left="340" w:hanging="170"/>
        <w:rPr/>
      </w:pPr>
      <w:r>
        <w:rPr>
          <w:rFonts w:eastAsia="Aptos"/>
          <w:sz w:val="21"/>
        </w:rPr>
        <w:t>Działalność gospodarcza: m.in. kompleksowe pielgrzymki, noclegi, podnajem, konferencje, publikacje i wypożyczanie sprzętu; dodatkowa wobec misji Fundacji.</w:t>
      </w:r>
    </w:p>
    <w:p>
      <w:pPr>
        <w:pStyle w:val="ListBullet"/>
        <w:numPr>
          <w:ilvl w:val="0"/>
          <w:numId w:val="1"/>
        </w:numPr>
        <w:ind w:left="340" w:hanging="170"/>
        <w:rPr/>
      </w:pPr>
      <w:r>
        <w:rPr>
          <w:rFonts w:eastAsia="Aptos"/>
          <w:sz w:val="21"/>
        </w:rPr>
        <w:t>Ten sam konkretny przedmiot działalności nie powinien być jednocześnie prowadzony jako odpłatna działalność pożytku publicznego i działalność gospodarcza.</w:t>
      </w:r>
    </w:p>
    <w:p>
      <w:pPr>
        <w:pStyle w:val="ListBullet"/>
        <w:numPr>
          <w:ilvl w:val="0"/>
          <w:numId w:val="1"/>
        </w:numPr>
        <w:ind w:left="340" w:hanging="170"/>
        <w:rPr/>
      </w:pPr>
      <w:r>
        <w:rPr>
          <w:rFonts w:eastAsia="Aptos"/>
          <w:sz w:val="21"/>
        </w:rPr>
        <w:t>Książka może być przekazywana bezpłatnie, a darowizna musi pozostać dobrowolna i niezależna od otrzymania publikacji; w przeciwnym razie świadczenie należy rozliczać jako sprzedaż.</w:t>
      </w:r>
    </w:p>
    <w:p>
      <w:pPr>
        <w:pStyle w:val="Berschrift1"/>
        <w:rPr/>
      </w:pPr>
      <w:r>
        <w:rPr/>
        <w:t>E. Ryzyka wymagające osobnych działań</w:t>
      </w:r>
    </w:p>
    <w:p>
      <w:pPr>
        <w:pStyle w:val="Normal"/>
        <w:rPr/>
      </w:pPr>
      <w:r>
        <w:rPr>
          <w:rFonts w:eastAsia="Aptos"/>
          <w:b/>
          <w:sz w:val="21"/>
        </w:rPr>
        <w:t xml:space="preserve">Pielgrzymki jako pakiet: </w:t>
      </w:r>
      <w:r>
        <w:rPr>
          <w:rFonts w:eastAsia="Aptos"/>
          <w:sz w:val="21"/>
        </w:rPr>
        <w:t>Transport, nocleg, wyżywienie i ubezpieczenie sprzedawane łącznie tworzą co do zasady imprezę turystyczną. Przed rozpoczęciem działalności potrzebny będzie wpis organizatora turystyki do rejestru prowadzonego przez Marszałka Województwa Małopolskiego, właściwe zabezpieczenie finansowe oraz wdrożenie obowiązków wobec podróżnych i funduszy turystycznych.</w:t>
      </w:r>
    </w:p>
    <w:p>
      <w:pPr>
        <w:pStyle w:val="Normal"/>
        <w:rPr/>
      </w:pPr>
      <w:r>
        <w:rPr>
          <w:rFonts w:eastAsia="Aptos"/>
          <w:b/>
          <w:sz w:val="21"/>
        </w:rPr>
        <w:t xml:space="preserve">Pozwolenie ordynariusza: </w:t>
      </w:r>
      <w:r>
        <w:rPr>
          <w:rFonts w:eastAsia="Aptos"/>
          <w:sz w:val="21"/>
        </w:rPr>
        <w:t>Przed aktem notarialnym należy uzyskać pisemne potwierdzenie zgody obejmujące co najmniej utworzenie Fundacji i sprawowanie funkcji Prezesa. Warto objąć nim również działalność gospodarczą, umowę najmu prywatnego ośrodka, organizowanie turystyki i ewentualne wynagrodzenie.</w:t>
      </w:r>
    </w:p>
    <w:p>
      <w:pPr>
        <w:pStyle w:val="Normal"/>
        <w:rPr/>
      </w:pPr>
      <w:r>
        <w:rPr>
          <w:rFonts w:eastAsia="Aptos"/>
          <w:b/>
          <w:sz w:val="21"/>
        </w:rPr>
        <w:t xml:space="preserve">Kucharka: </w:t>
      </w:r>
      <w:r>
        <w:rPr>
          <w:rFonts w:eastAsia="Aptos"/>
          <w:sz w:val="21"/>
        </w:rPr>
        <w:t>Regularne przygotowywanie posiłków co do zasady nie powinno być automatycznie kwalifikowane jako umowa o dzieło. Model zatrudnienia należy ustalić z księgowym lub prawnikiem: umowa o pracę, zlecenie albo B2B/catering, zależnie od realnego sposobu pracy.</w:t>
      </w:r>
    </w:p>
    <w:p>
      <w:pPr>
        <w:pStyle w:val="Normal"/>
        <w:rPr/>
      </w:pPr>
      <w:r>
        <w:rPr>
          <w:rFonts w:eastAsia="Aptos"/>
          <w:b/>
          <w:sz w:val="21"/>
        </w:rPr>
        <w:t xml:space="preserve">Ośrodek: </w:t>
      </w:r>
      <w:r>
        <w:rPr>
          <w:rFonts w:eastAsia="Aptos"/>
          <w:sz w:val="21"/>
        </w:rPr>
        <w:t>Przed przyjmowaniem gości wymagane będą m.in. dopuszczenie do użytkowania, dokumentacja przeciwpożarowa i sanitarna, ewidencja obiektu noclegowego, ubezpieczenie, regulaminy, RODO i standardy ochrony małoletnich.</w:t>
      </w:r>
    </w:p>
    <w:p>
      <w:pPr>
        <w:pStyle w:val="Normal"/>
        <w:rPr/>
      </w:pPr>
      <w:r>
        <w:rPr>
          <w:rFonts w:eastAsia="Aptos"/>
          <w:b/>
          <w:sz w:val="21"/>
        </w:rPr>
        <w:t xml:space="preserve">OPP: </w:t>
      </w:r>
      <w:r>
        <w:rPr>
          <w:rFonts w:eastAsia="Aptos"/>
          <w:sz w:val="21"/>
        </w:rPr>
        <w:t>Przed złożeniem wniosku o status OPP trzeba powołać niezależną Komisję Rewizyjną, której członkowie nie będą spokrewnieni z członkami Zarządu ani im podlegli. Po uzyskaniu statusu OPP nadwyżka przychodów nad kosztami musi być przeznaczana na działalność pożytku publicznego, a nie dowolny cel statutowy; działalność czysto kultowa nie jest sama w sobie ustawową sferą zadań publicznych.</w:t>
      </w:r>
    </w:p>
    <w:p>
      <w:pPr>
        <w:pStyle w:val="Berschrift1"/>
        <w:rPr/>
      </w:pPr>
      <w:r>
        <w:rPr/>
        <w:t>F. Rekomendowany termin</w:t>
      </w:r>
    </w:p>
    <w:p>
      <w:pPr>
        <w:pStyle w:val="Normal"/>
        <w:rPr/>
      </w:pPr>
      <w:r>
        <w:rPr>
          <w:rFonts w:eastAsia="Aptos"/>
          <w:sz w:val="21"/>
        </w:rPr>
        <w:t>Jeżeli dokumenty, pisemna zgoda ordynariusza i obsługa księgowa będą gotowe, rekomendowany jest styczeń 2027 r. Daje to pełny, czytelny rok obrotowy i wcześniej rozpoczyna okres faktycznej działalności potrzebny później do ubiegania się o OPP. Rejestracja w maju 2027 r. oznaczałaby krótki pierwszy rok obrotowy zakończony 31 grudnia 2027 r. bez szczególnej korzyści księgowej. Nie należy jednak przyspieszać rejestracji kosztem jakości dokumentów lub braku zezwoleń.</w:t>
      </w:r>
    </w:p>
    <w:p>
      <w:pPr>
        <w:pStyle w:val="Berschrift1"/>
        <w:rPr/>
      </w:pPr>
      <w:r>
        <w:rPr/>
        <w:t>G. Dane obowiązkowo uzupełniane przed podpisaniem</w:t>
      </w:r>
    </w:p>
    <w:p>
      <w:pPr>
        <w:pStyle w:val="ListBullet"/>
        <w:numPr>
          <w:ilvl w:val="0"/>
          <w:numId w:val="1"/>
        </w:numPr>
        <w:ind w:left="340" w:hanging="170"/>
        <w:rPr/>
      </w:pPr>
      <w:r>
        <w:rPr>
          <w:rFonts w:eastAsia="Aptos"/>
          <w:sz w:val="21"/>
        </w:rPr>
        <w:t>pełne imiona, nazwiska, PESEL, obywatelstwo i adresy obojga rodziców;</w:t>
      </w:r>
    </w:p>
    <w:p>
      <w:pPr>
        <w:pStyle w:val="ListBullet"/>
        <w:numPr>
          <w:ilvl w:val="0"/>
          <w:numId w:val="1"/>
        </w:numPr>
        <w:ind w:left="340" w:hanging="170"/>
        <w:rPr/>
      </w:pPr>
      <w:r>
        <w:rPr>
          <w:rFonts w:eastAsia="Aptos"/>
          <w:sz w:val="21"/>
        </w:rPr>
        <w:t>PESEL, obywatelstwo i dokładny adres do doręczeń Michaela Mleczka;</w:t>
      </w:r>
    </w:p>
    <w:p>
      <w:pPr>
        <w:pStyle w:val="ListBullet"/>
        <w:numPr>
          <w:ilvl w:val="0"/>
          <w:numId w:val="1"/>
        </w:numPr>
        <w:ind w:left="340" w:hanging="170"/>
        <w:rPr/>
      </w:pPr>
      <w:r>
        <w:rPr>
          <w:rFonts w:eastAsia="Aptos"/>
          <w:sz w:val="21"/>
        </w:rPr>
        <w:t>potwierdzenie, że imię „Michael” odpowiada dokumentowi tożsamości;</w:t>
      </w:r>
    </w:p>
    <w:p>
      <w:pPr>
        <w:pStyle w:val="ListBullet"/>
        <w:numPr>
          <w:ilvl w:val="0"/>
          <w:numId w:val="1"/>
        </w:numPr>
        <w:ind w:left="340" w:hanging="170"/>
        <w:rPr/>
      </w:pPr>
      <w:r>
        <w:rPr>
          <w:rFonts w:eastAsia="Aptos"/>
          <w:sz w:val="21"/>
        </w:rPr>
        <w:t>ostateczny podział wkładów 6 000 / 2 000 / 2 000 zł albo inny podział sumujący się do 10 000 zł;</w:t>
      </w:r>
    </w:p>
    <w:p>
      <w:pPr>
        <w:pStyle w:val="ListBullet"/>
        <w:numPr>
          <w:ilvl w:val="0"/>
          <w:numId w:val="1"/>
        </w:numPr>
        <w:ind w:left="340" w:hanging="170"/>
        <w:rPr/>
      </w:pPr>
      <w:r>
        <w:rPr>
          <w:rFonts w:eastAsia="Aptos"/>
          <w:sz w:val="21"/>
        </w:rPr>
        <w:t>dokładna data i miejsce podpisania oraz dane kancelarii notarialnej;</w:t>
      </w:r>
    </w:p>
    <w:p>
      <w:pPr>
        <w:pStyle w:val="ListBullet"/>
        <w:numPr>
          <w:ilvl w:val="0"/>
          <w:numId w:val="1"/>
        </w:numPr>
        <w:ind w:left="340" w:hanging="170"/>
        <w:rPr/>
      </w:pPr>
      <w:r>
        <w:rPr>
          <w:rFonts w:eastAsia="Aptos"/>
          <w:sz w:val="21"/>
        </w:rPr>
        <w:t>pisemna zgoda ordynariusza;</w:t>
      </w:r>
    </w:p>
    <w:p>
      <w:pPr>
        <w:pStyle w:val="ListBullet"/>
        <w:numPr>
          <w:ilvl w:val="0"/>
          <w:numId w:val="1"/>
        </w:numPr>
        <w:ind w:left="340" w:hanging="170"/>
        <w:rPr/>
      </w:pPr>
      <w:r>
        <w:rPr>
          <w:rFonts w:eastAsia="Aptos"/>
          <w:sz w:val="21"/>
        </w:rPr>
        <w:t>pełne dane pierwszych członków Rady oraz ich adresy do doręczeń;</w:t>
      </w:r>
    </w:p>
    <w:p>
      <w:pPr>
        <w:pStyle w:val="ListBullet"/>
        <w:numPr>
          <w:ilvl w:val="0"/>
          <w:numId w:val="1"/>
        </w:numPr>
        <w:ind w:left="340" w:hanging="170"/>
        <w:rPr/>
      </w:pPr>
      <w:r>
        <w:rPr>
          <w:rFonts w:eastAsia="Aptos"/>
          <w:sz w:val="21"/>
        </w:rPr>
        <w:t>decyzja, czy w sukcesji po siostrze objąć jedynie jej dzieci, czy wszystkich dalszych zstępnych — w projekcie przyjęto wszystkich zstępnych dla zachowania trwałości rodzinnej;</w:t>
      </w:r>
    </w:p>
    <w:p>
      <w:pPr>
        <w:pStyle w:val="ListBullet"/>
        <w:numPr>
          <w:ilvl w:val="0"/>
          <w:numId w:val="1"/>
        </w:numPr>
        <w:ind w:left="340" w:hanging="170"/>
        <w:rPr/>
      </w:pPr>
      <w:r>
        <w:rPr>
          <w:rFonts w:eastAsia="Aptos"/>
          <w:sz w:val="21"/>
        </w:rPr>
        <w:t>ostateczne potwierdzenie głównego kodu PKD na podstawie przewidywanej dominującej działalności; roboczo przyjęto 79.12.Z;</w:t>
      </w:r>
    </w:p>
    <w:p>
      <w:pPr>
        <w:pStyle w:val="ListBullet"/>
        <w:numPr>
          <w:ilvl w:val="0"/>
          <w:numId w:val="1"/>
        </w:numPr>
        <w:spacing w:before="0" w:after="80"/>
        <w:ind w:left="340" w:hanging="170"/>
        <w:contextualSpacing/>
        <w:rPr/>
      </w:pPr>
      <w:r>
        <w:rPr>
          <w:rFonts w:eastAsia="Aptos"/>
          <w:sz w:val="21"/>
        </w:rPr>
        <w:t>sprawdzenie dostępności nazwy „Fundacja reCreatio” bezpośrednio w wyszukiwarce KRS oraz – zależnie od planowanego oznaczenia – w bazach znaków towarowych przed aktem notarialnym.</w:t>
      </w:r>
    </w:p>
    <w:sectPr>
      <w:headerReference w:type="default" r:id="rId2"/>
      <w:footerReference w:type="default" r:id="rId3"/>
      <w:type w:val="nextPage"/>
      <w:pgSz w:w="12240" w:h="15840"/>
      <w:pgMar w:left="1361" w:right="1134" w:gutter="0" w:header="454" w:top="1134" w:footer="454"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mbria">
    <w:charset w:val="ee"/>
    <w:family w:val="roman"/>
    <w:pitch w:val="variable"/>
  </w:font>
  <w:font w:name="Aptos">
    <w:charset w:val="ee"/>
    <w:family w:val="roman"/>
    <w:pitch w:val="variable"/>
  </w:font>
  <w:font w:name="Calibri">
    <w:charset w:val="ee"/>
    <w:family w:val="roman"/>
    <w:pitch w:val="variable"/>
  </w:font>
  <w:font w:name="Courier">
    <w:altName w:val="Courier New"/>
    <w:charset w:val="ee"/>
    <w:family w:val="roman"/>
    <w:pitch w:val="variable"/>
  </w:font>
  <w:font w:name="Liberation Sans">
    <w:altName w:val="Arial"/>
    <w:charset w:val="ee"/>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uzeile"/>
      <w:jc w:val="center"/>
      <w:rPr/>
    </w:pPr>
    <w:r>
      <w:rPr>
        <w:rFonts w:eastAsia="Aptos"/>
        <w:color w:val="5F5F5F"/>
        <w:sz w:val="16"/>
      </w:rPr>
      <w:t>Projekt na dzień 6 sierpnia 2026 r. • przed podpisaniem wymaga kontroli notariusza i pełnomocnika prawnego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Kopfzeile"/>
      <w:jc w:val="right"/>
      <w:rPr/>
    </w:pPr>
    <w:r>
      <w:rPr>
        <w:rFonts w:eastAsia="Aptos"/>
        <w:b/>
        <w:color w:val="5F5F5F"/>
        <w:sz w:val="17"/>
      </w:rPr>
      <w:t>FUNDACJA reCreatio  |  PROJEKT ROBOCZY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80"/>
      <w:jc w:val="left"/>
    </w:pPr>
    <w:rPr>
      <w:rFonts w:ascii="Aptos" w:hAnsi="Aptos" w:eastAsia="ＭＳ 明朝" w:cs="" w:cstheme="minorBidi" w:eastAsiaTheme="minorEastAsia"/>
      <w:color w:val="auto"/>
      <w:kern w:val="0"/>
      <w:sz w:val="21"/>
      <w:szCs w:val="22"/>
      <w:lang w:val="en-US" w:eastAsia="en-US" w:bidi="ar-SA"/>
    </w:rPr>
  </w:style>
  <w:style w:type="paragraph" w:styleId="Berschrift1">
    <w:name w:val="Heading 1"/>
    <w:basedOn w:val="Normal"/>
    <w:next w:val="Normal"/>
    <w:link w:val="Heading1Char"/>
    <w:uiPriority w:val="9"/>
    <w:qFormat/>
    <w:rsid w:val="00fc693f"/>
    <w:pPr>
      <w:keepNext w:val="true"/>
      <w:keepLines/>
      <w:spacing w:before="160" w:after="100"/>
      <w:outlineLvl w:val="0"/>
    </w:pPr>
    <w:rPr>
      <w:rFonts w:ascii="Calibri" w:hAnsi="Calibri" w:eastAsia="ＭＳ ゴシック" w:cs="" w:asciiTheme="majorHAnsi" w:cstheme="majorBidi" w:eastAsiaTheme="majorEastAsia" w:hAnsiTheme="majorHAnsi"/>
      <w:b/>
      <w:bCs/>
      <w:color w:val="2A5270"/>
      <w:sz w:val="30"/>
      <w:szCs w:val="28"/>
    </w:rPr>
  </w:style>
  <w:style w:type="paragraph" w:styleId="Berschrift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 w:asciiTheme="majorHAnsi" w:cstheme="majorBidi" w:eastAsiaTheme="majorEastAsia" w:hAnsiTheme="majorHAnsi"/>
      <w:b/>
      <w:bCs/>
      <w:color w:val="2A5270"/>
      <w:sz w:val="25"/>
      <w:szCs w:val="26"/>
    </w:rPr>
  </w:style>
  <w:style w:type="paragraph" w:styleId="Berschrift3">
    <w:name w:val="Heading 3"/>
    <w:basedOn w:val="Normal"/>
    <w:next w:val="Normal"/>
    <w:link w:val="Heading3Char"/>
    <w:uiPriority w:val="9"/>
    <w:unhideWhenUsed/>
    <w:qFormat/>
    <w:rsid w:val="00fc693f"/>
    <w:pPr>
      <w:keepNext w:val="true"/>
      <w:keepLines/>
      <w:spacing w:before="160" w:after="100"/>
      <w:outlineLvl w:val="2"/>
    </w:pPr>
    <w:rPr>
      <w:rFonts w:ascii="Calibri" w:hAnsi="Calibri" w:eastAsia="ＭＳ ゴシック" w:cs="" w:asciiTheme="majorHAnsi" w:cstheme="majorBidi" w:eastAsiaTheme="majorEastAsia" w:hAnsiTheme="majorHAnsi"/>
      <w:b/>
      <w:bCs/>
      <w:color w:val="1E1E1E"/>
      <w:sz w:val="22"/>
    </w:rPr>
  </w:style>
  <w:style w:type="paragraph" w:styleId="Berschrift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Berschrift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Berschrift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Berschrift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Berschrift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Berschrift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Betont">
    <w:name w:val="Betont"/>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Berschrift">
    <w:name w:val="Überschrift"/>
    <w:basedOn w:val="Normal"/>
    <w:next w:val="Textkrper"/>
    <w:qFormat/>
    <w:pPr>
      <w:keepNext w:val="true"/>
      <w:spacing w:before="240" w:after="120"/>
    </w:pPr>
    <w:rPr>
      <w:rFonts w:ascii="Liberation Sans" w:hAnsi="Liberation Sans" w:eastAsia="Microsoft YaHei" w:cs="Lucida Sans"/>
      <w:sz w:val="28"/>
      <w:szCs w:val="28"/>
    </w:rPr>
  </w:style>
  <w:style w:type="paragraph" w:styleId="Textkrper">
    <w:name w:val="Body Text"/>
    <w:basedOn w:val="Normal"/>
    <w:link w:val="BodyTextChar"/>
    <w:uiPriority w:val="99"/>
    <w:unhideWhenUsed/>
    <w:rsid w:val="00aa1d8d"/>
    <w:pPr>
      <w:spacing w:before="0" w:after="120"/>
    </w:pPr>
    <w:rPr/>
  </w:style>
  <w:style w:type="paragraph" w:styleId="Aufzhlung">
    <w:name w:val="List"/>
    <w:basedOn w:val="Normal"/>
    <w:uiPriority w:val="99"/>
    <w:unhideWhenUsed/>
    <w:rsid w:val="00aa1d8d"/>
    <w:pPr>
      <w:spacing w:before="0" w:after="80"/>
      <w:ind w:left="360" w:hanging="360"/>
      <w:contextualSpacing/>
    </w:pPr>
    <w:rPr/>
  </w:style>
  <w:style w:type="paragraph" w:styleId="Beschriftung">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lang w:val="zxx" w:eastAsia="zxx" w:bidi="zxx"/>
    </w:rPr>
  </w:style>
  <w:style w:type="paragraph" w:styleId="KopfundFuzeile">
    <w:name w:val="Kopf- und Fußzeile"/>
    <w:basedOn w:val="Normal"/>
    <w:qFormat/>
    <w:pPr/>
    <w:rPr/>
  </w:style>
  <w:style w:type="paragraph" w:styleId="Kopfzeile">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uzeile">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el">
    <w:name w:val="Title"/>
    <w:basedOn w:val="Normal"/>
    <w:next w:val="Normal"/>
    <w:link w:val="TitleChar"/>
    <w:uiPriority w:val="10"/>
    <w:qFormat/>
    <w:rsid w:val="00fc693f"/>
    <w:pPr>
      <w:keepNext w:val="true"/>
      <w:pBdr>
        <w:bottom w:val="single" w:sz="8" w:space="4" w:color="4F81BD"/>
      </w:pBdr>
      <w:spacing w:lineRule="auto" w:line="240" w:before="0" w:after="100"/>
      <w:contextualSpacing/>
    </w:pPr>
    <w:rPr>
      <w:rFonts w:ascii="Calibri" w:hAnsi="Calibri" w:eastAsia="ＭＳ ゴシック" w:cs="" w:asciiTheme="majorHAnsi" w:cstheme="majorBidi" w:eastAsiaTheme="majorEastAsia" w:hAnsiTheme="majorHAnsi"/>
      <w:b/>
      <w:color w:val="2A5270"/>
      <w:spacing w:val="5"/>
      <w:kern w:val="2"/>
      <w:sz w:val="44"/>
      <w:szCs w:val="52"/>
    </w:rPr>
  </w:style>
  <w:style w:type="paragraph" w:styleId="Untertitel">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8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Aufzhlung2">
    <w:name w:val="List Bullet 3"/>
    <w:basedOn w:val="Normal"/>
    <w:uiPriority w:val="99"/>
    <w:unhideWhenUsed/>
    <w:rsid w:val="00326f90"/>
    <w:pPr>
      <w:spacing w:before="0" w:after="80"/>
      <w:ind w:left="720" w:hanging="360"/>
      <w:contextualSpacing/>
    </w:pPr>
    <w:rPr/>
  </w:style>
  <w:style w:type="paragraph" w:styleId="Aufzhlung3">
    <w:name w:val="List Bullet 4"/>
    <w:basedOn w:val="Normal"/>
    <w:uiPriority w:val="99"/>
    <w:unhideWhenUsed/>
    <w:rsid w:val="00326f90"/>
    <w:pPr>
      <w:spacing w:before="0" w:after="80"/>
      <w:ind w:left="1080" w:hanging="360"/>
      <w:contextualSpacing/>
    </w:pPr>
    <w:rPr/>
  </w:style>
  <w:style w:type="paragraph" w:styleId="ListBullet">
    <w:name w:val="List Bullet"/>
    <w:basedOn w:val="Normal"/>
    <w:uiPriority w:val="99"/>
    <w:unhideWhenUsed/>
    <w:qFormat/>
    <w:rsid w:val="00326f90"/>
    <w:pPr>
      <w:numPr>
        <w:ilvl w:val="0"/>
        <w:numId w:val="1"/>
      </w:numPr>
      <w:spacing w:before="0" w:after="80"/>
      <w:contextualSpacing/>
    </w:pPr>
    <w:rPr/>
  </w:style>
  <w:style w:type="paragraph" w:styleId="ListBullet2">
    <w:name w:val="List Bullet 2"/>
    <w:basedOn w:val="Normal"/>
    <w:uiPriority w:val="99"/>
    <w:unhideWhenUsed/>
    <w:qFormat/>
    <w:rsid w:val="00326f90"/>
    <w:pPr>
      <w:numPr>
        <w:ilvl w:val="0"/>
        <w:numId w:val="2"/>
      </w:numPr>
      <w:spacing w:before="0" w:after="80"/>
      <w:contextualSpacing/>
    </w:pPr>
    <w:rPr/>
  </w:style>
  <w:style w:type="paragraph" w:styleId="ListBullet3">
    <w:name w:val="List Bullet 3"/>
    <w:basedOn w:val="Normal"/>
    <w:uiPriority w:val="99"/>
    <w:unhideWhenUsed/>
    <w:qFormat/>
    <w:rsid w:val="00326f90"/>
    <w:pPr>
      <w:numPr>
        <w:ilvl w:val="0"/>
        <w:numId w:val="3"/>
      </w:numPr>
      <w:spacing w:before="0" w:after="80"/>
      <w:contextualSpacing/>
    </w:pPr>
    <w:rPr/>
  </w:style>
  <w:style w:type="paragraph" w:styleId="ListNumber">
    <w:name w:val="List Number"/>
    <w:basedOn w:val="Normal"/>
    <w:uiPriority w:val="99"/>
    <w:unhideWhenUsed/>
    <w:qFormat/>
    <w:rsid w:val="00326f90"/>
    <w:pPr>
      <w:numPr>
        <w:ilvl w:val="0"/>
        <w:numId w:val="4"/>
      </w:numPr>
      <w:spacing w:before="0" w:after="80"/>
      <w:contextualSpacing/>
    </w:pPr>
    <w:rPr/>
  </w:style>
  <w:style w:type="paragraph" w:styleId="ListNumber2">
    <w:name w:val="List Number 2"/>
    <w:basedOn w:val="Normal"/>
    <w:uiPriority w:val="99"/>
    <w:unhideWhenUsed/>
    <w:qFormat/>
    <w:rsid w:val="0029639d"/>
    <w:pPr>
      <w:numPr>
        <w:ilvl w:val="0"/>
        <w:numId w:val="5"/>
      </w:numPr>
      <w:spacing w:before="0" w:after="80"/>
      <w:contextualSpacing/>
    </w:pPr>
    <w:rPr/>
  </w:style>
  <w:style w:type="paragraph" w:styleId="ListNumber3">
    <w:name w:val="List Number 3"/>
    <w:basedOn w:val="Normal"/>
    <w:uiPriority w:val="99"/>
    <w:unhideWhenUsed/>
    <w:qFormat/>
    <w:rsid w:val="0029639d"/>
    <w:pPr>
      <w:numPr>
        <w:ilvl w:val="0"/>
        <w:numId w:val="6"/>
      </w:numPr>
      <w:spacing w:before="0" w:after="8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ichwortverzeichnisberschrift">
    <w:name w:val="Index Heading"/>
    <w:basedOn w:val="Berschrift"/>
    <w:pPr/>
    <w:rPr/>
  </w:style>
  <w:style w:type="paragraph" w:styleId="Inhaltsverzeichnisberschrift">
    <w:name w:val="TOC Heading"/>
    <w:basedOn w:val="Berschrift1"/>
    <w:next w:val="Normal"/>
    <w:uiPriority w:val="39"/>
    <w:semiHidden/>
    <w:unhideWhenUsed/>
    <w:qFormat/>
    <w:rsid w:val="00fc693f"/>
    <w:pPr>
      <w:outlineLvl w:val="9"/>
    </w:pPr>
    <w:rPr/>
  </w:style>
  <w:style w:type="paragraph" w:styleId="LegalArticle" w:customStyle="1">
    <w:name w:val="Legal Article"/>
    <w:qFormat/>
    <w:pPr>
      <w:keepNext w:val="true"/>
      <w:widowControl/>
      <w:bidi w:val="0"/>
      <w:spacing w:lineRule="auto" w:line="276" w:before="140" w:after="60"/>
      <w:jc w:val="left"/>
    </w:pPr>
    <w:rPr>
      <w:rFonts w:ascii="Aptos" w:hAnsi="Aptos" w:eastAsia="ＭＳ 明朝" w:cs="" w:cstheme="minorBidi" w:eastAsiaTheme="minorEastAsia"/>
      <w:b/>
      <w:color w:val="auto"/>
      <w:kern w:val="0"/>
      <w:sz w:val="21"/>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LibreOffice/7.2.4.1$Windows_X86_64 LibreOffice_project/27d75539669ac387bb498e35313b970b7fe9c4f9</Application>
  <AppVersion>15.0000</AppVersion>
  <Pages>3</Pages>
  <Words>918</Words>
  <Characters>6221</Characters>
  <CharactersWithSpaces>7055</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2026-08-06T20:38:26Z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